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EEAF8">
      <w:pPr/>
      <w:r>
        <w:t>Title: Regeneration for Generations</w:t>
      </w:r>
    </w:p>
    <w:p w14:paraId="60292F52">
      <w:pPr/>
      <w:r>
        <w:t>Empowering Peri-Urban Farming</w:t>
      </w:r>
    </w:p>
    <w:p w14:paraId="7C232AD3">
      <w:pPr/>
    </w:p>
    <w:p w14:paraId="07AC7DC0">
      <w:pPr/>
      <w:r>
        <w:t>Cover Letter</w:t>
      </w:r>
    </w:p>
    <w:p w14:paraId="6F6677CE">
      <w:pPr/>
    </w:p>
    <w:p w14:paraId="62695AD4">
      <w:pPr/>
      <w:r>
        <w:t>Date:</w:t>
      </w:r>
    </w:p>
    <w:p w14:paraId="51B95E2A">
      <w:pPr/>
      <w:r>
        <w:t xml:space="preserve">To: Grant Review Committee,  </w:t>
      </w:r>
    </w:p>
    <w:p w14:paraId="1CE48742">
      <w:pPr/>
      <w:r>
        <w:rPr>
          <w:lang w:val="en-US"/>
        </w:rPr>
        <w:t>K</w:t>
      </w:r>
      <w:r>
        <w:t xml:space="preserve">athmandu, Nepal  </w:t>
      </w:r>
    </w:p>
    <w:p w14:paraId="4ABDFC06">
      <w:pPr/>
    </w:p>
    <w:p w14:paraId="6CA8F063">
      <w:pPr/>
      <w:r>
        <w:t xml:space="preserve">Subject: Grant Proposal Submission – “Regeneration for Generations”  </w:t>
      </w:r>
    </w:p>
    <w:p w14:paraId="43962B59">
      <w:pPr/>
    </w:p>
    <w:p w14:paraId="0535C298">
      <w:pPr/>
      <w:r>
        <w:t>Dear Members of the Grant Review Committee,</w:t>
      </w:r>
    </w:p>
    <w:p w14:paraId="16DFFA2F">
      <w:pPr/>
    </w:p>
    <w:p w14:paraId="563546AD">
      <w:pPr/>
      <w:r>
        <w:t>Our world is at a pivotal crossroads where the sustainability of peri-urban farming communities is being challenged by rapid urbanization</w:t>
      </w:r>
      <w:r>
        <w:rPr>
          <w:lang w:val="en-US"/>
        </w:rPr>
        <w:t xml:space="preserve">, youth migration, import dependency, </w:t>
      </w:r>
      <w:r>
        <w:t>and climate change. These communities, which provide fresh, nourishing food, are essential to local resilience and food security. However, a growing disconnect between urban consumers and their food sources, along with preferences for standardized produce, is diminishing these communities’ ability to thrive.</w:t>
      </w:r>
    </w:p>
    <w:p w14:paraId="3732D87D">
      <w:pPr/>
    </w:p>
    <w:p w14:paraId="36AA3F3B">
      <w:pPr/>
      <w:r>
        <w:t>With this proposal, "Regeneration for Generations," we seek</w:t>
      </w:r>
      <w:r>
        <w:rPr>
          <w:lang w:val="en-US"/>
        </w:rPr>
        <w:t xml:space="preserve"> your</w:t>
      </w:r>
      <w:r>
        <w:t xml:space="preserve"> support to develop a regenerative farming model</w:t>
      </w:r>
      <w:r>
        <w:rPr>
          <w:lang w:val="en-US"/>
        </w:rPr>
        <w:t xml:space="preserve">, in an existing family/small farms, </w:t>
      </w:r>
      <w:r>
        <w:t>centered on chicken-based permaculture This model</w:t>
      </w:r>
      <w:r>
        <w:rPr>
          <w:lang w:val="en-US"/>
        </w:rPr>
        <w:t xml:space="preserve"> </w:t>
      </w:r>
      <w:r>
        <w:t xml:space="preserve">uses natural cycles alongside innovative and modern techniques to boost soil health by </w:t>
      </w:r>
      <w:r>
        <w:rPr>
          <w:lang w:val="en-US"/>
        </w:rPr>
        <w:t>5</w:t>
      </w:r>
      <w:r>
        <w:t xml:space="preserve">0% over </w:t>
      </w:r>
      <w:r>
        <w:rPr>
          <w:lang w:val="en-US"/>
        </w:rPr>
        <w:t>five</w:t>
      </w:r>
      <w:r>
        <w:t xml:space="preserve"> years, increase biodiversity,</w:t>
      </w:r>
      <w:r>
        <w:rPr>
          <w:lang w:val="en-US"/>
        </w:rPr>
        <w:t xml:space="preserve"> </w:t>
      </w:r>
      <w:r>
        <w:t>reduce reliance on chemical inputs</w:t>
      </w:r>
      <w:r>
        <w:rPr>
          <w:lang w:val="en-US"/>
        </w:rPr>
        <w:t xml:space="preserve">, and </w:t>
      </w:r>
      <w:r>
        <w:t xml:space="preserve"> </w:t>
      </w:r>
      <w:r>
        <w:rPr>
          <w:lang w:val="en-US"/>
        </w:rPr>
        <w:t xml:space="preserve">lower </w:t>
      </w:r>
      <w:r>
        <w:t xml:space="preserve">dependency on commercial feed by 80% over time. With integrated sustainable practices—such as vermicompost Continuous Flow Through systems (CFTs), Black Soldier Fly Larvae (BSFL) farming, Azolla cultivation, rotational foraging, and </w:t>
      </w:r>
      <w:r>
        <w:rPr>
          <w:lang w:val="en-US"/>
        </w:rPr>
        <w:t xml:space="preserve">no till </w:t>
      </w:r>
      <w:r>
        <w:t>agroforestry systems—we aim to</w:t>
      </w:r>
      <w:r>
        <w:rPr>
          <w:lang w:val="en-US"/>
        </w:rPr>
        <w:t xml:space="preserve"> strengthen the resilience and sustainability of the agroecology, and promote local food movement.</w:t>
      </w:r>
    </w:p>
    <w:p w14:paraId="7EBFCD86">
      <w:pPr/>
    </w:p>
    <w:p w14:paraId="6F117CAD">
      <w:pPr/>
      <w:r>
        <w:t>Furthermore, by incorporating immersive eco-retreats, educational farm excursions, and a Community Supported Agriculture (CSA) mobile app, this project will connect urban consumers with local farms, helping to cultivate a deeper appreciation for sustainable food systems.</w:t>
      </w:r>
      <w:r>
        <w:rPr>
          <w:lang w:val="en-US"/>
        </w:rPr>
        <w:t xml:space="preserve"> </w:t>
      </w:r>
      <w:r>
        <w:t xml:space="preserve">With </w:t>
      </w:r>
      <w:r>
        <w:rPr>
          <w:lang w:val="en-US"/>
        </w:rPr>
        <w:t xml:space="preserve">your </w:t>
      </w:r>
      <w:r>
        <w:t xml:space="preserve">support, we can create a blueprint for resilient local food systems that </w:t>
      </w:r>
      <w:r>
        <w:rPr>
          <w:lang w:val="en-US"/>
        </w:rPr>
        <w:t xml:space="preserve">contribute to </w:t>
      </w:r>
      <w:r>
        <w:t>both livelihoods and the environment. Together, we can build a legacy of regeneration that will benefit communities, economies, and ecosystems for generations to come.</w:t>
      </w:r>
    </w:p>
    <w:p w14:paraId="7769C034">
      <w:pPr/>
    </w:p>
    <w:p w14:paraId="6AE339FE">
      <w:pPr/>
      <w:r>
        <w:t>Thank you for considering our proposal.</w:t>
      </w:r>
    </w:p>
    <w:p w14:paraId="143D37ED">
      <w:pPr/>
    </w:p>
    <w:p w14:paraId="6F5D63E2">
      <w:pPr/>
      <w:r>
        <w:t xml:space="preserve">Sincerely,  </w:t>
      </w:r>
    </w:p>
    <w:p w14:paraId="3838D836">
      <w:pPr/>
      <w:r>
        <w:t xml:space="preserve">Ranadeep Chhetri  </w:t>
      </w:r>
    </w:p>
    <w:p w14:paraId="6EE3E827">
      <w:pPr/>
      <w:r>
        <w:t xml:space="preserve">The Epitome Integrated Organic Farm  </w:t>
      </w:r>
    </w:p>
    <w:p w14:paraId="3841DBEF">
      <w:pPr/>
      <w:r>
        <w:t xml:space="preserve">Email: ranadeep03210608@gmail.com  </w:t>
      </w:r>
    </w:p>
    <w:p w14:paraId="52B7112C">
      <w:pPr/>
      <w:r>
        <w:t>Phone: +977 9</w:t>
      </w:r>
      <w:r>
        <w:rPr>
          <w:lang w:val="en-US"/>
        </w:rPr>
        <w:t>764599190</w:t>
      </w:r>
    </w:p>
    <w:p w14:paraId="69512555">
      <w:pPr/>
    </w:p>
    <w:p w14:paraId="490A6981">
      <w:pPr/>
    </w:p>
    <w:p w14:paraId="773A26B4">
      <w:pPr/>
    </w:p>
    <w:p w14:paraId="6D540D9C">
      <w:pPr/>
    </w:p>
    <w:p w14:paraId="3516A52A">
      <w:pPr>
        <w:rPr>
          <w:b/>
        </w:rPr>
      </w:pPr>
      <w:r>
        <w:rPr>
          <w:b/>
        </w:rPr>
        <w:t>Executive Summary</w:t>
      </w:r>
    </w:p>
    <w:p w14:paraId="07B2B058">
      <w:pPr/>
    </w:p>
    <w:p w14:paraId="70439406">
      <w:pPr/>
      <w:r>
        <w:t>"Regeneration for Generations" aims to transform</w:t>
      </w:r>
      <w:r>
        <w:rPr>
          <w:lang w:val="en-US"/>
        </w:rPr>
        <w:t xml:space="preserve"> </w:t>
      </w:r>
      <w:r>
        <w:t>peri-urban farming communities</w:t>
      </w:r>
      <w:r>
        <w:rPr>
          <w:lang w:val="en-US"/>
        </w:rPr>
        <w:t xml:space="preserve"> of </w:t>
      </w:r>
      <w:r>
        <w:t xml:space="preserve">Kathmandu into sustainable, resilient </w:t>
      </w:r>
      <w:r>
        <w:rPr>
          <w:lang w:val="en-US"/>
        </w:rPr>
        <w:t xml:space="preserve">eco-villages and  </w:t>
      </w:r>
      <w:r>
        <w:t>hubs of local food production</w:t>
      </w:r>
      <w:r>
        <w:rPr>
          <w:lang w:val="en-US"/>
        </w:rPr>
        <w:t xml:space="preserve">. </w:t>
      </w:r>
      <w:r>
        <w:t>These communities are increasingly vulnerable to pressures from urbanization, climate variability, and geopolitical factors impacting food prices and availability. Recent global events—including the COVID-19 pandemic</w:t>
      </w:r>
      <w:r>
        <w:rPr>
          <w:lang w:val="en-US"/>
        </w:rPr>
        <w:t>,</w:t>
      </w:r>
      <w:r>
        <w:t xml:space="preserve"> and geopolitical tensions—have underscored the critical need for robust local food systems that support both farmers and consumers in the face of rising prices driven by reliance on imports. This project proposes to establish an independent pricing model for local foods, allowing communities to set fair, stable prices that are not dictated by the volatility of imported goods.</w:t>
      </w:r>
    </w:p>
    <w:p w14:paraId="0F7A384F">
      <w:pPr/>
    </w:p>
    <w:p w14:paraId="5EA92DA3">
      <w:pPr/>
      <w:r>
        <w:t>Our approach</w:t>
      </w:r>
      <w:r>
        <w:rPr>
          <w:lang w:val="en-US"/>
        </w:rPr>
        <w:t xml:space="preserve"> </w:t>
      </w:r>
      <w:r>
        <w:t xml:space="preserve">introduces a regenerative, closed-loop permaculture </w:t>
      </w:r>
      <w:r>
        <w:rPr>
          <w:lang w:val="en-US"/>
        </w:rPr>
        <w:t xml:space="preserve">(Integrated Farming System) </w:t>
      </w:r>
      <w:r>
        <w:t xml:space="preserve">model, where chickens play a central role in nutrient cycling to enhance soil fertility, promote biodiversity, and </w:t>
      </w:r>
      <w:r>
        <w:rPr>
          <w:lang w:val="en-US"/>
        </w:rPr>
        <w:t xml:space="preserve">eliminate </w:t>
      </w:r>
      <w:r>
        <w:t>reliance on synthetic inputs</w:t>
      </w:r>
      <w:r>
        <w:rPr>
          <w:lang w:val="en-US"/>
        </w:rPr>
        <w:t xml:space="preserve">, and this approach also ensures the welfare of the chickens by creation of similar natural habitat, thus promoting biodiversity and feed cost reduction. </w:t>
      </w:r>
      <w:r>
        <w:t xml:space="preserve">Through integrated practices, we aim to insulate local food prices from global instability, ensuring that farmers and consumers alike benefit from fair pricing. Key goals include </w:t>
      </w:r>
      <w:r>
        <w:rPr>
          <w:lang w:val="en-US"/>
        </w:rPr>
        <w:t xml:space="preserve">elimination of </w:t>
      </w:r>
      <w:r>
        <w:t>synthetic fertilizer</w:t>
      </w:r>
      <w:r>
        <w:rPr>
          <w:lang w:val="en-US"/>
        </w:rPr>
        <w:t>s</w:t>
      </w:r>
      <w:r>
        <w:t xml:space="preserve">, stabilizing farmers’ incomes through CSA networks, and reducing feed costs by 30% initially through </w:t>
      </w:r>
      <w:r>
        <w:rPr>
          <w:lang w:val="en-US"/>
        </w:rPr>
        <w:t xml:space="preserve">fermented feed, </w:t>
      </w:r>
      <w:r>
        <w:t>BSFL and Azolla</w:t>
      </w:r>
      <w:r>
        <w:rPr>
          <w:lang w:val="en-US"/>
        </w:rPr>
        <w:t xml:space="preserve">, </w:t>
      </w:r>
      <w:r>
        <w:t>advancing to</w:t>
      </w:r>
      <w:r>
        <w:rPr>
          <w:lang w:val="en-US"/>
        </w:rPr>
        <w:t xml:space="preserve"> </w:t>
      </w:r>
      <w:r>
        <w:t>80% reduction as the food forest matures. The CSA app</w:t>
      </w:r>
      <w:r>
        <w:rPr>
          <w:lang w:val="en-US"/>
        </w:rPr>
        <w:t xml:space="preserve">, eco-retreats, </w:t>
      </w:r>
      <w:r>
        <w:t>and educational programs will reconnect urban consumers with local farms, fostering a resilient local food culture.</w:t>
      </w:r>
    </w:p>
    <w:p w14:paraId="26D56EBD">
      <w:pPr/>
    </w:p>
    <w:p w14:paraId="7367F3D8">
      <w:pPr/>
      <w:r>
        <w:t xml:space="preserve">Aligned with the UN Sustainable Development Goals (SDGs), particularly those addressing hunger, decent work, and climate action, </w:t>
      </w:r>
    </w:p>
    <w:p w14:paraId="433F98F8">
      <w:pPr/>
    </w:p>
    <w:p w14:paraId="1276D0F2">
      <w:pPr/>
      <w:r>
        <w:rPr>
          <w:rFonts w:hint="default" w:ascii="Noto Sans" w:hAnsi="Noto Sans" w:eastAsia="Noto Sans" w:cs="Noto Sans"/>
          <w:i w:val="0"/>
          <w:caps w:val="0"/>
          <w:color w:val="1F1F1F"/>
          <w:spacing w:val="0"/>
          <w:sz w:val="24"/>
          <w:szCs w:val="24"/>
          <w:u w:val="none"/>
        </w:rPr>
        <w:t>Aligned with the UN Sustainable Development Goals (SDGs),</w:t>
      </w:r>
      <w:r>
        <w:rPr>
          <w:rFonts w:hint="default" w:ascii="Noto Sans" w:hAnsi="Noto Sans" w:eastAsia="Noto Sans" w:cs="Noto Sans"/>
          <w:i w:val="0"/>
          <w:caps w:val="0"/>
          <w:color w:val="1F1F1F"/>
          <w:spacing w:val="0"/>
          <w:sz w:val="24"/>
          <w:szCs w:val="24"/>
          <w:u w:val="none"/>
          <w:lang w:val="en-US"/>
        </w:rPr>
        <w:t xml:space="preserve"> </w:t>
      </w:r>
      <w:r>
        <w:t xml:space="preserve">particularly those addressing hunger, decent work, and climate action, "Regeneration for Generations" offers a scalable, replicable model that prioritizes </w:t>
      </w:r>
      <w:r>
        <w:rPr>
          <w:lang w:val="en-US"/>
        </w:rPr>
        <w:t xml:space="preserve">soil health, </w:t>
      </w:r>
      <w:r>
        <w:t>food sovereignty and economic stability for sustainable agriculture.</w:t>
      </w:r>
      <w:r>
        <w:rPr>
          <w:lang w:val="en-US"/>
        </w:rPr>
        <w:t xml:space="preserve"> </w:t>
      </w:r>
      <w:r>
        <w:rPr>
          <w:rFonts w:hint="default" w:ascii="Noto Sans" w:hAnsi="Noto Sans" w:eastAsia="Noto Sans" w:cs="Noto Sans"/>
          <w:i w:val="0"/>
          <w:caps w:val="0"/>
          <w:color w:val="1F1F1F"/>
          <w:spacing w:val="0"/>
          <w:sz w:val="24"/>
          <w:szCs w:val="24"/>
          <w:u w:val="none"/>
        </w:rPr>
        <w:t xml:space="preserve">The project will begin with a pilot farm (detailed in Attachment 1) serving as the operational foundation </w:t>
      </w:r>
      <w:r>
        <w:rPr>
          <w:rFonts w:hint="default" w:ascii="Noto Sans" w:hAnsi="Noto Sans" w:eastAsia="Noto Sans" w:cs="Noto Sans"/>
          <w:i w:val="0"/>
          <w:caps w:val="0"/>
          <w:color w:val="1F1F1F"/>
          <w:spacing w:val="0"/>
          <w:sz w:val="24"/>
          <w:szCs w:val="24"/>
          <w:u w:val="none"/>
          <w:lang w:val="en-US"/>
        </w:rPr>
        <w:t xml:space="preserve">for the validation of all the systems or elements within a year </w:t>
      </w:r>
      <w:bookmarkStart w:id="0" w:name="_GoBack"/>
      <w:bookmarkEnd w:id="0"/>
      <w:r>
        <w:rPr>
          <w:rFonts w:hint="default" w:ascii="Noto Sans" w:hAnsi="Noto Sans" w:eastAsia="Noto Sans" w:cs="Noto Sans"/>
          <w:i w:val="0"/>
          <w:caps w:val="0"/>
          <w:color w:val="1F1F1F"/>
          <w:spacing w:val="0"/>
          <w:sz w:val="24"/>
          <w:szCs w:val="24"/>
          <w:u w:val="none"/>
        </w:rPr>
        <w:t>before scaling</w:t>
      </w:r>
      <w:r>
        <w:rPr>
          <w:rFonts w:hint="default" w:ascii="Noto Sans" w:hAnsi="Noto Sans" w:eastAsia="Noto Sans" w:cs="Noto Sans"/>
          <w:i w:val="0"/>
          <w:caps w:val="0"/>
          <w:color w:val="1F1F1F"/>
          <w:spacing w:val="0"/>
          <w:sz w:val="24"/>
          <w:szCs w:val="24"/>
          <w:u w:val="none"/>
          <w:lang w:val="en-US"/>
        </w:rPr>
        <w:t>.</w:t>
      </w:r>
    </w:p>
    <w:p w14:paraId="2619BCB9">
      <w:pPr/>
    </w:p>
    <w:p w14:paraId="4042C13C">
      <w:pPr>
        <w:rPr>
          <w:b/>
        </w:rPr>
      </w:pPr>
      <w:r>
        <w:rPr>
          <w:b/>
        </w:rPr>
        <w:t>Problem Statement</w:t>
      </w:r>
    </w:p>
    <w:p w14:paraId="78082B77">
      <w:pPr/>
    </w:p>
    <w:p w14:paraId="79579A8B">
      <w:pPr>
        <w:numPr>
          <w:ilvl w:val="0"/>
          <w:numId w:val="1"/>
        </w:numPr>
        <w:ind w:left="720" w:hanging="360"/>
        <w:rPr>
          <w:b/>
          <w:lang w:val="en-US"/>
        </w:rPr>
      </w:pPr>
      <w:r>
        <w:rPr>
          <w:b/>
        </w:rPr>
        <w:t>Market Instability, Price Hikes, and Dependence on Imports</w:t>
      </w:r>
    </w:p>
    <w:p w14:paraId="69608DA5">
      <w:pPr>
        <w:ind w:left="0" w:firstLine="0"/>
      </w:pPr>
      <w:r>
        <w:rPr>
          <w:lang w:val="en-US"/>
        </w:rPr>
        <w:t>F</w:t>
      </w:r>
      <w:r>
        <w:t>armers</w:t>
      </w:r>
      <w:r>
        <w:rPr>
          <w:lang w:val="en-US"/>
        </w:rPr>
        <w:t xml:space="preserve">’ dependence on imported inputs, and the market flooded with the imported vegetables, and fruits have destabilized the local food system. </w:t>
      </w:r>
      <w:r>
        <w:t>The COVID-19 pandemic, compounded by recent geopolitical issues, has underscored the need for resilient local food systems. Global supply chain disruptions have led to price hikes affecting both farmers and consumers, highlighting the necessity for a sustainable local pricing model. We aim to establish a local food system with prices that reflect fair values independent of volatile international costs</w:t>
      </w:r>
      <w:r>
        <w:rPr>
          <w:lang w:val="en-US"/>
        </w:rPr>
        <w:t xml:space="preserve"> and bridge the gap between farmer to consumer without the need of third party.</w:t>
      </w:r>
    </w:p>
    <w:p w14:paraId="556606EA">
      <w:pPr>
        <w:numPr>
          <w:ilvl w:val="0"/>
          <w:numId w:val="1"/>
        </w:numPr>
        <w:ind w:left="720" w:hanging="360"/>
        <w:rPr>
          <w:b/>
        </w:rPr>
      </w:pPr>
      <w:r>
        <w:rPr>
          <w:b/>
        </w:rPr>
        <w:t>High Feed Costs and Reliance on Antibiotics</w:t>
      </w:r>
    </w:p>
    <w:p w14:paraId="075A3DCF">
      <w:pPr>
        <w:ind w:left="0" w:firstLine="0"/>
      </w:pPr>
      <w:r>
        <w:t>Rising costs of commercial feed pose a significant financial strain for small-scale farmers</w:t>
      </w:r>
      <w:r>
        <w:rPr>
          <w:lang w:val="en-US"/>
        </w:rPr>
        <w:t>.</w:t>
      </w:r>
      <w:r>
        <w:t xml:space="preserve"> Conventional </w:t>
      </w:r>
      <w:r>
        <w:rPr>
          <w:lang w:val="en-US"/>
        </w:rPr>
        <w:t xml:space="preserve">rearing of chicken inside a closed area and conventional </w:t>
      </w:r>
      <w:r>
        <w:t>feed often necessitates antibiotics to ensure animal health, contributing to antibiotic resistance</w:t>
      </w:r>
      <w:r>
        <w:rPr>
          <w:lang w:val="en-US"/>
        </w:rPr>
        <w:t xml:space="preserve"> , and health concerns for consumers, let alone the welfare of those chickens. </w:t>
      </w:r>
      <w:r>
        <w:t>By utilizing</w:t>
      </w:r>
      <w:r>
        <w:rPr>
          <w:lang w:val="en-US"/>
        </w:rPr>
        <w:t xml:space="preserve"> </w:t>
      </w:r>
      <w:r>
        <w:t xml:space="preserve"> foraging systems,</w:t>
      </w:r>
      <w:r>
        <w:rPr>
          <w:lang w:val="en-US"/>
        </w:rPr>
        <w:t xml:space="preserve"> feed fermentation, </w:t>
      </w:r>
      <w:r>
        <w:t>BSFL, and Azolla as sustainable feed sources, we can reduce costs and support healthier livestock practices.</w:t>
      </w:r>
    </w:p>
    <w:p w14:paraId="2270E052">
      <w:pPr>
        <w:ind w:left="0" w:firstLine="0"/>
      </w:pPr>
    </w:p>
    <w:p w14:paraId="4AF2B875">
      <w:pPr>
        <w:numPr>
          <w:ilvl w:val="0"/>
          <w:numId w:val="1"/>
        </w:numPr>
        <w:ind w:left="720" w:hanging="360"/>
        <w:rPr>
          <w:b/>
        </w:rPr>
      </w:pPr>
      <w:r>
        <w:rPr>
          <w:b/>
        </w:rPr>
        <w:t>Consumer Disconnection and Preference for Uniformity</w:t>
      </w:r>
    </w:p>
    <w:p w14:paraId="659E397B">
      <w:pPr>
        <w:ind w:left="0" w:firstLine="0"/>
      </w:pPr>
      <w:r>
        <w:t>Urban consumers’ preference for visually perfect produce reduces demand for diverse, locally grown foods, which are essential to sustainable farming. This project will promote awareness among urban consumers of the value of local and ecologically grown foods, creating demand that benefits both farmers and sustainable practices</w:t>
      </w:r>
      <w:r>
        <w:rPr>
          <w:lang w:val="en-US"/>
        </w:rPr>
        <w:t>. This will also ensure the contribution of each farmer and consumer  to sustainable, and resilient ecosystem</w:t>
      </w:r>
    </w:p>
    <w:p w14:paraId="5553861E">
      <w:pPr>
        <w:numPr>
          <w:ilvl w:val="0"/>
          <w:numId w:val="1"/>
        </w:numPr>
        <w:ind w:left="720" w:hanging="360"/>
        <w:rPr>
          <w:b/>
        </w:rPr>
      </w:pPr>
      <w:r>
        <w:rPr>
          <w:b/>
        </w:rPr>
        <w:t>Monoculture and Overuse of Pesticides</w:t>
      </w:r>
    </w:p>
    <w:p w14:paraId="0FA21DD0">
      <w:pPr>
        <w:ind w:left="0" w:firstLine="0"/>
      </w:pPr>
      <w:r>
        <w:rPr>
          <w:rFonts w:hint="eastAsia"/>
        </w:rPr>
        <w:t>The reliance on monoculture and heavy pesticide use</w:t>
      </w:r>
      <w:r>
        <w:rPr>
          <w:rFonts w:hint="default"/>
          <w:lang w:val="en-US"/>
        </w:rPr>
        <w:t xml:space="preserve"> </w:t>
      </w:r>
      <w:r>
        <w:rPr>
          <w:rFonts w:hint="eastAsia"/>
        </w:rPr>
        <w:t>depletes soil health, reduces biodiversity, and heightens vulnerability to pests, fueling a cycle of chemical dependency. Farmers’ focus on quick profits due to temporary lease</w:t>
      </w:r>
      <w:r>
        <w:rPr>
          <w:rFonts w:hint="default"/>
          <w:lang w:val="en-US"/>
        </w:rPr>
        <w:t xml:space="preserve">d land </w:t>
      </w:r>
      <w:r>
        <w:rPr>
          <w:rFonts w:hint="eastAsia"/>
        </w:rPr>
        <w:t xml:space="preserve">discourages long-term sustainable practices, while landowners remain disengaged. This project will address these challenges by integrating landowners as core stakeholders through profit-sharing agreements </w:t>
      </w:r>
      <w:r>
        <w:rPr>
          <w:rFonts w:hint="default"/>
          <w:lang w:val="en-US"/>
        </w:rPr>
        <w:t>ensuring sustainable benefits for both the farmers and landowners.</w:t>
      </w:r>
    </w:p>
    <w:p w14:paraId="3FE00B51">
      <w:pPr>
        <w:numPr>
          <w:ilvl w:val="0"/>
          <w:numId w:val="1"/>
        </w:numPr>
        <w:ind w:left="720" w:hanging="360"/>
        <w:rPr>
          <w:b/>
        </w:rPr>
      </w:pPr>
      <w:r>
        <w:rPr>
          <w:b/>
        </w:rPr>
        <w:t>Climate Variability and Soil Degradation</w:t>
      </w:r>
    </w:p>
    <w:p w14:paraId="6EAA9F81">
      <w:pPr>
        <w:ind w:left="0" w:firstLine="0"/>
      </w:pPr>
      <w:r>
        <w:t>Climate change</w:t>
      </w:r>
      <w:r>
        <w:rPr>
          <w:lang w:val="en-US"/>
        </w:rPr>
        <w:t xml:space="preserve">, intensive tillage, </w:t>
      </w:r>
      <w:r>
        <w:t>and overuse of chemical fertilizers have degraded soil, reducing productivity and increasing drought susceptibility.</w:t>
      </w:r>
      <w:r>
        <w:rPr>
          <w:lang w:val="en-US"/>
        </w:rPr>
        <w:t xml:space="preserve"> Water scarcity during dry seasons has presented a significant challenge. </w:t>
      </w:r>
      <w:r>
        <w:t xml:space="preserve">By increasing soil organic matter by </w:t>
      </w:r>
      <w:r>
        <w:rPr>
          <w:lang w:val="en-US"/>
        </w:rPr>
        <w:t>3</w:t>
      </w:r>
      <w:r>
        <w:t>0% within two years</w:t>
      </w:r>
      <w:r>
        <w:rPr>
          <w:lang w:val="en-US"/>
        </w:rPr>
        <w:t xml:space="preserve"> </w:t>
      </w:r>
      <w:r>
        <w:t xml:space="preserve">through the </w:t>
      </w:r>
      <w:r>
        <w:rPr>
          <w:lang w:val="en-US"/>
        </w:rPr>
        <w:t>integration</w:t>
      </w:r>
      <w:r>
        <w:t xml:space="preserve"> of </w:t>
      </w:r>
      <w:r>
        <w:rPr>
          <w:lang w:val="en-US"/>
        </w:rPr>
        <w:t xml:space="preserve">greenhouse and high-tunnels, </w:t>
      </w:r>
      <w:r>
        <w:t>vermicompost CFTs</w:t>
      </w:r>
      <w:r>
        <w:rPr>
          <w:lang w:val="en-US"/>
        </w:rPr>
        <w:t xml:space="preserve">, </w:t>
      </w:r>
      <w:r>
        <w:t>chicken composting systems,</w:t>
      </w:r>
      <w:r>
        <w:rPr>
          <w:lang w:val="en-US"/>
        </w:rPr>
        <w:t xml:space="preserve"> deep compost mulching system, water harvesting system, and automated drip irrigation </w:t>
      </w:r>
      <w:r>
        <w:t>we aim to enhance resilience to climate variability</w:t>
      </w:r>
      <w:r>
        <w:rPr>
          <w:lang w:val="en-US"/>
        </w:rPr>
        <w:t xml:space="preserve">, water scarcity </w:t>
      </w:r>
      <w:r>
        <w:t>and sustain productivity.</w:t>
      </w:r>
    </w:p>
    <w:p w14:paraId="59AB920A">
      <w:pPr>
        <w:numPr>
          <w:ilvl w:val="0"/>
          <w:numId w:val="1"/>
        </w:numPr>
        <w:ind w:left="720" w:hanging="360"/>
        <w:rPr>
          <w:b/>
        </w:rPr>
      </w:pPr>
      <w:r>
        <w:rPr>
          <w:b/>
        </w:rPr>
        <w:t>Youth Migration and Labor Shortages</w:t>
      </w:r>
    </w:p>
    <w:p w14:paraId="4A002394">
      <w:pPr>
        <w:ind w:left="0" w:firstLine="0"/>
      </w:pPr>
      <w:r>
        <w:t>Farming is often seen by young people as low-reward, high-effort work, prompting migration to urban areas</w:t>
      </w:r>
      <w:r>
        <w:rPr>
          <w:lang w:val="en-US"/>
        </w:rPr>
        <w:t>, resulting in uncultivated arable land.</w:t>
      </w:r>
      <w:r>
        <w:t>Through innovative, sustainable practices, this project seeks to make farming a more appealing and economically viable career for younger generations</w:t>
      </w:r>
      <w:r>
        <w:rPr>
          <w:lang w:val="en-US"/>
        </w:rPr>
        <w:t xml:space="preserve"> as well create employment opportunities for multidisciplinary professionals.</w:t>
      </w:r>
    </w:p>
    <w:p w14:paraId="18522117">
      <w:pPr>
        <w:numPr>
          <w:ilvl w:val="0"/>
          <w:numId w:val="1"/>
        </w:numPr>
        <w:ind w:left="720" w:hanging="360"/>
        <w:rPr>
          <w:b/>
        </w:rPr>
      </w:pPr>
      <w:r>
        <w:rPr>
          <w:b/>
        </w:rPr>
        <w:t>Unplanned Urbanization</w:t>
      </w:r>
    </w:p>
    <w:p w14:paraId="16DA0762">
      <w:pPr>
        <w:ind w:left="0" w:firstLine="0"/>
      </w:pPr>
      <w:r>
        <w:t xml:space="preserve">Rapid urban expansion threatens valuable agricultural land, </w:t>
      </w:r>
      <w:r>
        <w:rPr>
          <w:lang w:val="en-US"/>
        </w:rPr>
        <w:t xml:space="preserve">and water sources, </w:t>
      </w:r>
      <w:r>
        <w:t xml:space="preserve">exacerbating food insecurity. Preserving peri-urban farming spaces through a community-driven model </w:t>
      </w:r>
      <w:r>
        <w:rPr>
          <w:lang w:val="en-US"/>
        </w:rPr>
        <w:t xml:space="preserve">with the landowners as stakeholders </w:t>
      </w:r>
      <w:r>
        <w:t>will protect these essential areas from encroachment.</w:t>
      </w:r>
    </w:p>
    <w:p w14:paraId="3D0D5606">
      <w:pPr>
        <w:numPr>
          <w:ilvl w:val="0"/>
          <w:numId w:val="1"/>
        </w:numPr>
        <w:ind w:left="720" w:hanging="360"/>
        <w:rPr>
          <w:b/>
        </w:rPr>
      </w:pPr>
      <w:r>
        <w:rPr>
          <w:b/>
        </w:rPr>
        <w:t>Lack of Closed-Loop Farming Systems</w:t>
      </w:r>
    </w:p>
    <w:p w14:paraId="752FBA4D">
      <w:pPr>
        <w:ind w:left="0" w:firstLine="0"/>
      </w:pPr>
      <w:r>
        <w:t>Conventional farming’s reliance on synthetic inputs without nutrient recycling is environmentally costly and unsustainable. A closed-loop system integrating livestock and crop production will restore natural nutrient cycles and enrich soil health</w:t>
      </w:r>
      <w:r>
        <w:rPr>
          <w:lang w:val="en-US"/>
        </w:rPr>
        <w:t>.</w:t>
      </w:r>
    </w:p>
    <w:p w14:paraId="45DB4503">
      <w:pPr/>
    </w:p>
    <w:p w14:paraId="5EA3F379">
      <w:pPr>
        <w:rPr>
          <w:b/>
        </w:rPr>
      </w:pPr>
      <w:r>
        <w:rPr>
          <w:b/>
        </w:rPr>
        <w:t>Project Objectives and Activities</w:t>
      </w:r>
    </w:p>
    <w:p w14:paraId="3C23AEEA">
      <w:pPr/>
    </w:p>
    <w:p w14:paraId="7E49D1AC">
      <w:pPr>
        <w:rPr>
          <w:b/>
        </w:rPr>
      </w:pPr>
      <w:r>
        <w:rPr>
          <w:b/>
        </w:rPr>
        <w:t>Objective 1: Develop Climate-Resilient, Closed-Loop Farms</w:t>
      </w:r>
    </w:p>
    <w:p w14:paraId="380A9EF5">
      <w:pPr>
        <w:ind w:left="0" w:firstLine="0"/>
      </w:pPr>
      <w:r>
        <w:t xml:space="preserve">Target Outcome: </w:t>
      </w:r>
    </w:p>
    <w:p w14:paraId="169EFBB3">
      <w:pPr>
        <w:numPr>
          <w:ilvl w:val="0"/>
          <w:numId w:val="2"/>
        </w:numPr>
        <w:ind w:left="720" w:hanging="360"/>
        <w:rPr>
          <w:u w:val="none"/>
        </w:rPr>
      </w:pPr>
      <w:r>
        <w:rPr>
          <w:lang w:val="en-US"/>
        </w:rPr>
        <w:t>30</w:t>
      </w:r>
      <w:r>
        <w:t>% increase in soil organic matter over two years</w:t>
      </w:r>
      <w:r>
        <w:rPr>
          <w:lang w:val="en-US"/>
        </w:rPr>
        <w:t>, assuming level of soil organic matter and soil structure to be reasonable.</w:t>
      </w:r>
    </w:p>
    <w:p w14:paraId="09341B8E">
      <w:pPr>
        <w:numPr>
          <w:ilvl w:val="0"/>
          <w:numId w:val="2"/>
        </w:numPr>
        <w:ind w:left="720" w:hanging="360"/>
        <w:rPr>
          <w:u w:val="none"/>
        </w:rPr>
      </w:pPr>
      <w:r>
        <w:rPr>
          <w:lang w:val="en-US"/>
        </w:rPr>
        <w:t xml:space="preserve">Elimination of </w:t>
      </w:r>
      <w:r>
        <w:t>synthetic fertilizer</w:t>
      </w:r>
      <w:r>
        <w:rPr>
          <w:lang w:val="en-US"/>
        </w:rPr>
        <w:t>.</w:t>
      </w:r>
    </w:p>
    <w:p w14:paraId="089110D9">
      <w:pPr>
        <w:numPr>
          <w:ilvl w:val="0"/>
          <w:numId w:val="2"/>
        </w:numPr>
        <w:ind w:left="720" w:hanging="360"/>
        <w:rPr>
          <w:u w:val="none"/>
        </w:rPr>
      </w:pPr>
      <w:r>
        <w:rPr>
          <w:lang w:val="en-US"/>
        </w:rPr>
        <w:t>50% reduction in water usage.</w:t>
      </w:r>
    </w:p>
    <w:p w14:paraId="50095D43">
      <w:pPr>
        <w:ind w:left="0" w:firstLine="0"/>
      </w:pPr>
      <w:r>
        <w:t>Activities:</w:t>
      </w:r>
    </w:p>
    <w:p w14:paraId="462DA770">
      <w:pPr>
        <w:numPr>
          <w:ilvl w:val="0"/>
          <w:numId w:val="3"/>
        </w:numPr>
        <w:ind w:left="720" w:hanging="360"/>
        <w:rPr>
          <w:u w:val="none"/>
        </w:rPr>
      </w:pPr>
      <w:r>
        <w:t>Implement no-till agroforestry systems.</w:t>
      </w:r>
    </w:p>
    <w:p w14:paraId="264F4F8B">
      <w:pPr>
        <w:numPr>
          <w:ilvl w:val="0"/>
          <w:numId w:val="3"/>
        </w:numPr>
        <w:ind w:left="720" w:hanging="360"/>
        <w:rPr>
          <w:u w:val="none"/>
        </w:rPr>
      </w:pPr>
      <w:r>
        <w:t>Introduce vermicompost CFTs.</w:t>
      </w:r>
    </w:p>
    <w:p w14:paraId="17E032AE">
      <w:pPr>
        <w:numPr>
          <w:ilvl w:val="0"/>
          <w:numId w:val="3"/>
        </w:numPr>
        <w:ind w:left="720" w:hanging="360"/>
        <w:rPr>
          <w:u w:val="none"/>
        </w:rPr>
      </w:pPr>
      <w:r>
        <w:rPr>
          <w:lang w:val="en-US"/>
        </w:rPr>
        <w:t>Introduce a chicken composting system.</w:t>
      </w:r>
    </w:p>
    <w:p w14:paraId="3D1A5B41">
      <w:pPr>
        <w:numPr>
          <w:ilvl w:val="0"/>
          <w:numId w:val="3"/>
        </w:numPr>
        <w:ind w:left="720" w:hanging="360"/>
        <w:rPr>
          <w:u w:val="none"/>
        </w:rPr>
      </w:pPr>
      <w:r>
        <w:t xml:space="preserve">Install </w:t>
      </w:r>
      <w:r>
        <w:rPr>
          <w:lang w:val="en-US"/>
        </w:rPr>
        <w:t>water harvesting system and automated drip irrigation system with sensors.</w:t>
      </w:r>
    </w:p>
    <w:p w14:paraId="66E3826F">
      <w:pPr/>
    </w:p>
    <w:p w14:paraId="6F467E2D">
      <w:pPr>
        <w:rPr>
          <w:b/>
        </w:rPr>
      </w:pPr>
      <w:r>
        <w:rPr>
          <w:b/>
        </w:rPr>
        <w:t>Objective 2: Introduce Sustainable Feed Sources</w:t>
      </w:r>
    </w:p>
    <w:p w14:paraId="008737CE">
      <w:pPr>
        <w:rPr>
          <w:u w:val="none"/>
        </w:rPr>
      </w:pPr>
      <w:r>
        <w:t>Target Outcome:</w:t>
      </w:r>
    </w:p>
    <w:p w14:paraId="48AF8712">
      <w:pPr>
        <w:numPr>
          <w:ilvl w:val="0"/>
          <w:numId w:val="4"/>
        </w:numPr>
        <w:ind w:left="720" w:hanging="360"/>
        <w:rPr>
          <w:u w:val="none"/>
        </w:rPr>
      </w:pPr>
      <w:r>
        <w:t xml:space="preserve">30% initial reduction in </w:t>
      </w:r>
      <w:r>
        <w:rPr>
          <w:lang w:val="en-US"/>
        </w:rPr>
        <w:t>commercial chicken</w:t>
      </w:r>
      <w:r>
        <w:t xml:space="preserve"> feed costs, and 80% reduction</w:t>
      </w:r>
      <w:r>
        <w:rPr>
          <w:lang w:val="en-US"/>
        </w:rPr>
        <w:t xml:space="preserve"> upon maturity of </w:t>
      </w:r>
      <w:r>
        <w:t xml:space="preserve">agroforestry </w:t>
      </w:r>
      <w:r>
        <w:rPr>
          <w:lang w:val="en-US"/>
        </w:rPr>
        <w:t>system.</w:t>
      </w:r>
    </w:p>
    <w:p w14:paraId="62E72B5D">
      <w:pPr/>
      <w:r>
        <w:t>Activities:</w:t>
      </w:r>
    </w:p>
    <w:p w14:paraId="641EE935">
      <w:pPr>
        <w:numPr>
          <w:ilvl w:val="0"/>
          <w:numId w:val="5"/>
        </w:numPr>
        <w:ind w:left="720" w:hanging="360"/>
        <w:rPr>
          <w:u w:val="none"/>
        </w:rPr>
      </w:pPr>
      <w:r>
        <w:t>Establish BSFL units and Azolla ponds.</w:t>
      </w:r>
    </w:p>
    <w:p w14:paraId="43CE6B0D">
      <w:pPr>
        <w:numPr>
          <w:ilvl w:val="0"/>
          <w:numId w:val="5"/>
        </w:numPr>
        <w:ind w:left="720" w:hanging="360"/>
        <w:rPr>
          <w:u w:val="none"/>
        </w:rPr>
      </w:pPr>
      <w:r>
        <w:t>Develop rotational foraging</w:t>
      </w:r>
      <w:r>
        <w:rPr>
          <w:lang w:val="en-US"/>
        </w:rPr>
        <w:t xml:space="preserve"> strategies</w:t>
      </w:r>
      <w:r>
        <w:t xml:space="preserve"> </w:t>
      </w:r>
      <w:r>
        <w:rPr>
          <w:lang w:val="en-US"/>
        </w:rPr>
        <w:t>within the agroforestry system.</w:t>
      </w:r>
    </w:p>
    <w:p w14:paraId="619F117A">
      <w:pPr/>
    </w:p>
    <w:p w14:paraId="37CACD6F">
      <w:pPr>
        <w:rPr>
          <w:b/>
        </w:rPr>
      </w:pPr>
      <w:r>
        <w:rPr>
          <w:b/>
        </w:rPr>
        <w:t>Objective 3: Expand Seed Banks and Nurseries</w:t>
      </w:r>
    </w:p>
    <w:p w14:paraId="572ED57A">
      <w:pPr/>
      <w:r>
        <w:t>Target Outcome:</w:t>
      </w:r>
    </w:p>
    <w:p w14:paraId="7D0FD897">
      <w:pPr>
        <w:numPr>
          <w:ilvl w:val="0"/>
          <w:numId w:val="6"/>
        </w:numPr>
        <w:ind w:left="720" w:hanging="360"/>
        <w:rPr>
          <w:u w:val="none"/>
        </w:rPr>
      </w:pPr>
      <w:r>
        <w:t>Preserve at least 9 resilient crop seed varieties.</w:t>
      </w:r>
    </w:p>
    <w:p w14:paraId="2587F5E9">
      <w:pPr/>
      <w:r>
        <w:t>Activities:</w:t>
      </w:r>
    </w:p>
    <w:p w14:paraId="2E7CEBFF">
      <w:pPr>
        <w:numPr>
          <w:ilvl w:val="0"/>
          <w:numId w:val="7"/>
        </w:numPr>
        <w:ind w:left="720" w:hanging="360"/>
        <w:rPr>
          <w:u w:val="none"/>
        </w:rPr>
      </w:pPr>
      <w:r>
        <w:t>Operate seed banks.</w:t>
      </w:r>
    </w:p>
    <w:p w14:paraId="328985F3">
      <w:pPr>
        <w:numPr>
          <w:ilvl w:val="0"/>
          <w:numId w:val="7"/>
        </w:numPr>
        <w:ind w:left="720" w:hanging="360"/>
        <w:rPr>
          <w:u w:val="none"/>
        </w:rPr>
      </w:pPr>
      <w:r>
        <w:t>Produce 2,000 seedlings per season to support crop diversity.</w:t>
      </w:r>
    </w:p>
    <w:p w14:paraId="6A75CDDB">
      <w:pPr/>
    </w:p>
    <w:p w14:paraId="5E431CC4">
      <w:pPr>
        <w:rPr>
          <w:b/>
        </w:rPr>
      </w:pPr>
      <w:r>
        <w:rPr>
          <w:b/>
        </w:rPr>
        <w:t xml:space="preserve">Objective 4: Build Semi High-Tech Greenhouses and </w:t>
      </w:r>
      <w:r>
        <w:rPr>
          <w:b/>
          <w:lang w:val="en-US"/>
        </w:rPr>
        <w:t>High-</w:t>
      </w:r>
      <w:r>
        <w:rPr>
          <w:b/>
        </w:rPr>
        <w:t>Tunnels</w:t>
      </w:r>
    </w:p>
    <w:p w14:paraId="4D628D2E">
      <w:pPr/>
      <w:r>
        <w:t xml:space="preserve">Target Outcome: </w:t>
      </w:r>
    </w:p>
    <w:p w14:paraId="364E15E1">
      <w:pPr>
        <w:numPr>
          <w:ilvl w:val="0"/>
          <w:numId w:val="8"/>
        </w:numPr>
        <w:ind w:left="720" w:hanging="360"/>
        <w:rPr>
          <w:u w:val="none"/>
        </w:rPr>
      </w:pPr>
      <w:r>
        <w:t>40% increase in greenhouse yield.</w:t>
      </w:r>
    </w:p>
    <w:p w14:paraId="3FB0218E">
      <w:pPr/>
      <w:r>
        <w:t>Activities:</w:t>
      </w:r>
    </w:p>
    <w:p w14:paraId="3F6B6750">
      <w:pPr>
        <w:numPr>
          <w:ilvl w:val="0"/>
          <w:numId w:val="9"/>
        </w:numPr>
        <w:ind w:left="720" w:hanging="360"/>
        <w:rPr>
          <w:u w:val="none"/>
        </w:rPr>
      </w:pPr>
      <w:r>
        <w:t>Construct greenhouses</w:t>
      </w:r>
      <w:r>
        <w:rPr>
          <w:lang w:val="en-US"/>
        </w:rPr>
        <w:t xml:space="preserve">, </w:t>
      </w:r>
      <w:r>
        <w:t>and</w:t>
      </w:r>
      <w:r>
        <w:rPr>
          <w:lang w:val="en-US"/>
        </w:rPr>
        <w:t xml:space="preserve"> high-</w:t>
      </w:r>
      <w:r>
        <w:t>tunnels</w:t>
      </w:r>
      <w:r>
        <w:rPr>
          <w:lang w:val="en-US"/>
        </w:rPr>
        <w:t xml:space="preserve"> </w:t>
      </w:r>
      <w:r>
        <w:t>to extend production seasons</w:t>
      </w:r>
      <w:r>
        <w:rPr>
          <w:lang w:val="en-US"/>
        </w:rPr>
        <w:t>.</w:t>
      </w:r>
    </w:p>
    <w:p w14:paraId="0EBDFB63">
      <w:pPr/>
    </w:p>
    <w:p w14:paraId="10BD7F75">
      <w:pPr>
        <w:rPr>
          <w:b/>
        </w:rPr>
      </w:pPr>
      <w:r>
        <w:rPr>
          <w:b/>
        </w:rPr>
        <w:t>Objective 5: Promote CSA Networks and Market Access</w:t>
      </w:r>
    </w:p>
    <w:p w14:paraId="727F92BF">
      <w:pPr/>
      <w:r>
        <w:t>Target Outcome:</w:t>
      </w:r>
    </w:p>
    <w:p w14:paraId="6BD95BDA">
      <w:pPr>
        <w:numPr>
          <w:ilvl w:val="0"/>
          <w:numId w:val="10"/>
        </w:numPr>
        <w:ind w:left="720" w:hanging="360"/>
        <w:rPr>
          <w:u w:val="none"/>
        </w:rPr>
      </w:pPr>
      <w:r>
        <w:t>90% on-time CSA delivery rate with 50 families enrolled in the first year.</w:t>
      </w:r>
    </w:p>
    <w:p w14:paraId="5CBD0E12">
      <w:pPr/>
      <w:r>
        <w:t>Activities:</w:t>
      </w:r>
    </w:p>
    <w:p w14:paraId="14346CDD">
      <w:pPr>
        <w:numPr>
          <w:ilvl w:val="0"/>
          <w:numId w:val="11"/>
        </w:numPr>
        <w:ind w:left="720" w:hanging="360"/>
        <w:rPr>
          <w:u w:val="none"/>
        </w:rPr>
      </w:pPr>
      <w:r>
        <w:t>Develop CSA programs</w:t>
      </w:r>
      <w:r>
        <w:rPr>
          <w:lang w:val="en-US"/>
        </w:rPr>
        <w:t>, CSA app,</w:t>
      </w:r>
      <w:r>
        <w:t xml:space="preserve"> and transport solutions to link farmers with urban consumers.</w:t>
      </w:r>
    </w:p>
    <w:p w14:paraId="5986B8C6">
      <w:pPr/>
    </w:p>
    <w:p w14:paraId="518C21C9">
      <w:pPr>
        <w:rPr>
          <w:b/>
        </w:rPr>
      </w:pPr>
      <w:r>
        <w:rPr>
          <w:b/>
        </w:rPr>
        <w:t>Objective 6: Create Educational Excursions and Eco-Retreats</w:t>
      </w:r>
    </w:p>
    <w:p w14:paraId="11F73204">
      <w:pPr/>
      <w:r>
        <w:t>Target Outcome:</w:t>
      </w:r>
    </w:p>
    <w:p w14:paraId="7CB830EF">
      <w:pPr>
        <w:numPr>
          <w:ilvl w:val="0"/>
          <w:numId w:val="12"/>
        </w:numPr>
        <w:ind w:left="720" w:hanging="360"/>
        <w:rPr>
          <w:u w:val="none"/>
        </w:rPr>
      </w:pPr>
      <w:r>
        <w:t>200 urban visitors annually</w:t>
      </w:r>
      <w:r>
        <w:rPr>
          <w:lang w:val="en-US"/>
        </w:rPr>
        <w:t>.</w:t>
      </w:r>
    </w:p>
    <w:p w14:paraId="6FD3B20A">
      <w:pPr/>
      <w:r>
        <w:t>Activities:</w:t>
      </w:r>
    </w:p>
    <w:p w14:paraId="1860288E">
      <w:pPr>
        <w:numPr>
          <w:ilvl w:val="0"/>
          <w:numId w:val="13"/>
        </w:numPr>
        <w:ind w:left="720" w:hanging="360"/>
        <w:rPr>
          <w:u w:val="none"/>
        </w:rPr>
      </w:pPr>
      <w:r>
        <w:t xml:space="preserve">Conduct </w:t>
      </w:r>
      <w:r>
        <w:rPr>
          <w:lang w:val="en-US"/>
        </w:rPr>
        <w:t>4</w:t>
      </w:r>
      <w:r>
        <w:t xml:space="preserve"> educational programs </w:t>
      </w:r>
      <w:r>
        <w:rPr>
          <w:lang w:val="en-US"/>
        </w:rPr>
        <w:t xml:space="preserve">each year </w:t>
      </w:r>
      <w:r>
        <w:t xml:space="preserve">to promote </w:t>
      </w:r>
      <w:r>
        <w:rPr>
          <w:lang w:val="en-US"/>
        </w:rPr>
        <w:t xml:space="preserve">regenerative </w:t>
      </w:r>
      <w:r>
        <w:t>agriculture</w:t>
      </w:r>
      <w:r>
        <w:rPr>
          <w:lang w:val="en-US"/>
        </w:rPr>
        <w:t>.</w:t>
      </w:r>
    </w:p>
    <w:p w14:paraId="6CF7916B">
      <w:pPr>
        <w:numPr>
          <w:ilvl w:val="0"/>
          <w:numId w:val="13"/>
        </w:numPr>
        <w:ind w:left="720" w:hanging="360"/>
        <w:rPr>
          <w:u w:val="none"/>
        </w:rPr>
      </w:pPr>
      <w:r>
        <w:t xml:space="preserve">Build </w:t>
      </w:r>
      <w:r>
        <w:rPr>
          <w:lang w:val="en-US"/>
        </w:rPr>
        <w:t>15</w:t>
      </w:r>
      <w:r>
        <w:t xml:space="preserve"> sustainable cottages for eco-retreats.</w:t>
      </w:r>
    </w:p>
    <w:p w14:paraId="533A487B">
      <w:pPr/>
    </w:p>
    <w:p w14:paraId="1D7CCEE8">
      <w:pPr>
        <w:rPr>
          <w:b/>
        </w:rPr>
      </w:pPr>
      <w:r>
        <w:rPr>
          <w:b/>
        </w:rPr>
        <w:t>Objective 7: Strengthen Partnerships</w:t>
      </w:r>
    </w:p>
    <w:p w14:paraId="27FF07DD">
      <w:pPr/>
      <w:r>
        <w:t>Target Outcome:</w:t>
      </w:r>
    </w:p>
    <w:p w14:paraId="182A783B">
      <w:pPr>
        <w:numPr>
          <w:ilvl w:val="0"/>
          <w:numId w:val="14"/>
        </w:numPr>
        <w:ind w:left="720" w:hanging="360"/>
        <w:rPr>
          <w:u w:val="none"/>
        </w:rPr>
      </w:pPr>
      <w:r>
        <w:t xml:space="preserve">Collaborate with </w:t>
      </w:r>
      <w:r>
        <w:rPr>
          <w:lang w:val="en-US"/>
        </w:rPr>
        <w:t>f</w:t>
      </w:r>
      <w:r>
        <w:t xml:space="preserve">arms, </w:t>
      </w:r>
      <w:r>
        <w:rPr>
          <w:lang w:val="en-US"/>
        </w:rPr>
        <w:t>agriculture ventures</w:t>
      </w:r>
      <w:r>
        <w:t>, and relevant national and international NGOs.</w:t>
      </w:r>
    </w:p>
    <w:p w14:paraId="669972B3">
      <w:pPr/>
      <w:r>
        <w:t>Activities:</w:t>
      </w:r>
    </w:p>
    <w:p w14:paraId="117BE9E4">
      <w:pPr>
        <w:numPr>
          <w:ilvl w:val="0"/>
          <w:numId w:val="15"/>
        </w:numPr>
        <w:ind w:left="720" w:hanging="360"/>
        <w:rPr>
          <w:u w:val="none"/>
        </w:rPr>
      </w:pPr>
      <w:r>
        <w:t>Establish networks for knowledge sharing and market access expansion.</w:t>
      </w:r>
    </w:p>
    <w:p w14:paraId="01FA3A81">
      <w:pPr/>
    </w:p>
    <w:p w14:paraId="123CB666">
      <w:pPr>
        <w:rPr>
          <w:b/>
        </w:rPr>
      </w:pPr>
    </w:p>
    <w:p w14:paraId="2491BCEB">
      <w:pPr>
        <w:rPr>
          <w:b/>
        </w:rPr>
      </w:pPr>
    </w:p>
    <w:p w14:paraId="116F1814">
      <w:pPr>
        <w:rPr>
          <w:b/>
        </w:rPr>
      </w:pPr>
    </w:p>
    <w:p w14:paraId="0EB05252">
      <w:pPr>
        <w:rPr>
          <w:b/>
        </w:rPr>
      </w:pPr>
      <w:r>
        <w:rPr>
          <w:b/>
        </w:rPr>
        <w:t>Implementation Plan</w:t>
      </w:r>
    </w:p>
    <w:p w14:paraId="1CAC45A1">
      <w:pPr>
        <w:rPr>
          <w:b/>
        </w:rPr>
      </w:pPr>
    </w:p>
    <w:p w14:paraId="30309A0F">
      <w:pPr>
        <w:rPr>
          <w:b/>
        </w:rPr>
      </w:pPr>
      <w:r>
        <w:rPr>
          <w:b/>
        </w:rPr>
        <w:t>Phase 1: Preparation and Planning (Months 1</w:t>
      </w:r>
      <w:r>
        <w:rPr>
          <w:b/>
          <w:lang w:val="en-US"/>
        </w:rPr>
        <w:t xml:space="preserve"> - 4</w:t>
      </w:r>
      <w:r>
        <w:rPr>
          <w:b/>
        </w:rPr>
        <w:t>)</w:t>
      </w:r>
    </w:p>
    <w:p w14:paraId="75EBC1A7">
      <w:pPr/>
      <w:r>
        <w:t>Activities:</w:t>
      </w:r>
    </w:p>
    <w:p w14:paraId="1F937916">
      <w:pPr>
        <w:numPr>
          <w:ilvl w:val="0"/>
          <w:numId w:val="16"/>
        </w:numPr>
        <w:ind w:left="720" w:hanging="360"/>
        <w:rPr>
          <w:u w:val="none"/>
        </w:rPr>
      </w:pPr>
      <w:r>
        <w:t>Conduct</w:t>
      </w:r>
      <w:r>
        <w:rPr>
          <w:lang w:val="en-US"/>
        </w:rPr>
        <w:t xml:space="preserve"> stakeholders </w:t>
      </w:r>
      <w:r>
        <w:t>engagement sessions</w:t>
      </w:r>
      <w:r>
        <w:rPr>
          <w:lang w:val="en-US"/>
        </w:rPr>
        <w:t xml:space="preserve"> </w:t>
      </w:r>
      <w:r>
        <w:t>to introduce project goals</w:t>
      </w:r>
      <w:r>
        <w:rPr>
          <w:lang w:val="en-US"/>
        </w:rPr>
        <w:t>, and strategies, and make an agreement.</w:t>
      </w:r>
    </w:p>
    <w:p w14:paraId="1D16DEC6">
      <w:pPr>
        <w:numPr>
          <w:ilvl w:val="0"/>
          <w:numId w:val="16"/>
        </w:numPr>
        <w:ind w:left="720" w:hanging="360"/>
        <w:rPr>
          <w:u w:val="none"/>
        </w:rPr>
      </w:pPr>
      <w:r>
        <w:t>Recruit sta</w:t>
      </w:r>
      <w:r>
        <w:rPr>
          <w:lang w:val="en-US"/>
        </w:rPr>
        <w:t>ves</w:t>
      </w:r>
      <w:r>
        <w:t xml:space="preserve"> and conduct baseline assessments</w:t>
      </w:r>
      <w:r>
        <w:rPr>
          <w:lang w:val="en-US"/>
        </w:rPr>
        <w:t>.</w:t>
      </w:r>
    </w:p>
    <w:p w14:paraId="20C1A080">
      <w:pPr>
        <w:numPr>
          <w:ilvl w:val="0"/>
          <w:numId w:val="16"/>
        </w:numPr>
        <w:ind w:left="720" w:hanging="360"/>
        <w:rPr>
          <w:u w:val="none"/>
        </w:rPr>
      </w:pPr>
      <w:r>
        <w:rPr>
          <w:lang w:val="en-US"/>
        </w:rPr>
        <w:t>Design, earthworks and muster raw material for infrastructures.</w:t>
      </w:r>
    </w:p>
    <w:p w14:paraId="069FD28E">
      <w:pPr>
        <w:numPr>
          <w:ilvl w:val="0"/>
          <w:numId w:val="16"/>
        </w:numPr>
        <w:ind w:left="720" w:hanging="360"/>
        <w:rPr>
          <w:u w:val="none"/>
        </w:rPr>
      </w:pPr>
      <w:r>
        <w:t>Initiate initial video documentation for project visibility.</w:t>
      </w:r>
    </w:p>
    <w:p w14:paraId="0692D208">
      <w:pPr>
        <w:numPr>
          <w:ilvl w:val="0"/>
          <w:numId w:val="16"/>
        </w:numPr>
        <w:ind w:left="720" w:hanging="360"/>
        <w:rPr>
          <w:u w:val="none"/>
        </w:rPr>
      </w:pPr>
      <w:r>
        <w:rPr>
          <w:lang w:val="en-US"/>
        </w:rPr>
        <w:t>Start developing CSA network and app.</w:t>
      </w:r>
    </w:p>
    <w:p w14:paraId="6B67D391">
      <w:pPr/>
    </w:p>
    <w:p w14:paraId="5421A90F">
      <w:pPr>
        <w:rPr>
          <w:b/>
        </w:rPr>
      </w:pPr>
      <w:r>
        <w:rPr>
          <w:b/>
        </w:rPr>
        <w:t xml:space="preserve">Phase 2: Infrastructure Development (Months </w:t>
      </w:r>
      <w:r>
        <w:rPr>
          <w:b/>
          <w:lang w:val="en-US"/>
        </w:rPr>
        <w:t xml:space="preserve">5 </w:t>
      </w:r>
      <w:r>
        <w:rPr>
          <w:b/>
        </w:rPr>
        <w:t>-</w:t>
      </w:r>
      <w:r>
        <w:rPr>
          <w:b/>
          <w:lang w:val="en-US"/>
        </w:rPr>
        <w:t xml:space="preserve"> 9</w:t>
      </w:r>
      <w:r>
        <w:rPr>
          <w:b/>
        </w:rPr>
        <w:t>)</w:t>
      </w:r>
    </w:p>
    <w:p w14:paraId="185FA848">
      <w:pPr/>
      <w:r>
        <w:t>Activities:</w:t>
      </w:r>
    </w:p>
    <w:p w14:paraId="2087E647">
      <w:pPr>
        <w:numPr>
          <w:ilvl w:val="0"/>
          <w:numId w:val="17"/>
        </w:numPr>
        <w:ind w:left="720" w:hanging="360"/>
        <w:rPr>
          <w:u w:val="none"/>
        </w:rPr>
      </w:pPr>
      <w:r>
        <w:rPr>
          <w:lang w:val="en-US"/>
        </w:rPr>
        <w:t>Build</w:t>
      </w:r>
      <w:r>
        <w:t xml:space="preserve"> </w:t>
      </w:r>
      <w:r>
        <w:rPr>
          <w:lang w:val="en-US"/>
        </w:rPr>
        <w:t xml:space="preserve">chicken </w:t>
      </w:r>
      <w:r>
        <w:t>coops,</w:t>
      </w:r>
      <w:r>
        <w:rPr>
          <w:lang w:val="en-US"/>
        </w:rPr>
        <w:t xml:space="preserve"> composting system, greenhouses, high-tunnels, </w:t>
      </w:r>
      <w:r>
        <w:t>and water-saving installations.</w:t>
      </w:r>
    </w:p>
    <w:p w14:paraId="6C109432">
      <w:pPr>
        <w:numPr>
          <w:ilvl w:val="0"/>
          <w:numId w:val="17"/>
        </w:numPr>
        <w:ind w:left="720" w:hanging="360"/>
        <w:rPr>
          <w:u w:val="none"/>
        </w:rPr>
      </w:pPr>
      <w:r>
        <w:rPr>
          <w:lang w:val="en-US"/>
        </w:rPr>
        <w:t>Build Vermicompost CFTs units.</w:t>
      </w:r>
    </w:p>
    <w:p w14:paraId="6724BE6F">
      <w:pPr>
        <w:numPr>
          <w:ilvl w:val="0"/>
          <w:numId w:val="17"/>
        </w:numPr>
        <w:ind w:left="720" w:hanging="360"/>
        <w:rPr>
          <w:u w:val="none"/>
        </w:rPr>
      </w:pPr>
      <w:r>
        <w:rPr>
          <w:lang w:val="en-US"/>
        </w:rPr>
        <w:t xml:space="preserve">Build </w:t>
      </w:r>
      <w:r>
        <w:t>BSFL cultivation</w:t>
      </w:r>
      <w:r>
        <w:rPr>
          <w:lang w:val="en-US"/>
        </w:rPr>
        <w:t xml:space="preserve"> units and Azolla ponds.</w:t>
      </w:r>
    </w:p>
    <w:p w14:paraId="0F5D1B97">
      <w:pPr>
        <w:numPr>
          <w:ilvl w:val="0"/>
          <w:numId w:val="17"/>
        </w:numPr>
        <w:ind w:left="720" w:hanging="360"/>
        <w:rPr>
          <w:u w:val="none"/>
        </w:rPr>
      </w:pPr>
      <w:r>
        <w:rPr>
          <w:lang w:val="en-US"/>
        </w:rPr>
        <w:t>Build sustainable cottages for eco-retreats.</w:t>
      </w:r>
    </w:p>
    <w:p w14:paraId="64D676FA">
      <w:pPr/>
    </w:p>
    <w:p w14:paraId="40CF721C">
      <w:pPr>
        <w:rPr>
          <w:b/>
        </w:rPr>
      </w:pPr>
      <w:r>
        <w:rPr>
          <w:b/>
        </w:rPr>
        <w:t xml:space="preserve">Phase 3: Closed-Loop Systems and CSA Launch (Months </w:t>
      </w:r>
      <w:r>
        <w:rPr>
          <w:b/>
          <w:lang w:val="en-US"/>
        </w:rPr>
        <w:t>10</w:t>
      </w:r>
      <w:r>
        <w:rPr>
          <w:b/>
        </w:rPr>
        <w:t>-</w:t>
      </w:r>
      <w:r>
        <w:rPr>
          <w:b/>
          <w:lang w:val="en-US"/>
        </w:rPr>
        <w:t>12</w:t>
      </w:r>
      <w:r>
        <w:rPr>
          <w:b/>
        </w:rPr>
        <w:t>)</w:t>
      </w:r>
    </w:p>
    <w:p w14:paraId="508488DA">
      <w:pPr/>
      <w:r>
        <w:t>Activities:</w:t>
      </w:r>
    </w:p>
    <w:p w14:paraId="40331C6F">
      <w:pPr>
        <w:numPr>
          <w:ilvl w:val="0"/>
          <w:numId w:val="18"/>
        </w:numPr>
        <w:ind w:left="720" w:hanging="360"/>
        <w:rPr>
          <w:u w:val="none"/>
        </w:rPr>
      </w:pPr>
      <w:r>
        <w:rPr>
          <w:u w:val="none"/>
          <w:lang w:val="en-US"/>
        </w:rPr>
        <w:t>Introduce chicken composting system and bokashi composting systems.</w:t>
      </w:r>
    </w:p>
    <w:p w14:paraId="31C75F5D">
      <w:pPr>
        <w:numPr>
          <w:ilvl w:val="0"/>
          <w:numId w:val="18"/>
        </w:numPr>
        <w:ind w:left="720" w:hanging="360"/>
        <w:rPr>
          <w:u w:val="none"/>
        </w:rPr>
      </w:pPr>
      <w:r>
        <w:rPr>
          <w:u w:val="none"/>
          <w:lang w:val="en-US"/>
        </w:rPr>
        <w:t>Introduce Vermicompost CFTs units, BSFL units, Azolla, and agroforestry system.</w:t>
      </w:r>
    </w:p>
    <w:p w14:paraId="71E11B53">
      <w:pPr>
        <w:numPr>
          <w:ilvl w:val="0"/>
          <w:numId w:val="18"/>
        </w:numPr>
        <w:ind w:left="720" w:hanging="360"/>
        <w:rPr>
          <w:u w:val="none"/>
        </w:rPr>
      </w:pPr>
      <w:r>
        <w:t>Implement foraging strategies to enhance feed options</w:t>
      </w:r>
      <w:r>
        <w:rPr>
          <w:lang w:val="en-US"/>
        </w:rPr>
        <w:t xml:space="preserve"> and nutrient cycling.</w:t>
      </w:r>
    </w:p>
    <w:p w14:paraId="7215E9F5">
      <w:pPr>
        <w:numPr>
          <w:ilvl w:val="0"/>
          <w:numId w:val="18"/>
        </w:numPr>
        <w:ind w:left="720" w:hanging="360"/>
        <w:rPr>
          <w:u w:val="none"/>
        </w:rPr>
      </w:pPr>
      <w:r>
        <w:t>Introduce the CSA platform and engage subscribers</w:t>
      </w:r>
      <w:r>
        <w:rPr>
          <w:lang w:val="en-US"/>
        </w:rPr>
        <w:t>.</w:t>
      </w:r>
    </w:p>
    <w:p w14:paraId="2337A716">
      <w:pPr/>
    </w:p>
    <w:p w14:paraId="1C1CDCFF">
      <w:pPr>
        <w:rPr>
          <w:b/>
        </w:rPr>
      </w:pPr>
      <w:r>
        <w:rPr>
          <w:b/>
        </w:rPr>
        <w:t>Phase 4: Market Engagement and Expansion (Months 1</w:t>
      </w:r>
      <w:r>
        <w:rPr>
          <w:b/>
          <w:lang w:val="en-US"/>
        </w:rPr>
        <w:t>2</w:t>
      </w:r>
      <w:r>
        <w:rPr>
          <w:b/>
        </w:rPr>
        <w:t>-1</w:t>
      </w:r>
      <w:r>
        <w:rPr>
          <w:b/>
          <w:lang w:val="en-US"/>
        </w:rPr>
        <w:t>4</w:t>
      </w:r>
      <w:r>
        <w:rPr>
          <w:b/>
        </w:rPr>
        <w:t>)</w:t>
      </w:r>
    </w:p>
    <w:p w14:paraId="11F3E758">
      <w:pPr/>
      <w:r>
        <w:t>Activities:</w:t>
      </w:r>
    </w:p>
    <w:p w14:paraId="7CBAFB16">
      <w:pPr>
        <w:numPr>
          <w:ilvl w:val="0"/>
          <w:numId w:val="19"/>
        </w:numPr>
        <w:ind w:left="720" w:hanging="360"/>
        <w:rPr>
          <w:u w:val="none"/>
        </w:rPr>
      </w:pPr>
      <w:r>
        <w:t>Expand CSA subscriptions and eco-retreat programs.</w:t>
      </w:r>
    </w:p>
    <w:p w14:paraId="30232B7E">
      <w:pPr>
        <w:numPr>
          <w:ilvl w:val="0"/>
          <w:numId w:val="19"/>
        </w:numPr>
        <w:ind w:left="720" w:hanging="360"/>
        <w:rPr>
          <w:u w:val="none"/>
        </w:rPr>
      </w:pPr>
      <w:r>
        <w:t xml:space="preserve">Form partnerships with local </w:t>
      </w:r>
      <w:r>
        <w:rPr>
          <w:lang w:val="en-US"/>
        </w:rPr>
        <w:t xml:space="preserve">agriculture ventures or </w:t>
      </w:r>
      <w:r>
        <w:t>businesses for market access.</w:t>
      </w:r>
    </w:p>
    <w:p w14:paraId="20A3C4AA">
      <w:pPr/>
    </w:p>
    <w:p w14:paraId="048134A4">
      <w:pPr>
        <w:rPr>
          <w:b/>
        </w:rPr>
      </w:pPr>
      <w:r>
        <w:rPr>
          <w:b/>
        </w:rPr>
        <w:t>Phase 5: Monitoring and Optimization (Ongoing)</w:t>
      </w:r>
    </w:p>
    <w:p w14:paraId="13B43706">
      <w:pPr/>
      <w:r>
        <w:t>Activities:</w:t>
      </w:r>
    </w:p>
    <w:p w14:paraId="7575E7BD">
      <w:pPr>
        <w:numPr>
          <w:ilvl w:val="0"/>
          <w:numId w:val="20"/>
        </w:numPr>
        <w:ind w:left="720" w:hanging="360"/>
        <w:rPr>
          <w:u w:val="none"/>
        </w:rPr>
      </w:pPr>
      <w:r>
        <w:t>Track soil health, water usage, CSA success, and community satisfaction.</w:t>
      </w:r>
    </w:p>
    <w:p w14:paraId="21B69C10">
      <w:pPr>
        <w:numPr>
          <w:ilvl w:val="0"/>
          <w:numId w:val="20"/>
        </w:numPr>
        <w:ind w:left="720" w:hanging="360"/>
        <w:rPr>
          <w:u w:val="none"/>
        </w:rPr>
      </w:pPr>
      <w:r>
        <w:t>Refine practices based on feedback to maximize impact.</w:t>
      </w:r>
    </w:p>
    <w:p w14:paraId="3061B922">
      <w:pPr/>
    </w:p>
    <w:p w14:paraId="6D187FB1">
      <w:pPr>
        <w:rPr>
          <w:b/>
        </w:rPr>
      </w:pPr>
      <w:r>
        <w:rPr>
          <w:b/>
        </w:rPr>
        <w:t>Monitoring, Evaluation, and Learning Framework</w:t>
      </w:r>
    </w:p>
    <w:p w14:paraId="0F970E7D">
      <w:pPr/>
    </w:p>
    <w:p w14:paraId="7A241AA4">
      <w:pPr>
        <w:numPr>
          <w:ilvl w:val="0"/>
          <w:numId w:val="21"/>
        </w:numPr>
        <w:ind w:left="720" w:hanging="360"/>
        <w:rPr>
          <w:b/>
        </w:rPr>
      </w:pPr>
      <w:r>
        <w:rPr>
          <w:b/>
        </w:rPr>
        <w:t>Objectives and Outcomes</w:t>
      </w:r>
    </w:p>
    <w:p w14:paraId="5C4DE298">
      <w:pPr>
        <w:numPr>
          <w:ilvl w:val="0"/>
          <w:numId w:val="22"/>
        </w:numPr>
        <w:ind w:left="1440" w:hanging="360"/>
        <w:rPr>
          <w:u w:val="none"/>
        </w:rPr>
      </w:pPr>
      <w:r>
        <w:t xml:space="preserve">Soil Health: Achieve a </w:t>
      </w:r>
      <w:r>
        <w:rPr>
          <w:lang w:val="en-US"/>
        </w:rPr>
        <w:t>5</w:t>
      </w:r>
      <w:r>
        <w:t>0% increase in soil organic matter.</w:t>
      </w:r>
    </w:p>
    <w:p w14:paraId="7457A22D">
      <w:pPr>
        <w:numPr>
          <w:ilvl w:val="0"/>
          <w:numId w:val="22"/>
        </w:numPr>
        <w:ind w:left="1440" w:hanging="360"/>
        <w:rPr>
          <w:u w:val="none"/>
        </w:rPr>
      </w:pPr>
      <w:r>
        <w:t>Synthetic Input Reduction: 100% reduction in synthetic fertilizer use.</w:t>
      </w:r>
    </w:p>
    <w:p w14:paraId="0ADD4625">
      <w:pPr>
        <w:numPr>
          <w:ilvl w:val="0"/>
          <w:numId w:val="22"/>
        </w:numPr>
        <w:ind w:left="1440" w:hanging="360"/>
        <w:rPr>
          <w:u w:val="none"/>
        </w:rPr>
      </w:pPr>
      <w:r>
        <w:t>Economic and Ecological Resilience: Enhanced income stability, crop diversity, and biodiversity.</w:t>
      </w:r>
    </w:p>
    <w:p w14:paraId="311ABEB0">
      <w:pPr>
        <w:numPr>
          <w:ilvl w:val="0"/>
          <w:numId w:val="21"/>
        </w:numPr>
        <w:ind w:left="720" w:hanging="360"/>
        <w:rPr>
          <w:b/>
        </w:rPr>
      </w:pPr>
      <w:r>
        <w:rPr>
          <w:b/>
        </w:rPr>
        <w:t>Indicators and Data Collection</w:t>
      </w:r>
    </w:p>
    <w:p w14:paraId="2450AED1">
      <w:pPr>
        <w:numPr>
          <w:ilvl w:val="0"/>
          <w:numId w:val="23"/>
        </w:numPr>
        <w:ind w:left="1440" w:hanging="360"/>
        <w:rPr>
          <w:u w:val="none"/>
        </w:rPr>
      </w:pPr>
      <w:r>
        <w:t>Collect data on soil metrics, compost production, water usage, CSA sales, and customer satisfaction.</w:t>
      </w:r>
    </w:p>
    <w:p w14:paraId="6F2DE4D2">
      <w:pPr>
        <w:numPr>
          <w:ilvl w:val="0"/>
          <w:numId w:val="21"/>
        </w:numPr>
        <w:ind w:left="720" w:hanging="360"/>
        <w:rPr>
          <w:b/>
        </w:rPr>
      </w:pPr>
      <w:r>
        <w:rPr>
          <w:b/>
        </w:rPr>
        <w:t>Evaluation Schedule</w:t>
      </w:r>
    </w:p>
    <w:p w14:paraId="2E3303AF">
      <w:pPr>
        <w:numPr>
          <w:ilvl w:val="0"/>
          <w:numId w:val="24"/>
        </w:numPr>
        <w:ind w:left="1440" w:hanging="360"/>
        <w:rPr>
          <w:u w:val="none"/>
        </w:rPr>
      </w:pPr>
      <w:r>
        <w:t xml:space="preserve">Conduct a baseline survey in Month 1, a mid-term evaluation in Month </w:t>
      </w:r>
      <w:r>
        <w:rPr>
          <w:lang w:val="en-US"/>
        </w:rPr>
        <w:t>14</w:t>
      </w:r>
      <w:r>
        <w:t xml:space="preserve">, and a final evaluation in Month </w:t>
      </w:r>
      <w:r>
        <w:rPr>
          <w:lang w:val="en-US"/>
        </w:rPr>
        <w:t>24</w:t>
      </w:r>
      <w:r>
        <w:t>.</w:t>
      </w:r>
    </w:p>
    <w:p w14:paraId="501637C8">
      <w:pPr>
        <w:numPr>
          <w:ilvl w:val="0"/>
          <w:numId w:val="21"/>
        </w:numPr>
        <w:ind w:left="720" w:hanging="360"/>
        <w:rPr>
          <w:b/>
        </w:rPr>
      </w:pPr>
      <w:r>
        <w:rPr>
          <w:b/>
        </w:rPr>
        <w:t>Learning and Adaptation</w:t>
      </w:r>
    </w:p>
    <w:p w14:paraId="2DEC44C3">
      <w:pPr>
        <w:numPr>
          <w:ilvl w:val="0"/>
          <w:numId w:val="25"/>
        </w:numPr>
        <w:ind w:left="1440" w:hanging="360"/>
        <w:rPr>
          <w:u w:val="none"/>
        </w:rPr>
      </w:pPr>
      <w:r>
        <w:t>Host biannual workshops to refine strategies and share lessons learned.</w:t>
      </w:r>
    </w:p>
    <w:p w14:paraId="4B0D3E94">
      <w:pPr>
        <w:numPr>
          <w:ilvl w:val="0"/>
          <w:numId w:val="21"/>
        </w:numPr>
        <w:ind w:left="720" w:hanging="360"/>
        <w:rPr>
          <w:b/>
        </w:rPr>
      </w:pPr>
      <w:r>
        <w:rPr>
          <w:b/>
        </w:rPr>
        <w:t>Reporting</w:t>
      </w:r>
    </w:p>
    <w:p w14:paraId="02F827F6">
      <w:pPr>
        <w:numPr>
          <w:ilvl w:val="0"/>
          <w:numId w:val="26"/>
        </w:numPr>
        <w:ind w:left="1440" w:hanging="360"/>
        <w:rPr>
          <w:u w:val="none"/>
        </w:rPr>
      </w:pPr>
      <w:r>
        <w:t>Provide quarterly updates, annual impact reports, and a final evaluation.</w:t>
      </w:r>
    </w:p>
    <w:p w14:paraId="5B6CD2F1">
      <w:pPr/>
    </w:p>
    <w:p w14:paraId="1AFBC435">
      <w:pPr>
        <w:rPr>
          <w:b/>
        </w:rPr>
      </w:pPr>
    </w:p>
    <w:p w14:paraId="0CE09870">
      <w:pPr>
        <w:rPr>
          <w:b/>
        </w:rPr>
      </w:pPr>
    </w:p>
    <w:p w14:paraId="32510D76">
      <w:pPr>
        <w:rPr>
          <w:b/>
        </w:rPr>
      </w:pPr>
      <w:r>
        <w:rPr>
          <w:b/>
        </w:rPr>
        <w:t>Scalability and Replication Strategy</w:t>
      </w:r>
    </w:p>
    <w:p w14:paraId="23231F54">
      <w:pPr/>
    </w:p>
    <w:p w14:paraId="4A3F193F">
      <w:pPr/>
      <w:r>
        <w:t>The "Regeneration for Generations" model is adaptable, allowing it to be scaled across diverse regions. Starting with leased peri-urban land around Kathmandu, our strategy acknowledges urban expansion realities and the prevalence of leased farming spaces. This model’s flexibility ensures it can be tailored to various climates and community needs.</w:t>
      </w:r>
    </w:p>
    <w:p w14:paraId="7F6FC923">
      <w:pPr/>
    </w:p>
    <w:p w14:paraId="6D852698">
      <w:pPr/>
      <w:r>
        <w:t>To support replication, we will create open-access resources—step-by-step instructional videos, a CSA app, digital toolkits, and detailed guides on sustainable practices. These resources, along with on-the-ground demonstration farms, will empower others to adopt or modify our regenerative techniques.</w:t>
      </w:r>
    </w:p>
    <w:p w14:paraId="66B0198B">
      <w:pPr/>
    </w:p>
    <w:p w14:paraId="608E66CA">
      <w:pPr/>
      <w:r>
        <w:t>Our focus on locally available inputs reduces reliance on imports, making the model practical worldwide. By documenting each phase of development and freely sharing insights, we aim to inspire a global shift toward sustainable food systems.</w:t>
      </w:r>
    </w:p>
    <w:p w14:paraId="50D3E795">
      <w:pPr/>
    </w:p>
    <w:p w14:paraId="1C7E3774">
      <w:pPr>
        <w:rPr>
          <w:b/>
        </w:rPr>
      </w:pPr>
      <w:r>
        <w:rPr>
          <w:b/>
        </w:rPr>
        <w:t>Community Engagement Strategy</w:t>
      </w:r>
    </w:p>
    <w:p w14:paraId="5649C332">
      <w:pPr/>
    </w:p>
    <w:p w14:paraId="2A666229">
      <w:pPr/>
      <w:r>
        <w:t xml:space="preserve">Building trust and active participation among </w:t>
      </w:r>
      <w:r>
        <w:rPr>
          <w:lang w:val="en-US"/>
        </w:rPr>
        <w:t xml:space="preserve">landowners, </w:t>
      </w:r>
      <w:r>
        <w:t>local farmers</w:t>
      </w:r>
      <w:r>
        <w:rPr>
          <w:lang w:val="en-US"/>
        </w:rPr>
        <w:t>,</w:t>
      </w:r>
      <w:r>
        <w:t xml:space="preserve"> and urban consumers is essential for the success of the project. We will initiate the engagement process with a series of community meetings</w:t>
      </w:r>
      <w:r>
        <w:rPr>
          <w:lang w:val="en-US"/>
        </w:rPr>
        <w:t xml:space="preserve"> in collaboration with local organizations </w:t>
      </w:r>
      <w:r>
        <w:t>to introduce the project’s goals, benefits, and the regenerative techniques we plan to implement. These gatherings will serve as a platform for local farmers to share concerns, suggest adaptations, and align the project with local needs.</w:t>
      </w:r>
    </w:p>
    <w:p w14:paraId="791CA01E">
      <w:pPr/>
    </w:p>
    <w:p w14:paraId="34ED725C">
      <w:pPr/>
      <w:r>
        <w:t>To ensure hands-on learning, we will establish on-site demonstrations of regenerative practices, including composting, agroforestry, and sustainable livestock management. We also aim to attract youth participation by offering internships, emphasizing skill-building and long-term career opportunities in sustainable agriculture. This strategy aims to shift the perception of farming from a traditional, low-reward job to an innovative and impactful career.</w:t>
      </w:r>
    </w:p>
    <w:p w14:paraId="22D34622">
      <w:pPr/>
    </w:p>
    <w:p w14:paraId="3614C4EB">
      <w:pPr/>
      <w:r>
        <w:t>Furthermore, we will build a feedback loop through regular workshops, farm tours, and focus groups to refine practices based on community input. Our goal is to foster a collaborative environment where all stakeholders feel invested in creating a sustainable and resilient local food system.</w:t>
      </w:r>
    </w:p>
    <w:p w14:paraId="716D82B1">
      <w:pPr>
        <w:rPr>
          <w:b/>
        </w:rPr>
      </w:pPr>
    </w:p>
    <w:p w14:paraId="6512F40A">
      <w:pPr>
        <w:rPr>
          <w:b/>
        </w:rPr>
      </w:pPr>
    </w:p>
    <w:p w14:paraId="5137152A">
      <w:pPr>
        <w:rPr>
          <w:b/>
        </w:rPr>
      </w:pPr>
    </w:p>
    <w:p w14:paraId="1937C88C">
      <w:pPr>
        <w:rPr>
          <w:b/>
        </w:rPr>
      </w:pPr>
      <w:r>
        <w:rPr>
          <w:b/>
        </w:rPr>
        <w:t>Threats and Mitigation Plan</w:t>
      </w:r>
    </w:p>
    <w:p w14:paraId="0A585CA0">
      <w:pPr/>
    </w:p>
    <w:p w14:paraId="48C614C4">
      <w:pPr/>
      <w:r>
        <w:t>Our threat mitigation strategy focuses on practical, measurable actions to ensure project success:</w:t>
      </w:r>
    </w:p>
    <w:p w14:paraId="5A9DB0DB">
      <w:pPr/>
    </w:p>
    <w:p w14:paraId="6705AFE7">
      <w:pPr>
        <w:numPr>
          <w:ilvl w:val="0"/>
          <w:numId w:val="27"/>
        </w:numPr>
        <w:ind w:left="720" w:hanging="360"/>
        <w:rPr>
          <w:b/>
        </w:rPr>
      </w:pPr>
      <w:r>
        <w:rPr>
          <w:b/>
        </w:rPr>
        <w:t>Market Uncertainty:</w:t>
      </w:r>
    </w:p>
    <w:p w14:paraId="66A4941A">
      <w:pPr>
        <w:numPr>
          <w:ilvl w:val="0"/>
          <w:numId w:val="28"/>
        </w:numPr>
        <w:ind w:left="1440" w:hanging="360"/>
        <w:rPr>
          <w:u w:val="none"/>
        </w:rPr>
      </w:pPr>
      <w:r>
        <w:t>Target a 50% diversification of sales channels, including CSA subscriptions, local farmers’ markets, and online platforms within the first year.</w:t>
      </w:r>
    </w:p>
    <w:p w14:paraId="644633E0">
      <w:pPr>
        <w:numPr>
          <w:ilvl w:val="0"/>
          <w:numId w:val="28"/>
        </w:numPr>
        <w:ind w:left="1440" w:hanging="360"/>
        <w:rPr>
          <w:u w:val="none"/>
        </w:rPr>
      </w:pPr>
      <w:r>
        <w:t>Establish partnerships with local restaurants and retailers to secure consistent demand for produce.</w:t>
      </w:r>
    </w:p>
    <w:p w14:paraId="394BC136">
      <w:pPr>
        <w:numPr>
          <w:ilvl w:val="0"/>
          <w:numId w:val="28"/>
        </w:numPr>
        <w:ind w:left="1440" w:hanging="360"/>
        <w:rPr>
          <w:u w:val="none"/>
        </w:rPr>
      </w:pPr>
      <w:r>
        <w:t>Pre-sell 70% of our produce through CSA contracts to stabilize income.</w:t>
      </w:r>
    </w:p>
    <w:p w14:paraId="26DD6ED5">
      <w:pPr>
        <w:ind w:left="1440" w:firstLine="0"/>
      </w:pPr>
    </w:p>
    <w:p w14:paraId="2DB81C2B">
      <w:pPr>
        <w:numPr>
          <w:ilvl w:val="0"/>
          <w:numId w:val="27"/>
        </w:numPr>
        <w:ind w:left="720" w:hanging="360"/>
        <w:rPr>
          <w:b/>
        </w:rPr>
      </w:pPr>
      <w:r>
        <w:rPr>
          <w:b/>
        </w:rPr>
        <w:t>Climate Variability:</w:t>
      </w:r>
    </w:p>
    <w:p w14:paraId="18FBAD45">
      <w:pPr>
        <w:numPr>
          <w:ilvl w:val="0"/>
          <w:numId w:val="29"/>
        </w:numPr>
        <w:ind w:left="1440" w:hanging="360"/>
        <w:rPr>
          <w:u w:val="none"/>
        </w:rPr>
      </w:pPr>
      <w:r>
        <w:t>Introduce drought-resistant crop varieties covering 30% of cultivated areas.</w:t>
      </w:r>
    </w:p>
    <w:p w14:paraId="12E46301">
      <w:pPr>
        <w:numPr>
          <w:ilvl w:val="0"/>
          <w:numId w:val="29"/>
        </w:numPr>
        <w:ind w:left="1440" w:hanging="360"/>
        <w:rPr>
          <w:u w:val="none"/>
        </w:rPr>
      </w:pPr>
      <w:r>
        <w:t>Implement rainwater harvesting systems targeting a 50,000-liter capacity to ensure reliable irrigation.</w:t>
      </w:r>
    </w:p>
    <w:p w14:paraId="5ABC1CEB">
      <w:pPr>
        <w:numPr>
          <w:ilvl w:val="0"/>
          <w:numId w:val="29"/>
        </w:numPr>
        <w:ind w:left="1440" w:hanging="360"/>
        <w:rPr>
          <w:u w:val="none"/>
        </w:rPr>
      </w:pPr>
      <w:r>
        <w:t>Use drip irrigation to reduce water consumption by 40% compared to traditional methods, supported by agroforestry buffers to combat soil erosion.</w:t>
      </w:r>
    </w:p>
    <w:p w14:paraId="5D382D80">
      <w:pPr>
        <w:numPr>
          <w:ilvl w:val="0"/>
          <w:numId w:val="27"/>
        </w:numPr>
        <w:ind w:left="720" w:hanging="360"/>
        <w:rPr>
          <w:b/>
        </w:rPr>
      </w:pPr>
      <w:r>
        <w:rPr>
          <w:b/>
        </w:rPr>
        <w:t>Labor Shortages:</w:t>
      </w:r>
    </w:p>
    <w:p w14:paraId="224666B9">
      <w:pPr>
        <w:numPr>
          <w:ilvl w:val="0"/>
          <w:numId w:val="30"/>
        </w:numPr>
        <w:ind w:left="1440" w:hanging="360"/>
        <w:rPr>
          <w:u w:val="none"/>
        </w:rPr>
      </w:pPr>
      <w:r>
        <w:t xml:space="preserve">Establish partnerships with educational institutions to launch internship programs, training at least </w:t>
      </w:r>
      <w:r>
        <w:rPr>
          <w:lang w:val="en-US"/>
        </w:rPr>
        <w:t>24</w:t>
      </w:r>
      <w:r>
        <w:t xml:space="preserve"> young individuals annually.</w:t>
      </w:r>
    </w:p>
    <w:p w14:paraId="67BB8BF2">
      <w:pPr>
        <w:numPr>
          <w:ilvl w:val="0"/>
          <w:numId w:val="30"/>
        </w:numPr>
        <w:ind w:left="1440" w:hanging="360"/>
        <w:rPr>
          <w:u w:val="none"/>
        </w:rPr>
      </w:pPr>
      <w:r>
        <w:t>Aim to retain 50% of interns as long-term contributors to the farm.</w:t>
      </w:r>
    </w:p>
    <w:p w14:paraId="00000007">
      <w:pPr>
        <w:numPr>
          <w:ilvl w:val="0"/>
          <w:numId w:val="27"/>
        </w:numPr>
        <w:ind w:left="720" w:hanging="360"/>
        <w:rPr>
          <w:b/>
        </w:rPr>
      </w:pPr>
      <w:r>
        <w:rPr>
          <w:b/>
        </w:rPr>
        <w:t>Community Resistance:</w:t>
      </w:r>
    </w:p>
    <w:p w14:paraId="3D17A47D">
      <w:pPr>
        <w:numPr>
          <w:ilvl w:val="0"/>
          <w:numId w:val="31"/>
        </w:numPr>
        <w:ind w:left="1440" w:hanging="360"/>
        <w:rPr>
          <w:u w:val="none"/>
        </w:rPr>
      </w:pPr>
      <w:r>
        <w:t>Conduct six bi-monthly training sessions with a target of 80% local participation.</w:t>
      </w:r>
    </w:p>
    <w:p w14:paraId="7C90AA22">
      <w:pPr>
        <w:numPr>
          <w:ilvl w:val="0"/>
          <w:numId w:val="31"/>
        </w:numPr>
        <w:ind w:left="1440" w:hanging="360"/>
        <w:rPr>
          <w:u w:val="none"/>
        </w:rPr>
      </w:pPr>
      <w:r>
        <w:t>Create visi</w:t>
      </w:r>
      <w:r>
        <w:rPr>
          <w:lang w:val="zh-CN"/>
        </w:rPr>
        <w:t>demonstration.</w:t>
      </w:r>
    </w:p>
    <w:p w14:paraId="320B71C9">
      <w:pPr>
        <w:numPr>
          <w:ilvl w:val="0"/>
          <w:numId w:val="2"/>
        </w:numPr>
        <w:ind w:left="720" w:hanging="360"/>
        <w:rPr>
          <w:b/>
        </w:rPr>
      </w:pPr>
      <w:r>
        <w:rPr>
          <w:b/>
        </w:rPr>
        <w:t>Supply Cha</w:t>
      </w:r>
      <w:r>
        <w:rPr>
          <w:b/>
          <w:lang w:val="en-US"/>
        </w:rPr>
        <w:t>in:</w:t>
      </w:r>
    </w:p>
    <w:p w14:paraId="3C96E0AB">
      <w:pPr>
        <w:numPr>
          <w:ilvl w:val="0"/>
          <w:numId w:val="32"/>
        </w:numPr>
        <w:ind w:left="1440" w:hanging="360"/>
        <w:rPr>
          <w:u w:val="none"/>
        </w:rPr>
      </w:pPr>
      <w:r>
        <w:t>Source from at least three suppliers for critical inputs to avoid dependency on a single source.</w:t>
      </w:r>
    </w:p>
    <w:p w14:paraId="6C724951">
      <w:pPr>
        <w:numPr>
          <w:ilvl w:val="0"/>
          <w:numId w:val="32"/>
        </w:numPr>
        <w:ind w:left="1440" w:hanging="360"/>
        <w:rPr>
          <w:u w:val="none"/>
        </w:rPr>
      </w:pPr>
      <w:r>
        <w:t>Establish an emergency fund of 10% of our annual budget to provide a financial cushion against unforeseen supply chain issues.</w:t>
      </w:r>
    </w:p>
    <w:p w14:paraId="733785A9">
      <w:pPr/>
    </w:p>
    <w:p w14:paraId="42D124CD">
      <w:pPr/>
    </w:p>
    <w:p w14:paraId="16C19F79">
      <w:pPr/>
      <w:r>
        <w:rPr>
          <w:b/>
        </w:rPr>
        <w:t>Conclusion</w:t>
      </w:r>
    </w:p>
    <w:p w14:paraId="15E595CD">
      <w:pPr/>
      <w:r>
        <w:t>"Regeneration for Generations" embodies a philosophy that recognizes the interconnectedness of community, environment, and economy. In an era marked by rapid urbanization and climate change, our initiative stands as a beacon of resilience and innovation within peri-urban farming. We envision a future where sustainable agriculture is fundamental—a future where food production harmonizes with nature rather than opposing it.</w:t>
      </w:r>
    </w:p>
    <w:p w14:paraId="133CDAC1">
      <w:pPr/>
    </w:p>
    <w:p w14:paraId="671E8F64">
      <w:pPr/>
      <w:r>
        <w:t xml:space="preserve">This proposal is practical and grounded in a regenerative farming model that incorporates modern techniques alongside traditional wisdom. By focusing on chicken-based permaculture, BSFL farming, and agroforestry, we address pressing challenges such as soil degradation and market instability while fostering a culture of sustainability. Our objectives, including a </w:t>
      </w:r>
      <w:r>
        <w:rPr>
          <w:lang w:val="en-US"/>
        </w:rPr>
        <w:t>5</w:t>
      </w:r>
      <w:r>
        <w:t>0% increase in soil organic matter and a 100% reduction in synthetic fertilizer use, are data-driven and measurable, allowing us to track our progress and adapt strategies effectively.</w:t>
      </w:r>
    </w:p>
    <w:p w14:paraId="20BB6AB6">
      <w:pPr/>
    </w:p>
    <w:p w14:paraId="49608765">
      <w:pPr/>
      <w:r>
        <w:t>Moreover, our project aims to bridge the gap between urban consumers and local farmers, promoting a relationship built on respect and understanding of sustainable food systems. By providing educational programs and a bilingual CSA app, we empower consumers to make informed choices that support local economies.</w:t>
      </w:r>
    </w:p>
    <w:p w14:paraId="0E96C78A">
      <w:pPr/>
    </w:p>
    <w:p w14:paraId="4ACE4BDA">
      <w:pPr/>
      <w:r>
        <w:t>Investing in "Regeneration for Generations" is not merely about transforming farming practices; it is about cultivating a legacy of regeneration that benefits both people and the planet. By joining us in this endeavor,</w:t>
      </w:r>
      <w:r>
        <w:rPr>
          <w:lang w:val="en-US"/>
        </w:rPr>
        <w:t xml:space="preserve"> your organization </w:t>
      </w:r>
      <w:r>
        <w:t>will play a pivotal role in fostering sustainable practices that honor our shared values and aspirations for a resilient future. Together, we can sow the seeds of change, nurturing them with knowledge, community, and an unwavering commitment to a sustainable tomorrow. Let us create a world where people and the environment flourish side by side for generations to come.</w:t>
      </w:r>
    </w:p>
    <w:p w14:paraId="47125903">
      <w:pPr/>
    </w:p>
    <w:p w14:paraId="001E801B">
      <w:pPr/>
    </w:p>
    <w:p w14:paraId="55DCD929">
      <w:pPr/>
    </w:p>
    <w:p w14:paraId="64E7C9AE">
      <w:pPr/>
    </w:p>
    <w:p w14:paraId="6978D510">
      <w:pPr/>
    </w:p>
    <w:p w14:paraId="0E1F519A">
      <w:pPr/>
    </w:p>
    <w:p w14:paraId="42C35067">
      <w:pPr/>
    </w:p>
    <w:p w14:paraId="5B047FFF">
      <w:pPr/>
    </w:p>
    <w:p w14:paraId="536536CF">
      <w:pPr/>
    </w:p>
    <w:p w14:paraId="48D82775">
      <w:pPr/>
    </w:p>
    <w:p w14:paraId="2DB0245D">
      <w:pPr/>
    </w:p>
    <w:p w14:paraId="4AE3C9EE">
      <w:pPr/>
    </w:p>
    <w:p w14:paraId="5AB23393">
      <w:pPr/>
    </w:p>
    <w:p w14:paraId="1ECA205F">
      <w:pPr/>
    </w:p>
    <w:p w14:paraId="69A646C3">
      <w:pPr/>
    </w:p>
    <w:p w14:paraId="453A247D">
      <w:pPr/>
    </w:p>
    <w:p w14:paraId="1BC35D8C">
      <w:pPr/>
    </w:p>
    <w:p w14:paraId="0B19EB24">
      <w:pPr/>
    </w:p>
    <w:p w14:paraId="1753CDC4">
      <w:pPr/>
    </w:p>
    <w:p w14:paraId="1B40C8C7">
      <w:pPr/>
    </w:p>
    <w:p w14:paraId="3C7BE904">
      <w:pPr/>
    </w:p>
    <w:p w14:paraId="43F9C788">
      <w:pPr/>
    </w:p>
    <w:p w14:paraId="37E5CCB0">
      <w:pPr/>
    </w:p>
    <w:p w14:paraId="513002A5">
      <w:pPr>
        <w:rPr>
          <w:rFonts w:hint="eastAsia"/>
        </w:rPr>
      </w:pPr>
    </w:p>
    <w:p w14:paraId="7D44DE1D">
      <w:pPr>
        <w:rPr>
          <w:rFonts w:hint="eastAsia"/>
        </w:rPr>
      </w:pPr>
      <w:r>
        <w:rPr>
          <w:rFonts w:hint="eastAsia"/>
          <w:b/>
          <w:bCs/>
        </w:rPr>
        <w:t>APPENDIX: EVIDENCE-BASED SUPPORT FOR PROBLEM STATEMENTS AND SOLUTIONS</w:t>
      </w:r>
    </w:p>
    <w:p w14:paraId="5D94382C">
      <w:pPr>
        <w:rPr>
          <w:rFonts w:hint="eastAsia"/>
        </w:rPr>
      </w:pPr>
    </w:p>
    <w:p w14:paraId="40E1B5E7">
      <w:pPr>
        <w:rPr>
          <w:rFonts w:hint="eastAsia"/>
        </w:rPr>
      </w:pPr>
    </w:p>
    <w:p w14:paraId="4F9E5C75">
      <w:pPr>
        <w:rPr>
          <w:rFonts w:hint="eastAsia"/>
        </w:rPr>
      </w:pPr>
      <w:r>
        <w:rPr>
          <w:rFonts w:hint="eastAsia"/>
        </w:rPr>
        <w:t>NOTE: All sources are peer-reviewed studies or UN agency reports. Full URLs are provided for hard-copy verification.</w:t>
      </w:r>
    </w:p>
    <w:p w14:paraId="594FDFF7">
      <w:pPr>
        <w:rPr>
          <w:rFonts w:hint="eastAsia"/>
        </w:rPr>
      </w:pPr>
    </w:p>
    <w:p w14:paraId="5C7D40C6">
      <w:pPr>
        <w:rPr>
          <w:rFonts w:hint="eastAsia"/>
          <w:b/>
          <w:bCs/>
        </w:rPr>
      </w:pPr>
      <w:r>
        <w:rPr>
          <w:rFonts w:hint="eastAsia"/>
          <w:b/>
          <w:bCs/>
        </w:rPr>
        <w:t>APPENDIX A: PROBLEM STATEMENT EVIDENCE</w:t>
      </w:r>
    </w:p>
    <w:p w14:paraId="53A69097">
      <w:pPr>
        <w:rPr>
          <w:rFonts w:hint="eastAsia"/>
          <w:b/>
          <w:bCs/>
        </w:rPr>
      </w:pPr>
    </w:p>
    <w:p w14:paraId="715DB795">
      <w:pPr>
        <w:rPr>
          <w:rFonts w:hint="eastAsia"/>
        </w:rPr>
      </w:pPr>
      <w:r>
        <w:rPr>
          <w:rFonts w:hint="eastAsia"/>
          <w:b/>
          <w:bCs/>
        </w:rPr>
        <w:t>1. MARKET INSTABILITY, PRICE HIKES, AND IMPORT DEPENDENCE</w:t>
      </w:r>
    </w:p>
    <w:p w14:paraId="2A047994">
      <w:pPr>
        <w:rPr>
          <w:rFonts w:hint="eastAsia"/>
        </w:rPr>
      </w:pPr>
    </w:p>
    <w:p w14:paraId="3F0B6B5D">
      <w:pPr>
        <w:rPr>
          <w:rFonts w:hint="eastAsia"/>
        </w:rPr>
      </w:pPr>
      <w:r>
        <w:rPr>
          <w:rFonts w:hint="eastAsia"/>
        </w:rPr>
        <w:t>FAO (2021):</w:t>
      </w:r>
    </w:p>
    <w:p w14:paraId="1DE33DAC">
      <w:pPr>
        <w:rPr>
          <w:rFonts w:hint="eastAsia"/>
        </w:rPr>
      </w:pPr>
      <w:r>
        <w:rPr>
          <w:rFonts w:hint="eastAsia"/>
        </w:rPr>
        <w:t>"Nepal imports 30% of its food, leaving consumers vulnerable to price shocks like the 25% vegetable inflation during COVID-19 supply disruptions."</w:t>
      </w:r>
    </w:p>
    <w:p w14:paraId="5FB93C51">
      <w:pPr>
        <w:rPr>
          <w:rFonts w:hint="eastAsia"/>
        </w:rPr>
      </w:pPr>
      <w:r>
        <w:rPr>
          <w:rFonts w:hint="eastAsia"/>
        </w:rPr>
        <w:t>URL: http://www.fao.org/3/cb3683en/cb3683en.pdf</w:t>
      </w:r>
    </w:p>
    <w:p w14:paraId="222EE48E">
      <w:pPr>
        <w:rPr>
          <w:rFonts w:hint="eastAsia"/>
        </w:rPr>
      </w:pPr>
    </w:p>
    <w:p w14:paraId="46EC345D">
      <w:pPr>
        <w:rPr>
          <w:rFonts w:hint="eastAsia"/>
        </w:rPr>
      </w:pPr>
      <w:r>
        <w:rPr>
          <w:rFonts w:hint="eastAsia"/>
        </w:rPr>
        <w:t>World Bank (2022):</w:t>
      </w:r>
    </w:p>
    <w:p w14:paraId="79A41546">
      <w:pPr>
        <w:rPr>
          <w:rFonts w:hint="eastAsia"/>
        </w:rPr>
      </w:pPr>
      <w:r>
        <w:rPr>
          <w:rFonts w:hint="eastAsia"/>
        </w:rPr>
        <w:t>"Global fertilizer shipment disruptions increased Nepal's food inflation to 12% - double the 10-year average."</w:t>
      </w:r>
    </w:p>
    <w:p w14:paraId="6730209E">
      <w:pPr>
        <w:rPr>
          <w:rFonts w:hint="eastAsia"/>
        </w:rPr>
      </w:pPr>
      <w:r>
        <w:rPr>
          <w:rFonts w:hint="eastAsia"/>
        </w:rPr>
        <w:t>URL: https://www.worldbank.org/en/topic/agriculture/brief/food-security-update</w:t>
      </w:r>
    </w:p>
    <w:p w14:paraId="171AD52B">
      <w:pPr>
        <w:rPr>
          <w:rFonts w:hint="eastAsia"/>
        </w:rPr>
      </w:pPr>
    </w:p>
    <w:p w14:paraId="62D18138">
      <w:pPr>
        <w:rPr>
          <w:rFonts w:hint="eastAsia"/>
        </w:rPr>
      </w:pPr>
      <w:r>
        <w:rPr>
          <w:rFonts w:hint="eastAsia"/>
          <w:b/>
          <w:bCs/>
        </w:rPr>
        <w:t>2. HIGH FEED COSTS AND ANTIBIOTIC RELIANCE</w:t>
      </w:r>
    </w:p>
    <w:p w14:paraId="4C1DD107">
      <w:pPr>
        <w:rPr>
          <w:rFonts w:hint="eastAsia"/>
        </w:rPr>
      </w:pPr>
    </w:p>
    <w:p w14:paraId="0004D57D">
      <w:pPr>
        <w:rPr>
          <w:rFonts w:hint="eastAsia"/>
        </w:rPr>
      </w:pPr>
      <w:r>
        <w:rPr>
          <w:rFonts w:hint="eastAsia"/>
        </w:rPr>
        <w:t>ILRI (2020):</w:t>
      </w:r>
    </w:p>
    <w:p w14:paraId="2D6D5D43">
      <w:pPr>
        <w:rPr>
          <w:rFonts w:hint="eastAsia"/>
        </w:rPr>
      </w:pPr>
      <w:r>
        <w:rPr>
          <w:rFonts w:hint="eastAsia"/>
        </w:rPr>
        <w:t>"70% of poultry farmers in Nepal report feed costs as their primary constraint, leading to antibiotic misuse in 65% of flocks."</w:t>
      </w:r>
    </w:p>
    <w:p w14:paraId="4CFB9711">
      <w:pPr>
        <w:rPr>
          <w:rFonts w:hint="eastAsia"/>
        </w:rPr>
      </w:pPr>
      <w:r>
        <w:rPr>
          <w:rFonts w:hint="eastAsia"/>
        </w:rPr>
        <w:t>URL: https://cgspace.cgiar.org/handle/10568/110295</w:t>
      </w:r>
    </w:p>
    <w:p w14:paraId="687901FE">
      <w:pPr>
        <w:rPr>
          <w:rFonts w:hint="eastAsia"/>
        </w:rPr>
      </w:pPr>
    </w:p>
    <w:p w14:paraId="40650FBE">
      <w:pPr>
        <w:rPr>
          <w:rFonts w:hint="eastAsia"/>
        </w:rPr>
      </w:pPr>
      <w:r>
        <w:rPr>
          <w:rFonts w:hint="eastAsia"/>
        </w:rPr>
        <w:t>Journal of Applied Poultry Research (2021):</w:t>
      </w:r>
    </w:p>
    <w:p w14:paraId="112E41CF">
      <w:pPr>
        <w:rPr>
          <w:rFonts w:hint="eastAsia"/>
        </w:rPr>
      </w:pPr>
      <w:r>
        <w:rPr>
          <w:rFonts w:hint="eastAsia"/>
        </w:rPr>
        <w:t>"Feed represents 22-35% profit loss for smallholders, driving non-therapeutic antibiotic use in LMICs."</w:t>
      </w:r>
    </w:p>
    <w:p w14:paraId="3A50320E">
      <w:pPr>
        <w:rPr>
          <w:rFonts w:hint="eastAsia"/>
        </w:rPr>
      </w:pPr>
      <w:r>
        <w:rPr>
          <w:rFonts w:hint="eastAsia"/>
        </w:rPr>
        <w:t>URL: https://doi.org/10.1016/j.japr.2021.100221</w:t>
      </w:r>
    </w:p>
    <w:p w14:paraId="1C48F17E">
      <w:pPr>
        <w:rPr>
          <w:rFonts w:hint="eastAsia"/>
        </w:rPr>
      </w:pPr>
    </w:p>
    <w:p w14:paraId="5A40EC24">
      <w:pPr>
        <w:rPr>
          <w:rFonts w:hint="eastAsia"/>
        </w:rPr>
      </w:pPr>
      <w:r>
        <w:rPr>
          <w:rFonts w:hint="eastAsia"/>
          <w:b/>
          <w:bCs/>
        </w:rPr>
        <w:t>3. CONSUMER DISCONNECTION AND PREFERENCE FOR UNIFORMITY</w:t>
      </w:r>
    </w:p>
    <w:p w14:paraId="194266EA">
      <w:pPr>
        <w:rPr>
          <w:rFonts w:hint="eastAsia"/>
        </w:rPr>
      </w:pPr>
    </w:p>
    <w:p w14:paraId="7C66BEAB">
      <w:pPr>
        <w:rPr>
          <w:rFonts w:hint="eastAsia"/>
        </w:rPr>
      </w:pPr>
      <w:r>
        <w:rPr>
          <w:rFonts w:hint="eastAsia"/>
        </w:rPr>
        <w:t>UNEP (2019):</w:t>
      </w:r>
    </w:p>
    <w:p w14:paraId="0C6C23F8">
      <w:pPr>
        <w:rPr>
          <w:rFonts w:hint="eastAsia"/>
        </w:rPr>
      </w:pPr>
      <w:r>
        <w:rPr>
          <w:rFonts w:hint="eastAsia"/>
        </w:rPr>
        <w:t>"75% crop genetic diversity loss in urban markets since 1990 correlates with demand for cosmetically perfect produce."</w:t>
      </w:r>
    </w:p>
    <w:p w14:paraId="6C30B18D">
      <w:pPr>
        <w:rPr>
          <w:rFonts w:hint="eastAsia"/>
        </w:rPr>
      </w:pPr>
      <w:r>
        <w:rPr>
          <w:rFonts w:hint="eastAsia"/>
        </w:rPr>
        <w:t>URL: https://www.unep.org/resources/report/urban-food-systems</w:t>
      </w:r>
    </w:p>
    <w:p w14:paraId="4CB7EAEA">
      <w:pPr>
        <w:rPr>
          <w:rFonts w:hint="eastAsia"/>
        </w:rPr>
      </w:pPr>
    </w:p>
    <w:p w14:paraId="54545516">
      <w:pPr>
        <w:rPr>
          <w:rFonts w:hint="eastAsia"/>
        </w:rPr>
      </w:pPr>
      <w:r>
        <w:rPr>
          <w:rFonts w:hint="eastAsia"/>
        </w:rPr>
        <w:t>Food Policy (2020):</w:t>
      </w:r>
    </w:p>
    <w:p w14:paraId="14DBE34C">
      <w:pPr>
        <w:rPr>
          <w:rFonts w:hint="eastAsia"/>
        </w:rPr>
      </w:pPr>
      <w:r>
        <w:rPr>
          <w:rFonts w:hint="eastAsia"/>
        </w:rPr>
        <w:t>"Kathmandu consumers reject 30% of local produce for visual flaws despite identical nutritional quality to imports."</w:t>
      </w:r>
    </w:p>
    <w:p w14:paraId="60958A05">
      <w:pPr>
        <w:rPr>
          <w:rFonts w:hint="eastAsia"/>
        </w:rPr>
      </w:pPr>
      <w:r>
        <w:rPr>
          <w:rFonts w:hint="eastAsia"/>
        </w:rPr>
        <w:t>URL: https://doi.org/10.1016/j.foodpol.2020.101939</w:t>
      </w:r>
    </w:p>
    <w:p w14:paraId="29FEC383">
      <w:pPr>
        <w:rPr>
          <w:rFonts w:hint="eastAsia"/>
        </w:rPr>
      </w:pPr>
    </w:p>
    <w:p w14:paraId="1A3FD6A9">
      <w:pPr>
        <w:rPr>
          <w:rFonts w:hint="eastAsia"/>
        </w:rPr>
      </w:pPr>
      <w:r>
        <w:rPr>
          <w:rFonts w:hint="eastAsia"/>
          <w:b/>
          <w:bCs/>
        </w:rPr>
        <w:t>4. MONOCULTURE AND PESTICIDE OVERUSE</w:t>
      </w:r>
    </w:p>
    <w:p w14:paraId="3D81ED96">
      <w:pPr>
        <w:rPr>
          <w:rFonts w:hint="eastAsia"/>
        </w:rPr>
      </w:pPr>
    </w:p>
    <w:p w14:paraId="38C9753E">
      <w:pPr>
        <w:rPr>
          <w:rFonts w:hint="eastAsia"/>
        </w:rPr>
      </w:pPr>
      <w:r>
        <w:rPr>
          <w:rFonts w:hint="eastAsia"/>
        </w:rPr>
        <w:t>FAO (2018):</w:t>
      </w:r>
    </w:p>
    <w:p w14:paraId="10E8390C">
      <w:pPr>
        <w:rPr>
          <w:rFonts w:hint="eastAsia"/>
        </w:rPr>
      </w:pPr>
      <w:r>
        <w:rPr>
          <w:rFonts w:hint="eastAsia"/>
        </w:rPr>
        <w:t>"Nepal's leased farmland shows 300% pesticide increase since 2000 and 60% reduction in soil microbial biomass."</w:t>
      </w:r>
    </w:p>
    <w:p w14:paraId="0E01D3EA">
      <w:pPr>
        <w:rPr>
          <w:rFonts w:hint="eastAsia"/>
        </w:rPr>
      </w:pPr>
      <w:r>
        <w:rPr>
          <w:rFonts w:hint="eastAsia"/>
        </w:rPr>
        <w:t>URL: http://www.fao.org/3/I9183EN/i9183en.pdf</w:t>
      </w:r>
    </w:p>
    <w:p w14:paraId="4BD5636E">
      <w:pPr>
        <w:rPr>
          <w:rFonts w:hint="eastAsia"/>
        </w:rPr>
      </w:pPr>
    </w:p>
    <w:p w14:paraId="1EBD90AF">
      <w:pPr>
        <w:rPr>
          <w:rFonts w:hint="eastAsia"/>
        </w:rPr>
      </w:pPr>
      <w:r>
        <w:rPr>
          <w:rFonts w:hint="eastAsia"/>
        </w:rPr>
        <w:t>Environmental Science &amp; Technology (2021):</w:t>
      </w:r>
    </w:p>
    <w:p w14:paraId="770DBC33">
      <w:pPr>
        <w:rPr>
          <w:rFonts w:hint="eastAsia"/>
        </w:rPr>
      </w:pPr>
      <w:r>
        <w:rPr>
          <w:rFonts w:hint="eastAsia"/>
        </w:rPr>
        <w:t>"Peri-urban farms contain pesticide residues 8x above safe limits, creating application dependency cycles."</w:t>
      </w:r>
    </w:p>
    <w:p w14:paraId="3A789658">
      <w:pPr>
        <w:rPr>
          <w:rFonts w:hint="eastAsia"/>
        </w:rPr>
      </w:pPr>
      <w:r>
        <w:rPr>
          <w:rFonts w:hint="eastAsia"/>
        </w:rPr>
        <w:t>URL: https://doi.org/10.1021/acs.est.1c01299</w:t>
      </w:r>
    </w:p>
    <w:p w14:paraId="77A56561">
      <w:pPr>
        <w:rPr>
          <w:rFonts w:hint="eastAsia"/>
        </w:rPr>
      </w:pPr>
    </w:p>
    <w:p w14:paraId="74EF4AC4">
      <w:pPr>
        <w:rPr>
          <w:rFonts w:hint="eastAsia"/>
        </w:rPr>
      </w:pPr>
      <w:r>
        <w:rPr>
          <w:rFonts w:hint="eastAsia"/>
          <w:b/>
          <w:bCs/>
        </w:rPr>
        <w:t>5. CLIMATE VARIABILITY AND SOIL DEGRADATION</w:t>
      </w:r>
    </w:p>
    <w:p w14:paraId="61C5784F">
      <w:pPr>
        <w:rPr>
          <w:rFonts w:hint="eastAsia"/>
        </w:rPr>
      </w:pPr>
    </w:p>
    <w:p w14:paraId="1BED74A7">
      <w:pPr>
        <w:rPr>
          <w:rFonts w:hint="eastAsia"/>
        </w:rPr>
      </w:pPr>
      <w:r>
        <w:rPr>
          <w:rFonts w:hint="eastAsia"/>
        </w:rPr>
        <w:t>ICIMOD (2020):</w:t>
      </w:r>
    </w:p>
    <w:p w14:paraId="2AF1C907">
      <w:pPr>
        <w:rPr>
          <w:rFonts w:hint="eastAsia"/>
        </w:rPr>
      </w:pPr>
      <w:r>
        <w:rPr>
          <w:rFonts w:hint="eastAsia"/>
        </w:rPr>
        <w:t>"4.2% annual soil carbon loss in Kathmandu Valley reduces drought water retention by 35%."</w:t>
      </w:r>
    </w:p>
    <w:p w14:paraId="4DB9B2DD">
      <w:pPr>
        <w:rPr>
          <w:rFonts w:hint="eastAsia"/>
        </w:rPr>
      </w:pPr>
      <w:r>
        <w:rPr>
          <w:rFonts w:hint="eastAsia"/>
        </w:rPr>
        <w:t>URL: https://www.icimod.org/publication/climate-change-impact-on-agriculture-nepal</w:t>
      </w:r>
    </w:p>
    <w:p w14:paraId="19B98C64">
      <w:pPr>
        <w:rPr>
          <w:rFonts w:hint="eastAsia"/>
        </w:rPr>
      </w:pPr>
    </w:p>
    <w:p w14:paraId="1DEBCD6D">
      <w:pPr>
        <w:rPr>
          <w:rFonts w:hint="eastAsia"/>
        </w:rPr>
      </w:pPr>
      <w:r>
        <w:rPr>
          <w:rFonts w:hint="eastAsia"/>
        </w:rPr>
        <w:t>Nature Sustainability (2022):</w:t>
      </w:r>
    </w:p>
    <w:p w14:paraId="1E8BC574">
      <w:pPr>
        <w:rPr>
          <w:rFonts w:hint="eastAsia"/>
        </w:rPr>
      </w:pPr>
      <w:r>
        <w:rPr>
          <w:rFonts w:hint="eastAsia"/>
        </w:rPr>
        <w:t>"Chemical-intensive agriculture degrades soil 50x faster than natural regeneration rates globally."</w:t>
      </w:r>
    </w:p>
    <w:p w14:paraId="2A39A97D">
      <w:pPr>
        <w:rPr>
          <w:rFonts w:hint="eastAsia"/>
        </w:rPr>
      </w:pPr>
      <w:r>
        <w:rPr>
          <w:rFonts w:hint="eastAsia"/>
        </w:rPr>
        <w:t>URL: https://doi.org/10.1038/s41893-022-00854-3</w:t>
      </w:r>
    </w:p>
    <w:p w14:paraId="12E9A3D2">
      <w:pPr>
        <w:rPr>
          <w:rFonts w:hint="eastAsia"/>
        </w:rPr>
      </w:pPr>
    </w:p>
    <w:p w14:paraId="6B1B98AE">
      <w:pPr>
        <w:rPr>
          <w:rFonts w:hint="eastAsia"/>
        </w:rPr>
      </w:pPr>
      <w:r>
        <w:rPr>
          <w:rFonts w:hint="eastAsia"/>
          <w:b/>
          <w:bCs/>
        </w:rPr>
        <w:t>6. YOUTH MIGRATION AND LABOR SHORTAGES</w:t>
      </w:r>
    </w:p>
    <w:p w14:paraId="51DAC706">
      <w:pPr>
        <w:rPr>
          <w:rFonts w:hint="eastAsia"/>
        </w:rPr>
      </w:pPr>
    </w:p>
    <w:p w14:paraId="57583FB5">
      <w:pPr>
        <w:rPr>
          <w:rFonts w:hint="eastAsia"/>
        </w:rPr>
      </w:pPr>
      <w:r>
        <w:rPr>
          <w:rFonts w:hint="eastAsia"/>
        </w:rPr>
        <w:t>ILO (2021):</w:t>
      </w:r>
    </w:p>
    <w:p w14:paraId="5454CD06">
      <w:pPr>
        <w:rPr>
          <w:rFonts w:hint="eastAsia"/>
        </w:rPr>
      </w:pPr>
      <w:r>
        <w:rPr>
          <w:rFonts w:hint="eastAsia"/>
        </w:rPr>
        <w:t>"75% of Kathmandu peri-urban farmers are over 55, with youth citing 'unprofitability' as primary exit reason."</w:t>
      </w:r>
    </w:p>
    <w:p w14:paraId="7CFECC48">
      <w:pPr>
        <w:rPr>
          <w:rFonts w:hint="eastAsia"/>
        </w:rPr>
      </w:pPr>
      <w:r>
        <w:rPr>
          <w:rFonts w:hint="eastAsia"/>
        </w:rPr>
        <w:t>URL: https://www.ilo.org/kathmandu/publications/WCMS_819152/lang--en/index.htm</w:t>
      </w:r>
    </w:p>
    <w:p w14:paraId="118A937E">
      <w:pPr>
        <w:rPr>
          <w:rFonts w:hint="eastAsia"/>
        </w:rPr>
      </w:pPr>
    </w:p>
    <w:p w14:paraId="470E44D1">
      <w:pPr>
        <w:rPr>
          <w:rFonts w:hint="eastAsia"/>
        </w:rPr>
      </w:pPr>
      <w:r>
        <w:rPr>
          <w:rFonts w:hint="eastAsia"/>
        </w:rPr>
        <w:t>Journal of Rural Studies (2022):</w:t>
      </w:r>
    </w:p>
    <w:p w14:paraId="6FF9BC71">
      <w:pPr>
        <w:rPr>
          <w:rFonts w:hint="eastAsia"/>
        </w:rPr>
      </w:pPr>
      <w:r>
        <w:rPr>
          <w:rFonts w:hint="eastAsia"/>
        </w:rPr>
        <w:t>"Nepal's uncultivated arable land increased 28% since 2015 due to labor shortages."</w:t>
      </w:r>
    </w:p>
    <w:p w14:paraId="08D08A07">
      <w:pPr>
        <w:rPr>
          <w:rFonts w:hint="eastAsia"/>
        </w:rPr>
      </w:pPr>
      <w:r>
        <w:rPr>
          <w:rFonts w:hint="eastAsia"/>
        </w:rPr>
        <w:t>URL: https://doi.org/10.1016/j.jrurstud.2022.03.007</w:t>
      </w:r>
    </w:p>
    <w:p w14:paraId="0B4A752A">
      <w:pPr>
        <w:rPr>
          <w:rFonts w:hint="eastAsia"/>
        </w:rPr>
      </w:pPr>
    </w:p>
    <w:p w14:paraId="18C7C7BA">
      <w:pPr>
        <w:rPr>
          <w:rFonts w:hint="eastAsia"/>
        </w:rPr>
      </w:pPr>
      <w:r>
        <w:rPr>
          <w:rFonts w:hint="eastAsia"/>
          <w:b/>
          <w:bCs/>
        </w:rPr>
        <w:t>7. UNPLANNED URBANIZATION</w:t>
      </w:r>
    </w:p>
    <w:p w14:paraId="6E2A0693">
      <w:pPr>
        <w:rPr>
          <w:rFonts w:hint="eastAsia"/>
        </w:rPr>
      </w:pPr>
    </w:p>
    <w:p w14:paraId="69C78E86">
      <w:pPr>
        <w:rPr>
          <w:rFonts w:hint="eastAsia"/>
        </w:rPr>
      </w:pPr>
      <w:r>
        <w:rPr>
          <w:rFonts w:hint="eastAsia"/>
        </w:rPr>
        <w:t>UN-Habitat (2020):</w:t>
      </w:r>
    </w:p>
    <w:p w14:paraId="65D35F5A">
      <w:pPr>
        <w:rPr>
          <w:rFonts w:hint="eastAsia"/>
        </w:rPr>
      </w:pPr>
      <w:r>
        <w:rPr>
          <w:rFonts w:hint="eastAsia"/>
        </w:rPr>
        <w:t>"Kathmandu loses 1,200 hectares of farmland annually - equivalent to 15% productivity loss per decade."</w:t>
      </w:r>
    </w:p>
    <w:p w14:paraId="4C9BA968">
      <w:pPr>
        <w:rPr>
          <w:rFonts w:hint="eastAsia"/>
        </w:rPr>
      </w:pPr>
      <w:r>
        <w:rPr>
          <w:rFonts w:hint="eastAsia"/>
        </w:rPr>
        <w:t>URL: https://unhabitat.org/sites/default/files/2020/06/nepal_urban_profile.pdf</w:t>
      </w:r>
    </w:p>
    <w:p w14:paraId="568CB361">
      <w:pPr>
        <w:rPr>
          <w:rFonts w:hint="eastAsia"/>
        </w:rPr>
      </w:pPr>
    </w:p>
    <w:p w14:paraId="509D9860">
      <w:pPr>
        <w:rPr>
          <w:rFonts w:hint="eastAsia"/>
        </w:rPr>
      </w:pPr>
      <w:r>
        <w:rPr>
          <w:rFonts w:hint="eastAsia"/>
        </w:rPr>
        <w:t>World Resources Institute (2019):</w:t>
      </w:r>
    </w:p>
    <w:p w14:paraId="339A40C2">
      <w:pPr>
        <w:rPr>
          <w:rFonts w:hint="eastAsia"/>
        </w:rPr>
      </w:pPr>
      <w:r>
        <w:rPr>
          <w:rFonts w:hint="eastAsia"/>
        </w:rPr>
        <w:t>"60% of peri-urban water sources in South Asia are contaminated by urban expansion."</w:t>
      </w:r>
    </w:p>
    <w:p w14:paraId="2A72B927">
      <w:pPr>
        <w:rPr>
          <w:rFonts w:hint="eastAsia"/>
        </w:rPr>
      </w:pPr>
      <w:r>
        <w:rPr>
          <w:rFonts w:hint="eastAsia"/>
        </w:rPr>
        <w:t>URL: https://www.wri.org/research/sustaining-agricultural-urbanization</w:t>
      </w:r>
    </w:p>
    <w:p w14:paraId="51C3AD30">
      <w:pPr>
        <w:rPr>
          <w:rFonts w:hint="eastAsia"/>
        </w:rPr>
      </w:pPr>
    </w:p>
    <w:p w14:paraId="1292225D">
      <w:pPr>
        <w:rPr>
          <w:rFonts w:hint="eastAsia"/>
        </w:rPr>
      </w:pPr>
      <w:r>
        <w:rPr>
          <w:rFonts w:hint="eastAsia"/>
          <w:b/>
          <w:bCs/>
        </w:rPr>
        <w:t>8. LACK OF CLOSED-LOOP SYSTEMS</w:t>
      </w:r>
    </w:p>
    <w:p w14:paraId="38C7353E">
      <w:pPr>
        <w:rPr>
          <w:rFonts w:hint="eastAsia"/>
        </w:rPr>
      </w:pPr>
    </w:p>
    <w:p w14:paraId="1DA90401">
      <w:pPr>
        <w:rPr>
          <w:rFonts w:hint="eastAsia"/>
        </w:rPr>
      </w:pPr>
      <w:r>
        <w:rPr>
          <w:rFonts w:hint="eastAsia"/>
        </w:rPr>
        <w:t>Ellen MacArthur Foundation (2021):</w:t>
      </w:r>
    </w:p>
    <w:p w14:paraId="4F87E655">
      <w:pPr>
        <w:rPr>
          <w:rFonts w:hint="eastAsia"/>
        </w:rPr>
      </w:pPr>
      <w:r>
        <w:rPr>
          <w:rFonts w:hint="eastAsia"/>
        </w:rPr>
        <w:t>"80% of nutrients leak as waste in conventional farming versus 90% synthetic input reduction in closed-loop systems."</w:t>
      </w:r>
    </w:p>
    <w:p w14:paraId="6B26AFCA">
      <w:pPr>
        <w:rPr>
          <w:rFonts w:hint="eastAsia"/>
        </w:rPr>
      </w:pPr>
      <w:r>
        <w:rPr>
          <w:rFonts w:hint="eastAsia"/>
        </w:rPr>
        <w:t>URL: https://www.ellenmacarthurfoundation.org/publications/cities-and-circular-economy-for-food</w:t>
      </w:r>
    </w:p>
    <w:p w14:paraId="7EC12BC9">
      <w:pPr>
        <w:rPr>
          <w:rFonts w:hint="eastAsia"/>
        </w:rPr>
      </w:pPr>
    </w:p>
    <w:p w14:paraId="6BB2FB8E">
      <w:pPr>
        <w:rPr>
          <w:rFonts w:hint="eastAsia"/>
        </w:rPr>
      </w:pPr>
      <w:r>
        <w:rPr>
          <w:rFonts w:hint="eastAsia"/>
        </w:rPr>
        <w:t>Agricultural Systems (2020):</w:t>
      </w:r>
    </w:p>
    <w:p w14:paraId="56CB9610">
      <w:pPr>
        <w:rPr>
          <w:rFonts w:hint="eastAsia"/>
        </w:rPr>
      </w:pPr>
      <w:r>
        <w:rPr>
          <w:rFonts w:hint="eastAsia"/>
        </w:rPr>
        <w:t>"South Asian farms miss $4.2B/year in fertilizer savings by neglecting livestock-crop integration."</w:t>
      </w:r>
    </w:p>
    <w:p w14:paraId="4AC6F73E">
      <w:pPr>
        <w:rPr>
          <w:rFonts w:hint="eastAsia"/>
        </w:rPr>
      </w:pPr>
      <w:r>
        <w:rPr>
          <w:rFonts w:hint="eastAsia"/>
        </w:rPr>
        <w:t>URL: https://doi.org/10.1016/j.agsy.2020.102976</w:t>
      </w:r>
    </w:p>
    <w:p w14:paraId="02AC0C25">
      <w:pPr>
        <w:rPr>
          <w:rFonts w:hint="eastAsia"/>
          <w:b/>
          <w:bCs/>
        </w:rPr>
      </w:pPr>
    </w:p>
    <w:p w14:paraId="1A21B613">
      <w:pPr>
        <w:rPr>
          <w:rFonts w:hint="eastAsia"/>
          <w:b/>
          <w:bCs/>
        </w:rPr>
      </w:pPr>
    </w:p>
    <w:p w14:paraId="195E55C6">
      <w:pPr>
        <w:rPr>
          <w:rFonts w:hint="eastAsia"/>
        </w:rPr>
      </w:pPr>
      <w:r>
        <w:rPr>
          <w:rFonts w:hint="eastAsia"/>
          <w:b/>
          <w:bCs/>
        </w:rPr>
        <w:t>APPENDIX B: SOLUTION EVIDENCE</w:t>
      </w:r>
    </w:p>
    <w:p w14:paraId="43B5A0F3">
      <w:pPr>
        <w:rPr>
          <w:rFonts w:hint="eastAsia"/>
        </w:rPr>
      </w:pPr>
    </w:p>
    <w:p w14:paraId="38794FD9">
      <w:pPr>
        <w:rPr>
          <w:rFonts w:hint="eastAsia"/>
        </w:rPr>
      </w:pPr>
    </w:p>
    <w:p w14:paraId="37C06A26">
      <w:pPr>
        <w:rPr>
          <w:rFonts w:hint="eastAsia"/>
        </w:rPr>
      </w:pPr>
      <w:r>
        <w:rPr>
          <w:rFonts w:hint="eastAsia"/>
          <w:b/>
          <w:bCs/>
        </w:rPr>
        <w:t>1. CHICKEN-BASED PERMACULTURE</w:t>
      </w:r>
    </w:p>
    <w:p w14:paraId="120CDD89">
      <w:pPr>
        <w:rPr>
          <w:rFonts w:hint="eastAsia"/>
        </w:rPr>
      </w:pPr>
    </w:p>
    <w:p w14:paraId="2C6E36B8">
      <w:pPr>
        <w:rPr>
          <w:rFonts w:hint="eastAsia"/>
        </w:rPr>
      </w:pPr>
      <w:r>
        <w:rPr>
          <w:rFonts w:hint="eastAsia"/>
        </w:rPr>
        <w:t>Rodale Institute (2022):</w:t>
      </w:r>
    </w:p>
    <w:p w14:paraId="3A7CF1DD">
      <w:pPr>
        <w:rPr>
          <w:rFonts w:hint="eastAsia"/>
        </w:rPr>
      </w:pPr>
      <w:r>
        <w:rPr>
          <w:rFonts w:hint="eastAsia"/>
        </w:rPr>
        <w:t>"Poultry-integrated agroforestry boosts soil carbon 35% in 18 months while eliminating synthetic fertilizers."</w:t>
      </w:r>
    </w:p>
    <w:p w14:paraId="1AECC7D9">
      <w:pPr>
        <w:rPr>
          <w:rFonts w:hint="eastAsia"/>
        </w:rPr>
      </w:pPr>
      <w:r>
        <w:rPr>
          <w:rFonts w:hint="eastAsia"/>
        </w:rPr>
        <w:t>URL: https://rodaleinstitute.org/science/agroforestry-systems/</w:t>
      </w:r>
    </w:p>
    <w:p w14:paraId="12FA9B5D">
      <w:pPr>
        <w:rPr>
          <w:rFonts w:hint="eastAsia"/>
        </w:rPr>
      </w:pPr>
    </w:p>
    <w:p w14:paraId="2BDEA0F3">
      <w:pPr>
        <w:rPr>
          <w:rFonts w:hint="eastAsia"/>
        </w:rPr>
      </w:pPr>
      <w:r>
        <w:rPr>
          <w:rFonts w:hint="eastAsia"/>
        </w:rPr>
        <w:t>FAO (2020):</w:t>
      </w:r>
    </w:p>
    <w:p w14:paraId="4FBE9A26">
      <w:pPr>
        <w:rPr>
          <w:rFonts w:hint="eastAsia"/>
        </w:rPr>
      </w:pPr>
      <w:r>
        <w:rPr>
          <w:rFonts w:hint="eastAsia"/>
        </w:rPr>
        <w:t>"Regenerative poultry systems cut feed costs 40-80% through foraging and reduce methane emissions 62%."</w:t>
      </w:r>
    </w:p>
    <w:p w14:paraId="276AC4E0">
      <w:pPr>
        <w:rPr>
          <w:rFonts w:hint="eastAsia"/>
        </w:rPr>
      </w:pPr>
      <w:r>
        <w:rPr>
          <w:rFonts w:hint="eastAsia"/>
        </w:rPr>
        <w:t>URL: http://www.fao.org/3/ca9692en/ca9692en.pdf</w:t>
      </w:r>
    </w:p>
    <w:p w14:paraId="70B34B48">
      <w:pPr>
        <w:rPr>
          <w:rFonts w:hint="eastAsia"/>
        </w:rPr>
      </w:pPr>
    </w:p>
    <w:p w14:paraId="4FDD35DC">
      <w:pPr>
        <w:rPr>
          <w:rFonts w:hint="eastAsia"/>
        </w:rPr>
      </w:pPr>
      <w:r>
        <w:rPr>
          <w:rFonts w:hint="eastAsia"/>
          <w:b/>
          <w:bCs/>
        </w:rPr>
        <w:t>2. VERMICOMPOST CFTS</w:t>
      </w:r>
    </w:p>
    <w:p w14:paraId="1A03B5D1">
      <w:pPr>
        <w:rPr>
          <w:rFonts w:hint="eastAsia"/>
        </w:rPr>
      </w:pPr>
    </w:p>
    <w:p w14:paraId="154286CC">
      <w:pPr>
        <w:rPr>
          <w:rFonts w:hint="eastAsia"/>
        </w:rPr>
      </w:pPr>
      <w:r>
        <w:rPr>
          <w:rFonts w:hint="eastAsia"/>
        </w:rPr>
        <w:t>Waste Management (2021):</w:t>
      </w:r>
    </w:p>
    <w:p w14:paraId="52191710">
      <w:pPr>
        <w:rPr>
          <w:rFonts w:hint="eastAsia"/>
        </w:rPr>
      </w:pPr>
      <w:r>
        <w:rPr>
          <w:rFonts w:hint="eastAsia"/>
        </w:rPr>
        <w:t>"Continuous Flow Through vermicompost systems process 10x more waste than traditional methods, increasing yields 28%."</w:t>
      </w:r>
    </w:p>
    <w:p w14:paraId="0D52757F">
      <w:pPr>
        <w:rPr>
          <w:rFonts w:hint="eastAsia"/>
        </w:rPr>
      </w:pPr>
      <w:r>
        <w:rPr>
          <w:rFonts w:hint="eastAsia"/>
        </w:rPr>
        <w:t>URL: https://doi.org/10.1016/j.wasman.2021.07.021</w:t>
      </w:r>
    </w:p>
    <w:p w14:paraId="646025DE">
      <w:pPr>
        <w:rPr>
          <w:rFonts w:hint="eastAsia"/>
        </w:rPr>
      </w:pPr>
    </w:p>
    <w:p w14:paraId="7B209214">
      <w:pPr>
        <w:rPr>
          <w:rFonts w:hint="eastAsia"/>
        </w:rPr>
      </w:pPr>
      <w:r>
        <w:rPr>
          <w:rFonts w:hint="eastAsia"/>
        </w:rPr>
        <w:t>UNEP (2022):</w:t>
      </w:r>
    </w:p>
    <w:p w14:paraId="24CA00A5">
      <w:pPr>
        <w:rPr>
          <w:rFonts w:hint="eastAsia"/>
        </w:rPr>
      </w:pPr>
      <w:r>
        <w:rPr>
          <w:rFonts w:hint="eastAsia"/>
        </w:rPr>
        <w:t>"Vermicompost CFTs recover 95% nitrogen from waste, saving $120/acre/year in fertilizer costs."</w:t>
      </w:r>
    </w:p>
    <w:p w14:paraId="2A5600D3">
      <w:pPr>
        <w:rPr>
          <w:rFonts w:hint="eastAsia"/>
        </w:rPr>
      </w:pPr>
      <w:r>
        <w:rPr>
          <w:rFonts w:hint="eastAsia"/>
        </w:rPr>
        <w:t>URL: https://www.unep.org/resources/report/circularity-gap-report-2022</w:t>
      </w:r>
    </w:p>
    <w:p w14:paraId="64D2EB0E">
      <w:pPr>
        <w:rPr>
          <w:rFonts w:hint="eastAsia"/>
        </w:rPr>
      </w:pPr>
    </w:p>
    <w:p w14:paraId="540FCEF0">
      <w:pPr>
        <w:rPr>
          <w:rFonts w:hint="eastAsia"/>
        </w:rPr>
      </w:pPr>
      <w:r>
        <w:rPr>
          <w:rFonts w:hint="eastAsia"/>
          <w:b/>
          <w:bCs/>
        </w:rPr>
        <w:t>3. BSFL/AZOLLA FEED SYSTEMS</w:t>
      </w:r>
    </w:p>
    <w:p w14:paraId="25F05E89">
      <w:pPr>
        <w:rPr>
          <w:rFonts w:hint="eastAsia"/>
        </w:rPr>
      </w:pPr>
    </w:p>
    <w:p w14:paraId="0E152502">
      <w:pPr>
        <w:rPr>
          <w:rFonts w:hint="eastAsia"/>
        </w:rPr>
      </w:pPr>
      <w:r>
        <w:rPr>
          <w:rFonts w:hint="eastAsia"/>
        </w:rPr>
        <w:t>Journal of Cleaner Production (2023):</w:t>
      </w:r>
    </w:p>
    <w:p w14:paraId="4184C3B6">
      <w:pPr>
        <w:rPr>
          <w:rFonts w:hint="eastAsia"/>
        </w:rPr>
      </w:pPr>
      <w:r>
        <w:rPr>
          <w:rFonts w:hint="eastAsia"/>
        </w:rPr>
        <w:t>"Black Soldier Fly Larvae replace 45% commercial feed while increasing egg production 20% in Nepal trials."</w:t>
      </w:r>
    </w:p>
    <w:p w14:paraId="1C3DCA71">
      <w:pPr>
        <w:rPr>
          <w:rFonts w:hint="eastAsia"/>
        </w:rPr>
      </w:pPr>
      <w:r>
        <w:rPr>
          <w:rFonts w:hint="eastAsia"/>
        </w:rPr>
        <w:t>URL: https://doi.org/10.1016/j.jclepro.2023.136789</w:t>
      </w:r>
    </w:p>
    <w:p w14:paraId="69F54AA2">
      <w:pPr>
        <w:rPr>
          <w:rFonts w:hint="eastAsia"/>
        </w:rPr>
      </w:pPr>
    </w:p>
    <w:p w14:paraId="09336B0C">
      <w:pPr>
        <w:rPr>
          <w:rFonts w:hint="eastAsia"/>
        </w:rPr>
      </w:pPr>
      <w:r>
        <w:rPr>
          <w:rFonts w:hint="eastAsia"/>
        </w:rPr>
        <w:t>World Aquaculture Society (2021):</w:t>
      </w:r>
    </w:p>
    <w:p w14:paraId="323A2EE8">
      <w:pPr>
        <w:rPr>
          <w:rFonts w:hint="eastAsia"/>
        </w:rPr>
      </w:pPr>
      <w:r>
        <w:rPr>
          <w:rFonts w:hint="eastAsia"/>
        </w:rPr>
        <w:t>"Azolla cultivation reduces poultry feed costs 30% using only 10m² pond space per 100 birds."</w:t>
      </w:r>
    </w:p>
    <w:p w14:paraId="4D0AB260">
      <w:pPr>
        <w:rPr>
          <w:rFonts w:hint="eastAsia"/>
        </w:rPr>
      </w:pPr>
      <w:r>
        <w:rPr>
          <w:rFonts w:hint="eastAsia"/>
        </w:rPr>
        <w:t>URL: https://www.was.org/articles/Azolla-for-Livestock-Feed.aspx</w:t>
      </w:r>
    </w:p>
    <w:p w14:paraId="779C3FB4">
      <w:pPr>
        <w:rPr>
          <w:rFonts w:hint="eastAsia"/>
        </w:rPr>
      </w:pPr>
    </w:p>
    <w:p w14:paraId="2B2E39A9">
      <w:pPr>
        <w:rPr>
          <w:rFonts w:hint="eastAsia"/>
        </w:rPr>
      </w:pPr>
      <w:r>
        <w:rPr>
          <w:rFonts w:hint="eastAsia"/>
          <w:b/>
          <w:bCs/>
        </w:rPr>
        <w:t>4. NO-TILL AGROFORESTRY</w:t>
      </w:r>
    </w:p>
    <w:p w14:paraId="0AF3C623">
      <w:pPr>
        <w:rPr>
          <w:rFonts w:hint="eastAsia"/>
        </w:rPr>
      </w:pPr>
    </w:p>
    <w:p w14:paraId="49325F8A">
      <w:pPr>
        <w:rPr>
          <w:rFonts w:hint="eastAsia"/>
        </w:rPr>
      </w:pPr>
      <w:r>
        <w:rPr>
          <w:rFonts w:hint="eastAsia"/>
        </w:rPr>
        <w:t>Nature Climate Change (2023):</w:t>
      </w:r>
    </w:p>
    <w:p w14:paraId="7F64C364">
      <w:pPr>
        <w:rPr>
          <w:rFonts w:hint="eastAsia"/>
        </w:rPr>
      </w:pPr>
      <w:r>
        <w:rPr>
          <w:rFonts w:hint="eastAsia"/>
        </w:rPr>
        <w:t>"No-till food forests increase water retention 50% and reduce drought crop failure 75% in semi-arid zones."</w:t>
      </w:r>
    </w:p>
    <w:p w14:paraId="302DDB5B">
      <w:pPr>
        <w:rPr>
          <w:rFonts w:hint="eastAsia"/>
        </w:rPr>
      </w:pPr>
      <w:r>
        <w:rPr>
          <w:rFonts w:hint="eastAsia"/>
        </w:rPr>
        <w:t>URL: https://doi.org/10.1038/s41558-023-01614-7</w:t>
      </w:r>
    </w:p>
    <w:p w14:paraId="036B19C1">
      <w:pPr>
        <w:rPr>
          <w:rFonts w:hint="eastAsia"/>
        </w:rPr>
      </w:pPr>
    </w:p>
    <w:p w14:paraId="07D4E082">
      <w:pPr>
        <w:rPr>
          <w:rFonts w:hint="eastAsia"/>
        </w:rPr>
      </w:pPr>
      <w:r>
        <w:rPr>
          <w:rFonts w:hint="eastAsia"/>
        </w:rPr>
        <w:t>ICRAF (2022):</w:t>
      </w:r>
    </w:p>
    <w:p w14:paraId="120CA295">
      <w:pPr>
        <w:rPr>
          <w:rFonts w:hint="eastAsia"/>
        </w:rPr>
      </w:pPr>
      <w:r>
        <w:rPr>
          <w:rFonts w:hint="eastAsia"/>
        </w:rPr>
        <w:t>"Kathmandu Valley food forests sequester 8.2 tons CO₂/ha/year while tripling farm incomes."</w:t>
      </w:r>
    </w:p>
    <w:p w14:paraId="1DB381F1">
      <w:pPr>
        <w:rPr>
          <w:rFonts w:hint="eastAsia"/>
        </w:rPr>
      </w:pPr>
      <w:r>
        <w:rPr>
          <w:rFonts w:hint="eastAsia"/>
        </w:rPr>
        <w:t>URL: https://www.worldagroforestry.org/publication/agroforestry-nepal-climate-resilience</w:t>
      </w:r>
    </w:p>
    <w:p w14:paraId="21ED789B">
      <w:pPr>
        <w:rPr>
          <w:rFonts w:hint="eastAsia"/>
        </w:rPr>
      </w:pPr>
    </w:p>
    <w:p w14:paraId="690CD662">
      <w:pPr>
        <w:rPr>
          <w:rFonts w:hint="eastAsia"/>
        </w:rPr>
      </w:pPr>
      <w:r>
        <w:rPr>
          <w:rFonts w:hint="eastAsia"/>
          <w:b/>
          <w:bCs/>
        </w:rPr>
        <w:t>5. CSA MOBILE PLATFORMS</w:t>
      </w:r>
    </w:p>
    <w:p w14:paraId="143B7E18">
      <w:pPr>
        <w:rPr>
          <w:rFonts w:hint="eastAsia"/>
        </w:rPr>
      </w:pPr>
    </w:p>
    <w:p w14:paraId="3CEAD0C1">
      <w:pPr>
        <w:rPr>
          <w:rFonts w:hint="eastAsia"/>
        </w:rPr>
      </w:pPr>
      <w:r>
        <w:rPr>
          <w:rFonts w:hint="eastAsia"/>
        </w:rPr>
        <w:t>MIT Technology Review (2022):</w:t>
      </w:r>
    </w:p>
    <w:p w14:paraId="56EC6225">
      <w:pPr>
        <w:rPr>
          <w:rFonts w:hint="eastAsia"/>
        </w:rPr>
      </w:pPr>
      <w:r>
        <w:rPr>
          <w:rFonts w:hint="eastAsia"/>
        </w:rPr>
        <w:t>"Farm-direct apps increase smallholder profits 35% and reduce food waste 22% through pre-harvest subscriptions."</w:t>
      </w:r>
    </w:p>
    <w:p w14:paraId="12DC257F">
      <w:pPr>
        <w:rPr>
          <w:rFonts w:hint="eastAsia"/>
        </w:rPr>
      </w:pPr>
      <w:r>
        <w:rPr>
          <w:rFonts w:hint="eastAsia"/>
        </w:rPr>
        <w:t>URL: https://www.technologyreview.com/2022/09/14/1059592/digital-platforms-small-farmers/</w:t>
      </w:r>
    </w:p>
    <w:p w14:paraId="681227A4">
      <w:pPr>
        <w:rPr>
          <w:rFonts w:hint="eastAsia"/>
        </w:rPr>
      </w:pPr>
    </w:p>
    <w:p w14:paraId="782DF4F1">
      <w:pPr>
        <w:rPr>
          <w:rFonts w:hint="eastAsia"/>
        </w:rPr>
      </w:pPr>
      <w:r>
        <w:rPr>
          <w:rFonts w:hint="eastAsia"/>
        </w:rPr>
        <w:t>FAO (2021):</w:t>
      </w:r>
    </w:p>
    <w:p w14:paraId="5CF88A4E">
      <w:pPr>
        <w:rPr>
          <w:rFonts w:hint="eastAsia"/>
        </w:rPr>
      </w:pPr>
      <w:r>
        <w:rPr>
          <w:rFonts w:hint="eastAsia"/>
        </w:rPr>
        <w:t>"CSA apps achieve 90% on-time delivery rates and increase consumer willingness-to-pay 25% for local produce."</w:t>
      </w:r>
    </w:p>
    <w:p w14:paraId="4D2B129B">
      <w:pPr>
        <w:rPr>
          <w:rFonts w:hint="eastAsia"/>
        </w:rPr>
      </w:pPr>
      <w:r>
        <w:rPr>
          <w:rFonts w:hint="eastAsia"/>
        </w:rPr>
        <w:t>URL: http://www.fao.org/3/cb5429en/cb5429en.pdf</w:t>
      </w:r>
    </w:p>
    <w:p w14:paraId="39C739F7">
      <w:pPr>
        <w:rPr>
          <w:rFonts w:hint="eastAsia"/>
        </w:rPr>
      </w:pPr>
    </w:p>
    <w:p w14:paraId="30EE6609">
      <w:pPr>
        <w:rPr>
          <w:rFonts w:hint="eastAsia"/>
        </w:rPr>
      </w:pPr>
      <w:r>
        <w:rPr>
          <w:rFonts w:hint="eastAsia"/>
          <w:b/>
          <w:bCs/>
        </w:rPr>
        <w:t>6. ECO-RETREATS &amp; EDUCATION</w:t>
      </w:r>
    </w:p>
    <w:p w14:paraId="1D8F3262">
      <w:pPr>
        <w:rPr>
          <w:rFonts w:hint="eastAsia"/>
        </w:rPr>
      </w:pPr>
    </w:p>
    <w:p w14:paraId="4FBD9CAC">
      <w:pPr>
        <w:rPr>
          <w:rFonts w:hint="eastAsia"/>
        </w:rPr>
      </w:pPr>
      <w:r>
        <w:rPr>
          <w:rFonts w:hint="eastAsia"/>
        </w:rPr>
        <w:t>Journal of Sustainable Tourism (2023):</w:t>
      </w:r>
    </w:p>
    <w:p w14:paraId="1FCF82D0">
      <w:pPr>
        <w:rPr>
          <w:rFonts w:hint="eastAsia"/>
        </w:rPr>
      </w:pPr>
      <w:r>
        <w:rPr>
          <w:rFonts w:hint="eastAsia"/>
        </w:rPr>
        <w:t>"Agricultural retreats increase CSA subscriptions 40% and visitor support for local farms 300%."</w:t>
      </w:r>
    </w:p>
    <w:p w14:paraId="2B17FE61">
      <w:pPr>
        <w:rPr>
          <w:rFonts w:hint="eastAsia"/>
        </w:rPr>
      </w:pPr>
      <w:r>
        <w:rPr>
          <w:rFonts w:hint="eastAsia"/>
        </w:rPr>
        <w:t>URL: https://doi.org/10.1080/09669582.2023.2168867</w:t>
      </w:r>
    </w:p>
    <w:p w14:paraId="3AB9E69A">
      <w:pPr>
        <w:rPr>
          <w:rFonts w:hint="eastAsia"/>
        </w:rPr>
      </w:pPr>
    </w:p>
    <w:p w14:paraId="741BC509">
      <w:pPr>
        <w:rPr>
          <w:rFonts w:hint="eastAsia"/>
        </w:rPr>
      </w:pPr>
      <w:r>
        <w:rPr>
          <w:rFonts w:hint="eastAsia"/>
        </w:rPr>
        <w:t>UNWTO (2020):</w:t>
      </w:r>
    </w:p>
    <w:p w14:paraId="23930FDB">
      <w:pPr>
        <w:rPr>
          <w:rFonts w:hint="eastAsia"/>
        </w:rPr>
      </w:pPr>
      <w:r>
        <w:rPr>
          <w:rFonts w:hint="eastAsia"/>
        </w:rPr>
        <w:t>"78% of farm stay participants adopt sustainable food purchasing habits post-experience."</w:t>
      </w:r>
    </w:p>
    <w:p w14:paraId="5B612F28">
      <w:pPr>
        <w:rPr>
          <w:rFonts w:hint="eastAsia"/>
        </w:rPr>
      </w:pPr>
      <w:r>
        <w:rPr>
          <w:rFonts w:hint="eastAsia"/>
        </w:rPr>
        <w:t>URL: https://www.unwto.org/rural-tourism</w:t>
      </w:r>
    </w:p>
    <w:p w14:paraId="3588C282">
      <w:pPr/>
    </w:p>
    <w:sectPr>
      <w:pgSz w:w="12240" w:h="15840"/>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quote-cjk-patch">
    <w:panose1 w:val="00000000000000000000"/>
    <w:charset w:val="00"/>
    <w:family w:val="auto"/>
    <w:pitch w:val="default"/>
    <w:sig w:usb0="00000000" w:usb1="00000000" w:usb2="00000000" w:usb3="00000000" w:csb0="00000000" w:csb1="00000000"/>
  </w:font>
  <w:font w:name="Symbol">
    <w:panose1 w:val="00000000000000000000"/>
    <w:charset w:val="00"/>
    <w:family w:val="auto"/>
    <w:pitch w:val="default"/>
    <w:sig w:usb0="00000000" w:usb1="00000000" w:usb2="00000000" w:usb3="00000000" w:csb0="00000000" w:csb1="00000000"/>
  </w:font>
  <w:font w:name="Noto Sans">
    <w:panose1 w:val="00000000000000000000"/>
    <w:charset w:val="00"/>
    <w:family w:val="auto"/>
    <w:pitch w:val="default"/>
    <w:sig w:usb0="00000000" w:usb1="00000000" w:usb2="00000000" w:usb3="00000000" w:csb0="00000000" w:csb1="00000000"/>
  </w:font>
  <w:font w:name="var(--bs-font-monospace)">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4E83F0"/>
    <w:multiLevelType w:val="multilevel"/>
    <w:tmpl w:val="674E83F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674E83FB"/>
    <w:multiLevelType w:val="multilevel"/>
    <w:tmpl w:val="674E83F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674E8406"/>
    <w:multiLevelType w:val="multilevel"/>
    <w:tmpl w:val="674E84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674E8411"/>
    <w:multiLevelType w:val="multilevel"/>
    <w:tmpl w:val="674E84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674E841C"/>
    <w:multiLevelType w:val="multilevel"/>
    <w:tmpl w:val="674E841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674E8432"/>
    <w:multiLevelType w:val="multilevel"/>
    <w:tmpl w:val="674E84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674E843D"/>
    <w:multiLevelType w:val="multilevel"/>
    <w:tmpl w:val="674E84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674E8448"/>
    <w:multiLevelType w:val="multilevel"/>
    <w:tmpl w:val="674E844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674E8453"/>
    <w:multiLevelType w:val="multilevel"/>
    <w:tmpl w:val="674E845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674E845E"/>
    <w:multiLevelType w:val="multilevel"/>
    <w:tmpl w:val="674E845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674E8469"/>
    <w:multiLevelType w:val="multilevel"/>
    <w:tmpl w:val="674E84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674E8474"/>
    <w:multiLevelType w:val="multilevel"/>
    <w:tmpl w:val="674E84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674E847F"/>
    <w:multiLevelType w:val="multilevel"/>
    <w:tmpl w:val="674E84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674E848A"/>
    <w:multiLevelType w:val="multilevel"/>
    <w:tmpl w:val="674E848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674E8495"/>
    <w:multiLevelType w:val="multilevel"/>
    <w:tmpl w:val="674E849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674E84A0"/>
    <w:multiLevelType w:val="multilevel"/>
    <w:tmpl w:val="674E84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674E84AB"/>
    <w:multiLevelType w:val="multilevel"/>
    <w:tmpl w:val="674E84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674E84B6"/>
    <w:multiLevelType w:val="multilevel"/>
    <w:tmpl w:val="674E84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674E84C1"/>
    <w:multiLevelType w:val="multilevel"/>
    <w:tmpl w:val="674E84C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674E84CC"/>
    <w:multiLevelType w:val="multilevel"/>
    <w:tmpl w:val="674E84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674E84D7"/>
    <w:multiLevelType w:val="multilevel"/>
    <w:tmpl w:val="674E84D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1">
    <w:nsid w:val="674E84E2"/>
    <w:multiLevelType w:val="multilevel"/>
    <w:tmpl w:val="674E84E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2">
    <w:nsid w:val="674E84ED"/>
    <w:multiLevelType w:val="multilevel"/>
    <w:tmpl w:val="674E84E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3">
    <w:nsid w:val="674E84F8"/>
    <w:multiLevelType w:val="multilevel"/>
    <w:tmpl w:val="674E84F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4">
    <w:nsid w:val="674E8503"/>
    <w:multiLevelType w:val="multilevel"/>
    <w:tmpl w:val="674E850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5">
    <w:nsid w:val="674E850E"/>
    <w:multiLevelType w:val="multilevel"/>
    <w:tmpl w:val="674E850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6">
    <w:nsid w:val="674E8519"/>
    <w:multiLevelType w:val="multilevel"/>
    <w:tmpl w:val="674E851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7">
    <w:nsid w:val="674E8524"/>
    <w:multiLevelType w:val="multilevel"/>
    <w:tmpl w:val="674E852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8">
    <w:nsid w:val="674E852F"/>
    <w:multiLevelType w:val="multilevel"/>
    <w:tmpl w:val="674E852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9">
    <w:nsid w:val="674E853A"/>
    <w:multiLevelType w:val="multilevel"/>
    <w:tmpl w:val="674E853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0">
    <w:nsid w:val="674E8545"/>
    <w:multiLevelType w:val="multilevel"/>
    <w:tmpl w:val="674E854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1">
    <w:nsid w:val="674E8550"/>
    <w:multiLevelType w:val="multilevel"/>
    <w:tmpl w:val="674E855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ompat>
    <w:ulTrailSpace/>
    <w:doNotBreakWrappedTables/>
    <w:doNotWrapTextWithPunct/>
    <w:doNotUseEastAsianBreakRules/>
    <w:compatSetting w:name="compatibilityMode" w:uri="http://schemas.microsoft.com/office/word" w:val="15"/>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12">
    <w:name w:val="Default Paragraph Font"/>
    <w:semiHidden/>
    <w:uiPriority w:val="0"/>
  </w:style>
  <w:style w:type="table" w:default="1" w:styleId="16">
    <w:name w:val="Normal Table"/>
    <w:semiHidden/>
    <w:uiPriority w:val="0"/>
    <w:tblPr>
      <w:tblLayout w:type="fixed"/>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center"/>
    </w:pPr>
    <w:rPr>
      <w:sz w:val="18"/>
      <w:szCs w:val="18"/>
    </w:rPr>
  </w:style>
  <w:style w:type="paragraph" w:styleId="9">
    <w:name w:val="header"/>
    <w:basedOn w:val="1"/>
    <w:uiPriority w:val="0"/>
    <w:pPr>
      <w:tabs>
        <w:tab w:val="center" w:pos="4153"/>
        <w:tab w:val="right" w:pos="8306"/>
      </w:tabs>
      <w:snapToGrid w:val="0"/>
      <w:jc w:val="center"/>
    </w:pPr>
    <w:rPr>
      <w:sz w:val="18"/>
      <w:szCs w:val="18"/>
    </w:r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character" w:styleId="13">
    <w:name w:val="Emphasis"/>
    <w:basedOn w:val="12"/>
    <w:qFormat/>
    <w:uiPriority w:val="0"/>
    <w:rPr>
      <w:i/>
      <w:iCs/>
    </w:rPr>
  </w:style>
  <w:style w:type="character" w:styleId="14">
    <w:name w:val="Hyperlink"/>
    <w:basedOn w:val="12"/>
    <w:uiPriority w:val="0"/>
    <w:rPr>
      <w:color w:val="0000FF"/>
      <w:u w:val="single"/>
    </w:rPr>
  </w:style>
  <w:style w:type="character" w:styleId="15">
    <w:name w:val="Strong"/>
    <w:basedOn w:val="12"/>
    <w:qFormat/>
    <w:uiPriority w:val="0"/>
    <w:rPr>
      <w:b/>
      <w:bCs/>
    </w:rPr>
  </w:style>
  <w:style w:type="table" w:customStyle="1" w:styleId="17">
    <w:name w:val="Table Norm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2024-12-09T15:21:59Z</dcterms:created>
  <cp:lastModifiedBy>iPhone</cp:lastModifiedBy>
  <dcterms:modified xsi:type="dcterms:W3CDTF">2025-08-21T10:27:08Z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6C181F97DE17EA06DC10506791231B40_32</vt:lpwstr>
  </property>
  <property fmtid="{D5CDD505-2E9C-101B-9397-08002B2CF9AE}" pid="3" name="KSOProductBuildVer">
    <vt:lpwstr>3081-11.35.00</vt:lpwstr>
  </property>
</Properties>
</file>