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ML Regime Strategy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Production-Grade Quantitative Pipeline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vectorbt  ·  nautilus_trader  ·  IBKR</w:t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and the accompanying Python module implement a complete HMM-regime-detection + meta-labelling quantitative strategy, engineered to production standard. Every identified failure mode of the initial conceptual blueprint has been resolved with working code.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Invariant: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single most important design decision: one FeatureEngine class, called identically in research (batch) and in Nautilus (step). If features are not byte-for-byte identical between training and production, every other fix is irrelevant.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Resolved Issues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HMM single-step inference 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predict_current_state() runs forward-backward on full rolling window; takes last timestep posterior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HMM label switching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ordering by mean volatility ascending, deterministic across retraining cycles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Frac-diff window mismatch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tau-truncated window computed once at init; same deque size used in research and 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logic gap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compute_barriers_for_live_order() mirrors label() with identical parameters and regime-conditional multipliers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leakage in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PurgedKFold: purges training samples whose label spans overlap test window; embargoes post-test buffer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Hardcoded 0.6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tuned on OOF predictions via grid search; stored with model; configurable target metric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sizing stub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FractionalKelly: quarter-Kelly, vol-targeting cap, hard max-position cap, all three applied in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model lifecycle plan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ModelHealthMonitor (KL drift, prob drift, calibration); RetrainingScheduler (scheduled + alert-triggered)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Optimistic transaction costs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vectorbt backtest includes slippage parameter; 10bps fees + 10bps slippage as baseline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weight ignored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compute_sample_uniqueness() weights training samples; overlapping labels downweighted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strategy is implemented as a Python package with one responsibility per module. The dependency graph is strictly acyclic: research_pipeline and nautilus_strategy both depend on the lower modules; the lower modules have no cross-dependencies.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feature_engine.py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FeatureEngine: step() for production, batch() wraps step() for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regime_detection.py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RegimeDetector: HMM with canonical ordering and proper sequence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labelling.py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+ Production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TripleBarrierLabeller: generates labels in research; replicates barriers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cross_validation.py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PurgedKFold + sample uniqueness weights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meta_labeller.py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MetaLabeller: XGBoost with OOF threshold tuning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position_sizing.py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FractionalKelly + WinLossTracker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model_lifecycle.py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ModelHealthMonitor + RetrainingScheduler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nautilus_strategy.py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Nautilus Strategy subclass wiring all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research_pipeline.py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run() orchestrates full research workflow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1: Feature Engineering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FeatureEngine — The Research/Production Parity Guarantee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FeatureEngine computes three stationary features: log_return, ewm_vol (exponentially weighted volatility), and frac_diff (fractionally differenced price). The critical design is that batch() calls step() sequentially — it is not a separate batch implementation. This is the architectural guarantee.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Fractional Differentiation Window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frac-diff weights decay according to the binomial series expansion of (1-L)^d. The tau threshold (default 1e-4) truncates this infinite series to a finite window. That window is computed once at init and becomes the maxlen of the price deque. Both research and production use this identical window.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 = FeatureEngine(vol_span=20, frac_d=0.4, frac_tau=1e-4)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 research: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features = fe.batch(prices)           # returns DataFrame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In Nautilus on_bar():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feat = self.feature_engine.step(close)  # returns np.ndarray or None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Parameter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Choosing frac_d: d=0 is the raw price (non-stationary). d=1 is simple returns (maximum differentiation, loses all memory). d=0.4 is a common choice that achieves near-stationarity while retaining significant long-memory. Validate by testing ADF stationarity on your specific instrument.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2: Regime Detection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RegimeDetector — Two Bugs, Two Fixes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 1: Single-Step Inference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Gemini's predict(single_observation) discards the transition probability context. The forward-backward algorithm — which gives HMMs their predictive power — requires a sequence. The fix: maintain a rolling window of min_seq_len observations and call predict_proba() on the full window, then take the last timestep's posterior.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WRONG (Gemini):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state = model.predict([current_features])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CORRECT: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current_state, posteriors = detector.predict_current_state(feature_window)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feature_window: last min_seq_len observations, most recent last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Bug 2: Label Switching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Unsupervised models have no ordinal stability. After retraining, what was 'Regime 0' may become 'Regime 1'. Any hardcoded regime-conditional logic silently inverts. The fix: sort states by their mean volatility feature after fitting. State 0 is always the lowest-volatility state, State 1 the highest. This ordering is physically interpretable and reproducible.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At fit time: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raw_vol_means = model.means_[:, vol_feature_idx]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self._canonical_to_raw = np.argsort(raw_vol_means)  # stored, not recomputed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At inference: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canonical_posteriors = raw_posteriors[-1][self._canonical_to_raw]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Empirical Validation Required: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Validate min_seq_len empirically. The posterior quality for the last timestep degrades when the sequence is short relative to the HMM's learned transition timescales. Run posterior confidence as a function of sequence length on your training data; find where it plateaus.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3: Triple Barrier Labelling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Exit Logic Gap — Resolved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Gemini generated triple barrier labels in research but left exits undefined in production (a comment: 'Define your exit logic'). The consequence: XGBoost was trained on outcomes produced by one exit regime and deployed into a different one. The model cannot generalise across this misalignment.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fix: TripleBarrierLabeller exposes two methods that share identical parameter logic: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 </w:t>
      </w:r>
      <w:r>
        <w:rPr>
          <w:rFonts w:ascii="Arial" w:cs="Arial" w:eastAsia="Arial" w:hAnsi="Arial"/>
          <w:sz w:val="22"/>
          <w:szCs w:val="22"/>
        </w:rPr>
        <w:t xml:space="preserve">label() generates training labels. Called once in research.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Production: </w:t>
      </w:r>
      <w:r>
        <w:rPr>
          <w:rFonts w:ascii="Arial" w:cs="Arial" w:eastAsia="Arial" w:hAnsi="Arial"/>
          <w:sz w:val="22"/>
          <w:szCs w:val="22"/>
        </w:rPr>
        <w:t xml:space="preserve">compute_barriers_for_live_order() computes take-profit and stop-loss price levels for a live order. Called in nautilus_strategy.on_bar() at order submission.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methods apply the same regime-conditional multipliers: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Regime 1 (high vol / trending): wider take-profit, tighter stop-loss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REGIME_UPPER_SCALE = {0: 1.0, 1: 1.5}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REGIME_LOWER_SCALE = {0: 1.0, 1: 0.7}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live strategy then manages the position bar-by-bar in _manage_position(), checking close price against the stored barrier levels on every bar until one is hit or max_holding_bars is reached. This is the Triple Barrier state machine.</w:t>
      </w:r>
    </w:p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4: Purged and Embargoed Cross-Validation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Standard K-Fold Fails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Standard K-Fold has two leakage mechanisms that are especially severe for triple-barrier labels: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Correlation: </w:t>
      </w:r>
      <w:r>
        <w:rPr>
          <w:rFonts w:ascii="Arial" w:cs="Arial" w:eastAsia="Arial" w:hAnsi="Arial"/>
          <w:sz w:val="22"/>
          <w:szCs w:val="22"/>
        </w:rPr>
        <w:t xml:space="preserve">Serial correlation: an observation at t and t+1 share macroeconomic context. A model trained on t effectively sees the context of t+1.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Label span: </w:t>
      </w:r>
      <w:r>
        <w:rPr>
          <w:rFonts w:ascii="Arial" w:cs="Arial" w:eastAsia="Arial" w:hAnsi="Arial"/>
          <w:sz w:val="22"/>
          <w:szCs w:val="22"/>
        </w:rPr>
        <w:t xml:space="preserve">Label look-ahead: a triple barrier label spans [entry_time, exit_time]. If that span extends into the test window, the training observation contains forward-looking information about test-period prices.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Purging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Removes training observations whose label span overlaps with the test window. Overlap condition: entry_time &lt;= test_end AND exit_time &gt;= test_start. This directly removes the label look-ahead leak.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Embargoing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Removes a contiguous block of observations immediately after each test fold. Default: 1% of total observations. This accounts for residual serial correlation that persists after the test window.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Sample Uniqueness Weights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multiple concurrent labels share the same bars, each observation contributes less independent information. compute_sample_uniqueness() measures the fraction of each label's bar-span that is unique to it. Observations with low uniqueness receive lower sample weight in XGBoost training.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uniqueness = compute_sample_uniqueness(entry_times, exit_times, bar_times)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Returns Series: mean uniqueness per label, range (0, 1]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Used as sample_weight in model.fit()</w:t>
      </w:r>
    </w:p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5: Meta-Labeller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Threshold Tuning — OOF, Not Manual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Gemini's 0.6 threshold was chosen by inspection. This is overfitting-by-hand. The threshold needs to be treated as a hyperparameter, tuned on out-of-fold predictions from the same purged CV used for training, and stored with the model so production uses the identical value.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MetaLabeller fits with PurgedKFold, collects OOF probability scores across all folds, then grid-searches the threshold on those OOF scores. The target metric (F1, precision, or recall) is configurable depending on whether you want to maximise hit rate or trade count.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ml = MetaLabeller(threshold_target='f1')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ml.fit(X, meta_y, exit_times, bar_times=prices.index)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CV results include: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mean_auc, oof_f1, oof_precision, oof_recall, optimal_threshold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Threshold Target Choice: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threshold matters directionally: lower threshold = more trades, lower precision; higher = fewer trades, higher precision. F1 balances both. If you are capital-constrained and want high-confidence trades, tune for precision. If you want maximum throughput, tune for recall.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6: Position Sizing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Fractional Kelly with Dual Caps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meta-labeller's probability output is more useful as a continuous signal than a binary filter. Quarter-Kelly maps it to a portfolio fraction. Two hard constraints prevent aggressive Kelly behaviour from becoming dangerous in practice: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 1: </w:t>
      </w:r>
      <w:r>
        <w:rPr>
          <w:rFonts w:ascii="Arial" w:cs="Arial" w:eastAsia="Arial" w:hAnsi="Arial"/>
          <w:sz w:val="22"/>
          <w:szCs w:val="22"/>
        </w:rPr>
        <w:t xml:space="preserve">Volatility targeting: position size is capped so that a single trade contributes no more than vol_target_pct (default 1%) to daily portfolio volatility.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 2: </w:t>
      </w:r>
      <w:r>
        <w:rPr>
          <w:rFonts w:ascii="Arial" w:cs="Arial" w:eastAsia="Arial" w:hAnsi="Arial"/>
          <w:sz w:val="22"/>
          <w:szCs w:val="22"/>
        </w:rPr>
        <w:t xml:space="preserve">Hard maximum: position is capped at max_position_pct (default 5%) of portfolio regardless of Kelly or vol output.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effective position is the minimum of Kelly-implied size, vol-targeting cap, and hard cap. For most typical conditions, the vol cap binds first.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sizer = FractionalKelly(fraction=0.25, max_position_pct=0.05, vol_target_pct=0.01)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size = sizer.size(prob_success, wl_tracker.ratio, nav, daily_vol)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Win/Loss Ratio Prior: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win/loss ratio is estimated from live trade history via WinLossTracker. The prior (before 10 wins and 10 losses are observed) defaults to 1.5 — a conservative assumption. Do not use backtest win/loss ratios as the prior: they overfit.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7: Model Lifecycle Management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Degradation Monitoring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model trained in one market environment will degrade as conditions change. ModelHealthMonitor tracks three degradation signals and fires configurable alerts: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Regime drift: KL divergence between live regime frequency distribution and training-time distribution. Alert when KL &gt; 0.2 (configurable).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Probability distribution drift: z-score of live mean XGBoost probability vs training OOF mean. Alert when |z| &gt; 2.0.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Calibration drift: absolute deviation between expected hit rate (mean predicted prob) and realised hit rate over last N trades. Alert when deviation &gt; 15%.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Retraining Scheduler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Retraining is triggered by two conditions: scheduled (every 252 bars, approximately annually on daily data) or alert-triggered. Either condition sets a retrain_requested flag that the strategy checks. After retraining, the scheduler resets and enters a new warm-up period — the new model must accumulate min_history bars before producing features and min_seq_len bars before HMM inference.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Operational Rule: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Never retrain silently in production. Every retraining event should be logged with timestamp, trigger reason, and key metrics before and after. The model that goes live must be validated on a hold-out period before activation.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8: Production Execution (Nautilus Trader)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Bar Processing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on_bar() handler follows a strict sequential gate logic. Each gate must pass before the next is entered: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warm-up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feature_engine.step() returns None until frac_window + vol_span bars accumulated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HMM warm-up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feature_window deque must contain &gt;= hmm_min_seq_len observations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Retrain warm-up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RetrainingScheduler.in_warmup() must be False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already long: check barriers every bar, exit if hit or time elapsed. Return early.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signal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_primary_signal(): MA crossover, fast crosses above slow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Meta-label filter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meta_labeller.predict_proba() on current features + regime posteriors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Kelly sizing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FractionalKelly.size(): returns 0 if below min_edge or Kelly is negative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Barrier computation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compute_barriers_for_live_order() called before order submission, stored in self._barriers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order, quantity = size / close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Research Pipeline Usage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research_pipeline.run() orchestrates all research phases and produces trained models plus the metadata required to initialise the Nautilus strategy config:</w:t>
      </w:r>
    </w:p>
    <w:p>
      <w:pPr>
        <w:spacing w:before="120" w:after="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strategy.research_pipeline import run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results = run(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prices=your_price_series,      # pd.Series with DatetimeIndex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output_dir='models',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vol_span=20, frac_d=0.4,       # must match Nautilus config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vol_mult_upper=2.0,            # must match Nautilus config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max_holding_bars=5,            # must match Nautilus config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meta = results['training_metadata']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Use meta['training_regime_dist'], meta['training_prob_mean'],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meta['training_prob_std'] directly in MLRegimeStrategyConfig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pipeline prints a full diagnostic at each phase: feature warm-up requirements, regime distributions with state descriptions, label balance, CV purge counts per fold, OOF metrics, top feature importances, and backtest summary.</w:t>
      </w:r>
    </w:p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Known Limitations and Further Work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signal: </w:t>
      </w:r>
      <w:r>
        <w:rPr>
          <w:rFonts w:ascii="Arial" w:cs="Arial" w:eastAsia="Arial" w:hAnsi="Arial"/>
          <w:sz w:val="22"/>
          <w:szCs w:val="22"/>
        </w:rPr>
        <w:t xml:space="preserve">The primary signal (MA crossover) is deliberately simple — it is the source of raw entry candidates, not the alpha. The meta-labeller carries the predictive weight. Replacing the primary signal with a richer model (e.g. momentum Z-score, statistical arbitrage spread) is the most direct path to higher signal quality.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HMM sequence length: </w:t>
      </w:r>
      <w:r>
        <w:rPr>
          <w:rFonts w:ascii="Arial" w:cs="Arial" w:eastAsia="Arial" w:hAnsi="Arial"/>
          <w:sz w:val="22"/>
          <w:szCs w:val="22"/>
        </w:rPr>
        <w:t xml:space="preserve">The HMM posterior quality degrades for sequences shorter than the model's effective transition timescale. Validate min_seq_len empirically on your training data before deployment.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Frac-diff d parameter: </w:t>
      </w:r>
      <w:r>
        <w:rPr>
          <w:rFonts w:ascii="Arial" w:cs="Arial" w:eastAsia="Arial" w:hAnsi="Arial"/>
          <w:sz w:val="22"/>
          <w:szCs w:val="22"/>
        </w:rPr>
        <w:t xml:space="preserve">fractional differentiation stationarity should be verified per instrument. The frac_d=0.4 default is a reasonable starting point; run ADF tests at different d values and choose the minimum d achieving stationarity.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Kelly assumptions: </w:t>
      </w:r>
      <w:r>
        <w:rPr>
          <w:rFonts w:ascii="Arial" w:cs="Arial" w:eastAsia="Arial" w:hAnsi="Arial"/>
          <w:sz w:val="22"/>
          <w:szCs w:val="22"/>
        </w:rPr>
        <w:t xml:space="preserve">Kelly sizing assumes serial independence between trades. In practice, trades may be correlated (e.g. during trending regimes). A conservative fraction=0.25 partially mitigates this but does not eliminate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Frequency scaling: </w:t>
      </w:r>
      <w:r>
        <w:rPr>
          <w:rFonts w:ascii="Arial" w:cs="Arial" w:eastAsia="Arial" w:hAnsi="Arial"/>
          <w:sz w:val="22"/>
          <w:szCs w:val="22"/>
        </w:rPr>
        <w:t xml:space="preserve">The backtest uses daily bars. For intraday application, vol_target_pct, barrier multipliers, and max_holding_bars all need recalibration to the appropriate timescale.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costs: </w:t>
      </w:r>
      <w:r>
        <w:rPr>
          <w:rFonts w:ascii="Arial" w:cs="Arial" w:eastAsia="Arial" w:hAnsi="Arial"/>
          <w:sz w:val="22"/>
          <w:szCs w:val="22"/>
        </w:rPr>
        <w:t xml:space="preserve">IBKR fee structure is per-share for US equities, not a flat percentage. Replace fees=0.001 with an instrument-specific model before drawing conclusions from backtest results.</w:t>
      </w:r>
    </w:p>
    <w:p>
      <w:pPr>
        <w:spacing w:before="120" w:after="0"/>
      </w:pPr>
      <w:r>
        <w:t xml:space="preserve"/>
      </w:r>
    </w:p>
    <w:p>
      <w:pPr>
        <w:pBdr>
          <w:bottom w:val="single" w:color="1F4E79" w:sz="6" w:space="1"/>
        </w:pBdr>
        <w:spacing w:before="200" w:after="200"/>
      </w:pPr>
    </w:p>
    <w:p>
      <w:pPr>
        <w:spacing w:before="3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ML Regime Strategy  |  All code in accompanying /strategy/ package  |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2026-03-15T20:56:08.506Z</dcterms:created>
  <dcterms:modified xsi:type="dcterms:W3CDTF">2026-03-15T20:56:08.507Z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