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1A1A"/>
          <w:sz w:val="44"/>
          <w:szCs w:val="44"/>
        </w:rPr>
        <w:t xml:space="preserve">FLUENTLY</w:t>
      </w:r>
    </w:p>
    <w:p>
      <w:pPr>
        <w:spacing w:after="320"/>
      </w:pPr>
      <w:r>
        <w:rPr>
          <w:rFonts w:ascii="Arial" w:cs="Arial" w:eastAsia="Arial" w:hAnsi="Arial"/>
          <w:i/>
          <w:iCs/>
          <w:color w:val="888780"/>
          <w:sz w:val="22"/>
          <w:szCs w:val="22"/>
        </w:rPr>
        <w:t xml:space="preserve">Plateforme sociale d'apprentissage linguistique</w:t>
      </w:r>
    </w:p>
    <w:p>
      <w:pPr>
        <w:spacing w:after="100"/>
      </w:pPr>
      <w:r>
        <w:rPr>
          <w:rFonts w:ascii="Arial" w:cs="Arial" w:eastAsia="Arial" w:hAnsi="Arial"/>
          <w:b/>
          <w:bCs/>
          <w:color w:val="1F3A5F"/>
          <w:sz w:val="32"/>
          <w:szCs w:val="32"/>
        </w:rPr>
        <w:t xml:space="preserve">Registre des Livrables</w:t>
      </w:r>
    </w:p>
    <w:p>
      <w:pPr>
        <w:spacing w:after="20"/>
      </w:pPr>
      <w:r>
        <w:rPr>
          <w:rFonts w:ascii="Arial" w:cs="Arial" w:eastAsia="Arial" w:hAnsi="Arial"/>
          <w:color w:val="888780"/>
          <w:sz w:val="19"/>
          <w:szCs w:val="19"/>
        </w:rPr>
        <w:t xml:space="preserve">EPITECH Paris — Projet de fin de formation (ESP)</w:t>
      </w:r>
    </w:p>
    <w:p>
      <w:pPr>
        <w:spacing w:after="360"/>
      </w:pPr>
      <w:r>
        <w:rPr>
          <w:rFonts w:ascii="Arial" w:cs="Arial" w:eastAsia="Arial" w:hAnsi="Arial"/>
          <w:color w:val="888780"/>
          <w:sz w:val="19"/>
          <w:szCs w:val="19"/>
        </w:rPr>
        <w:t xml:space="preserve">2026 – 2027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7D0" w:sz="4"/>
              <w:left w:val="single" w:color="D9D7D0" w:sz="4"/>
              <w:bottom w:val="single" w:color="D9D7D0" w:sz="4"/>
              <w:right w:val="single" w:color="D9D7D0" w:sz="4"/>
            </w:tcBorders>
            <w:shd w:fill="F2F4F6" w:val="clear"/>
            <w:tcMar>
              <w:top w:type="dxa" w:w="200"/>
              <w:left w:type="dxa" w:w="220"/>
              <w:bottom w:type="dxa" w:w="200"/>
              <w:right w:type="dxa" w:w="220"/>
            </w:tcMar>
          </w:tcPr>
          <w:p>
            <w:r>
              <w:rPr>
                <w:rFonts w:ascii="Arial" w:cs="Arial" w:eastAsia="Arial" w:hAnsi="Arial"/>
                <w:i/>
                <w:iCs/>
                <w:color w:val="333333"/>
                <w:sz w:val="20"/>
                <w:szCs w:val="20"/>
              </w:rPr>
              <w:t xml:space="preserve">Ce Registre des Livrables est le dossier vivant où l'équipe archive toutes les preuves du travail produit pendant le projet : revues de code, rapports de tests, comptes-rendus de réunions, versions successives du planning, burndown charts, décisions techniques. Contrairement au PAQ et au Cahier des Charges, ce document évolue tout au long du projet : chaque livrable est ajouté au fil de l'eau dans la section correspondante.</w:t>
            </w:r>
          </w:p>
        </w:tc>
      </w:tr>
    </w:tbl>
    <w:p>
      <w:pPr>
        <w:spacing w:after="200"/>
      </w:pPr>
    </w:p>
    <w:p>
      <w:pPr>
        <w:pStyle w:val="Heading1"/>
      </w:pPr>
      <w:r>
        <w:t xml:space="preserve">1. Présentation et mode d'emploi</w:t>
      </w:r>
    </w:p>
    <w:p>
      <w:pPr>
        <w:spacing w:after="160"/>
      </w:pPr>
      <w:r>
        <w:rPr>
          <w:rFonts w:ascii="Arial" w:cs="Arial" w:eastAsia="Arial" w:hAnsi="Arial"/>
          <w:b w:val="false"/>
          <w:bCs w:val="false"/>
          <w:i w:val="false"/>
          <w:iCs w:val="false"/>
          <w:color w:val="333333"/>
          <w:sz w:val="21"/>
          <w:szCs w:val="21"/>
        </w:rPr>
        <w:t xml:space="preserve">Le Registre des Livrables est l'un des trois documents principaux du projet Fluently, aux côtés du Cahier des Charges (définition du projet) et du Plan Assurance Qualité (règles de qualité). Sa vocation est de centraliser les preuves d'application des règles du PAQ : il rassemble en un seul endroit les artefacts produits sprint après sprint, pour faciliter la traçabilité, les revues de mi-parcours et la soutenance finale.</w:t>
      </w:r>
    </w:p>
    <w:p>
      <w:pPr>
        <w:pStyle w:val="Heading2"/>
      </w:pPr>
      <w:r>
        <w:t xml:space="preserve">1.1 Principes</w:t>
      </w:r>
    </w:p>
    <w:p>
      <w:pPr>
        <w:pStyle w:val="ListParagraph"/>
        <w:numPr>
          <w:ilvl w:val="0"/>
          <w:numId w:val="2"/>
        </w:numPr>
        <w:spacing w:after="80"/>
      </w:pPr>
      <w:r>
        <w:rPr>
          <w:rFonts w:ascii="Arial" w:cs="Arial" w:eastAsia="Arial" w:hAnsi="Arial"/>
          <w:color w:val="333333"/>
          <w:sz w:val="20"/>
          <w:szCs w:val="20"/>
        </w:rPr>
        <w:t xml:space="preserve">Document évolutif : mis à jour à chaque sprint, à chaque PR mergée, à chaque réunion.</w:t>
      </w:r>
    </w:p>
    <w:p>
      <w:pPr>
        <w:pStyle w:val="ListParagraph"/>
        <w:numPr>
          <w:ilvl w:val="0"/>
          <w:numId w:val="2"/>
        </w:numPr>
        <w:spacing w:after="80"/>
      </w:pPr>
      <w:r>
        <w:rPr>
          <w:rFonts w:ascii="Arial" w:cs="Arial" w:eastAsia="Arial" w:hAnsi="Arial"/>
          <w:color w:val="333333"/>
          <w:sz w:val="20"/>
          <w:szCs w:val="20"/>
        </w:rPr>
        <w:t xml:space="preserve">Conventions de nommage stables : chaque livrable porte un identifiant (DOC-xxx, PR-xxx, ADR-xxx…) pour faciliter les références croisées.</w:t>
      </w:r>
    </w:p>
    <w:p>
      <w:pPr>
        <w:pStyle w:val="ListParagraph"/>
        <w:numPr>
          <w:ilvl w:val="0"/>
          <w:numId w:val="2"/>
        </w:numPr>
        <w:spacing w:after="80"/>
      </w:pPr>
      <w:r>
        <w:rPr>
          <w:rFonts w:ascii="Arial" w:cs="Arial" w:eastAsia="Arial" w:hAnsi="Arial"/>
          <w:color w:val="333333"/>
          <w:sz w:val="20"/>
          <w:szCs w:val="20"/>
        </w:rPr>
        <w:t xml:space="preserve">Stockage centralisé : les fichiers eux-mêmes sont rangés dans un répertoire `/livrables` du dépôt Git, avec une arborescence miroir de ce document.</w:t>
      </w:r>
    </w:p>
    <w:p>
      <w:pPr>
        <w:pStyle w:val="ListParagraph"/>
        <w:numPr>
          <w:ilvl w:val="0"/>
          <w:numId w:val="2"/>
        </w:numPr>
        <w:spacing w:after="80"/>
      </w:pPr>
      <w:r>
        <w:rPr>
          <w:rFonts w:ascii="Arial" w:cs="Arial" w:eastAsia="Arial" w:hAnsi="Arial"/>
          <w:color w:val="333333"/>
          <w:sz w:val="20"/>
          <w:szCs w:val="20"/>
        </w:rPr>
        <w:t xml:space="preserve">Responsabilité partagée : chaque membre de l'équipe ajoute ses propres livrables au registre dès qu'ils sont produits.</w:t>
      </w:r>
    </w:p>
    <w:p>
      <w:pPr>
        <w:pStyle w:val="Heading2"/>
      </w:pPr>
      <w:r>
        <w:t xml:space="preserve">1.2 Conventions d'identifiants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3426"/>
      </w:tblGrid>
      <w:tr>
        <w:trPr>
          <w:tblHeader/>
        </w:trPr>
        <w:tc>
          <w:tcPr>
            <w:tcW w:type="dxa" w:w="11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Préfixe</w:t>
            </w:r>
          </w:p>
        </w:tc>
        <w:tc>
          <w:tcPr>
            <w:tcW w:type="dxa" w:w="45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Type de livrable</w:t>
            </w:r>
          </w:p>
        </w:tc>
        <w:tc>
          <w:tcPr>
            <w:tcW w:type="dxa" w:w="3426"/>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Exemple</w:t>
            </w:r>
          </w:p>
        </w:tc>
      </w:tr>
      <w:tr>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w:t>
            </w:r>
          </w:p>
        </w:tc>
        <w:tc>
          <w:tcPr>
            <w:tcW w:type="dxa" w:w="45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Document de référence du projet</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DOC-001 — Cahier des Charges</w:t>
            </w:r>
          </w:p>
        </w:tc>
      </w:tr>
      <w:tr>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PR-</w:t>
            </w:r>
          </w:p>
        </w:tc>
        <w:tc>
          <w:tcPr>
            <w:tcW w:type="dxa" w:w="45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Pull Request importante (revue de code)</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PR-014 — Implémentation auth JWT</w:t>
            </w:r>
          </w:p>
        </w:tc>
      </w:tr>
      <w:tr>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TST-</w:t>
            </w:r>
          </w:p>
        </w:tc>
        <w:tc>
          <w:tcPr>
            <w:tcW w:type="dxa" w:w="45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Rapport de tests (coverage, E2E, sécurité)</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TST-S03 — Rapport de couverture sprint 3</w:t>
            </w:r>
          </w:p>
        </w:tc>
      </w:tr>
      <w:tr>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CR-</w:t>
            </w:r>
          </w:p>
        </w:tc>
        <w:tc>
          <w:tcPr>
            <w:tcW w:type="dxa" w:w="45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Compte-rendu de réunion</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CR-W12 — Revue de sprint semaine 12</w:t>
            </w:r>
          </w:p>
        </w:tc>
      </w:tr>
      <w:tr>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PLN-</w:t>
            </w:r>
          </w:p>
        </w:tc>
        <w:tc>
          <w:tcPr>
            <w:tcW w:type="dxa" w:w="45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Version du planning / Gantt</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PLN-v3 — Réajustement post-sprint 6</w:t>
            </w:r>
          </w:p>
        </w:tc>
      </w:tr>
      <w:tr>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BRN-</w:t>
            </w:r>
          </w:p>
        </w:tc>
        <w:tc>
          <w:tcPr>
            <w:tcW w:type="dxa" w:w="45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Burndown chart de sprint</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BRN-S05 — Burndown sprint 5</w:t>
            </w:r>
          </w:p>
        </w:tc>
      </w:tr>
      <w:tr>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ADR-</w:t>
            </w:r>
          </w:p>
        </w:tc>
        <w:tc>
          <w:tcPr>
            <w:tcW w:type="dxa" w:w="45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Décision technique (Architecture Decision Record)</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ADR-001 — Choix de NestJS</w:t>
            </w:r>
          </w:p>
        </w:tc>
      </w:tr>
    </w:tbl>
    <w:p>
      <w:r>
        <w:br w:type="page"/>
      </w:r>
    </w:p>
    <w:p>
      <w:pPr>
        <w:pStyle w:val="Heading1"/>
      </w:pPr>
      <w:r>
        <w:t xml:space="preserve">2. Documents de référence du projet (DOC-)</w:t>
      </w:r>
    </w:p>
    <w:p>
      <w:pPr>
        <w:spacing w:after="160"/>
      </w:pPr>
      <w:r>
        <w:rPr>
          <w:rFonts w:ascii="Arial" w:cs="Arial" w:eastAsia="Arial" w:hAnsi="Arial"/>
          <w:b w:val="false"/>
          <w:bCs w:val="false"/>
          <w:i w:val="false"/>
          <w:iCs w:val="false"/>
          <w:color w:val="333333"/>
          <w:sz w:val="21"/>
          <w:szCs w:val="21"/>
        </w:rPr>
        <w:t xml:space="preserve">Liste des documents fondateurs du projet, produits en début de projet ou enrichis au fil des sprints. Le statut « Validé » signifie que le document a été relu et approuvé par l'équipe ; « Évolutif » qu'il est destiné à être enrichi au fur et à mesure.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000"/>
        <w:gridCol w:w="1100"/>
        <w:gridCol w:w="3426"/>
      </w:tblGrid>
      <w:tr>
        <w:trPr>
          <w:tblHeader/>
        </w:trPr>
        <w:tc>
          <w:tcPr>
            <w:tcW w:type="dxa" w:w="9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ID</w:t>
            </w:r>
          </w:p>
        </w:tc>
        <w:tc>
          <w:tcPr>
            <w:tcW w:type="dxa" w:w="26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Document</w:t>
            </w:r>
          </w:p>
        </w:tc>
        <w:tc>
          <w:tcPr>
            <w:tcW w:type="dxa" w:w="10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Version</w:t>
            </w:r>
          </w:p>
        </w:tc>
        <w:tc>
          <w:tcPr>
            <w:tcW w:type="dxa" w:w="11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Statut</w:t>
            </w:r>
          </w:p>
        </w:tc>
        <w:tc>
          <w:tcPr>
            <w:tcW w:type="dxa" w:w="3426"/>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Contenu</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DOC-001</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Cahier des Charges</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Périmètre, exigences, planning, risques.</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DOC-002</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Plan Assurance Qualité (PAQ)</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Règles, normes, méthodologie, outils, choix techno.</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DOC-003</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PBS — Product Breakdown Structure</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Décomposition du produit en modules livrables.</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DOC-004</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WBS — Work Breakdown Structure</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Décomposition du travail en tâches.</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DOC-005</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OBS — Organigramme des Tâches</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Attribution des tâches par membre.</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DOC-006</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Architecture technique</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Vue globale, couches, communication entre services.</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DOC-007</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Choix technologiques — Justification</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Critères, justifications par couche, alternatives.</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DOC-008</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Cartographie des compétences</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Rôles, compétences clés, stack par membre.</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DOC-009</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Méthodologie de travail</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Sprints, rituels, backlog, MoSCoW.</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DOC-010</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Stratégie de tests</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Niveaux, outils, seuils, organisation QA.</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DOC-011</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Critères de validation d'un ticket (DoD)</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Definition of Done complète, 7 catégories.</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DOC-012</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Outils — fiches d'utilisation</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Évolutif</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GitHub, GitHub Projects, Discord, Canva, Swagger.</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DOC-013</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Budget &amp; Ressources</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Charge en j-h, budget simulé, infrastructure.</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DOC-014</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CONTRIBUTING.md</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Guide de contribution pour nouveaux membres.</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DOC-015</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Planning Gantt</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Évolutif</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Vue temporelle du projet jusqu'à septembre 2027.</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DOC-016</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Matrice RACI</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Responsabilités R/A/C/I par activité et par membre (intégrée au PAQ § 2.4).</w:t>
            </w:r>
          </w:p>
        </w:tc>
      </w:tr>
      <w:tr>
        <w:tc>
          <w:tcPr>
            <w:tcW w:type="dxa" w:w="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DOC-017</w:t>
            </w:r>
          </w:p>
        </w:tc>
        <w:tc>
          <w:tcPr>
            <w:tcW w:type="dxa" w:w="26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Stratégie de lancement &amp; marketing</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v1.0</w:t>
            </w:r>
          </w:p>
        </w:tc>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Évolutif</w:t>
            </w:r>
          </w:p>
        </w:tc>
        <w:tc>
          <w:tcPr>
            <w:tcW w:type="dxa" w:w="34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3 phases + KPIs (intégrée au CDC § 15).</w:t>
            </w:r>
          </w:p>
        </w:tc>
      </w:tr>
    </w:tbl>
    <w:p>
      <w:pPr>
        <w:spacing w:after="160"/>
      </w:pPr>
    </w:p>
    <w:p>
      <w:pPr>
        <w:spacing w:after="160"/>
      </w:pPr>
      <w:r>
        <w:rPr>
          <w:rFonts w:ascii="Arial" w:cs="Arial" w:eastAsia="Arial" w:hAnsi="Arial"/>
          <w:b w:val="false"/>
          <w:bCs w:val="false"/>
          <w:i/>
          <w:iCs/>
          <w:color w:val="888780"/>
          <w:sz w:val="18"/>
          <w:szCs w:val="18"/>
        </w:rPr>
        <w:t xml:space="preserve">À ajouter au fil de l'eau : versions successives de chaque document si modifications majeures (ex. CDC v1.1 si un add-on est rédigé suite à une réduction de scope), supports de soutenance, README de chaque service.</w:t>
      </w:r>
    </w:p>
    <w:p>
      <w:r>
        <w:br w:type="page"/>
      </w:r>
    </w:p>
    <w:p>
      <w:pPr>
        <w:pStyle w:val="Heading1"/>
      </w:pPr>
      <w:r>
        <w:t xml:space="preserve">3. Revues de code (PR-)</w:t>
      </w:r>
    </w:p>
    <w:p>
      <w:pPr>
        <w:spacing w:after="160"/>
      </w:pPr>
      <w:r>
        <w:rPr>
          <w:rFonts w:ascii="Arial" w:cs="Arial" w:eastAsia="Arial" w:hAnsi="Arial"/>
          <w:b w:val="false"/>
          <w:bCs w:val="false"/>
          <w:i w:val="false"/>
          <w:iCs w:val="false"/>
          <w:color w:val="333333"/>
          <w:sz w:val="21"/>
          <w:szCs w:val="21"/>
        </w:rPr>
        <w:t xml:space="preserve">Toute Pull Request notable est référencée ici : implémentation d'une fonctionnalité majeure, refactoring d'envergure, correction de bug critique, modification d'un contrat d'API. Les PR de maintenance courante (typos, mises à jour de dépendances mineures) n'ont pas besoin d'être référencées une à une.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1200"/>
        <w:gridCol w:w="1500"/>
        <w:gridCol w:w="1000"/>
        <w:gridCol w:w="1326"/>
      </w:tblGrid>
      <w:tr>
        <w:trPr>
          <w:tblHeader/>
        </w:trPr>
        <w:tc>
          <w:tcPr>
            <w:tcW w:type="dxa" w:w="10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ID PR</w:t>
            </w:r>
          </w:p>
        </w:tc>
        <w:tc>
          <w:tcPr>
            <w:tcW w:type="dxa" w:w="30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Titre</w:t>
            </w:r>
          </w:p>
        </w:tc>
        <w:tc>
          <w:tcPr>
            <w:tcW w:type="dxa" w:w="12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Auteur</w:t>
            </w:r>
          </w:p>
        </w:tc>
        <w:tc>
          <w:tcPr>
            <w:tcW w:type="dxa" w:w="15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Reviewer(s)</w:t>
            </w:r>
          </w:p>
        </w:tc>
        <w:tc>
          <w:tcPr>
            <w:tcW w:type="dxa" w:w="10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Statut</w:t>
            </w:r>
          </w:p>
        </w:tc>
        <w:tc>
          <w:tcPr>
            <w:tcW w:type="dxa" w:w="1326"/>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Notes</w:t>
            </w:r>
          </w:p>
        </w:tc>
      </w:tr>
      <w:tr>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w:t>
            </w:r>
          </w:p>
        </w:tc>
        <w:tc>
          <w:tcPr>
            <w:tcW w:type="dxa" w:w="3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w:t>
            </w:r>
          </w:p>
        </w:tc>
        <w:tc>
          <w:tcPr>
            <w:tcW w:type="dxa" w:w="12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w:t>
            </w:r>
          </w:p>
        </w:tc>
        <w:tc>
          <w:tcPr>
            <w:tcW w:type="dxa" w:w="15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w:t>
            </w:r>
          </w:p>
        </w:tc>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w:t>
            </w:r>
          </w:p>
        </w:tc>
        <w:tc>
          <w:tcPr>
            <w:tcW w:type="dxa" w:w="13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À compléter dès la première PR mergée</w:t>
            </w:r>
          </w:p>
        </w:tc>
      </w:tr>
    </w:tbl>
    <w:p>
      <w:pPr>
        <w:spacing w:after="160"/>
      </w:pPr>
    </w:p>
    <w:p>
      <w:pPr>
        <w:pStyle w:val="Heading2"/>
      </w:pPr>
      <w:r>
        <w:t xml:space="preserve">3.1 Convention d'archivage</w:t>
      </w:r>
    </w:p>
    <w:p>
      <w:pPr>
        <w:spacing w:after="160"/>
      </w:pPr>
      <w:r>
        <w:rPr>
          <w:rFonts w:ascii="Arial" w:cs="Arial" w:eastAsia="Arial" w:hAnsi="Arial"/>
          <w:b w:val="false"/>
          <w:bCs w:val="false"/>
          <w:i w:val="false"/>
          <w:iCs w:val="false"/>
          <w:color w:val="333333"/>
          <w:sz w:val="21"/>
          <w:szCs w:val="21"/>
        </w:rPr>
        <w:t xml:space="preserve">Chaque PR référencée ici est consultable directement sur GitHub via son numéro (#NNN). Pour les PR particulièrement structurantes, un export PDF de la PR (description + commentaires + diff résumé) peut être ajouté dans `/livrables/pr/` à des fins de traçabilité.</w:t>
      </w:r>
    </w:p>
    <w:p>
      <w:r>
        <w:br w:type="page"/>
      </w:r>
    </w:p>
    <w:p>
      <w:pPr>
        <w:pStyle w:val="Heading1"/>
      </w:pPr>
      <w:r>
        <w:t xml:space="preserve">4. Rapports de tests (TST-)</w:t>
      </w:r>
    </w:p>
    <w:p>
      <w:pPr>
        <w:spacing w:after="160"/>
      </w:pPr>
      <w:r>
        <w:rPr>
          <w:rFonts w:ascii="Arial" w:cs="Arial" w:eastAsia="Arial" w:hAnsi="Arial"/>
          <w:b w:val="false"/>
          <w:bCs w:val="false"/>
          <w:i w:val="false"/>
          <w:iCs w:val="false"/>
          <w:color w:val="333333"/>
          <w:sz w:val="21"/>
          <w:szCs w:val="21"/>
        </w:rPr>
        <w:t xml:space="preserve">Rapports synthétiques produits à la fin de chaque sprint ou avant chaque release significative : couverture de tests unitaires, résultats E2E, résultats des tests de sécurité, performances mesurées.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500"/>
        <w:gridCol w:w="1300"/>
        <w:gridCol w:w="2226"/>
      </w:tblGrid>
      <w:tr>
        <w:trPr>
          <w:tblHeader/>
        </w:trPr>
        <w:tc>
          <w:tcPr>
            <w:tcW w:type="dxa" w:w="11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ID</w:t>
            </w:r>
          </w:p>
        </w:tc>
        <w:tc>
          <w:tcPr>
            <w:tcW w:type="dxa" w:w="19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Type</w:t>
            </w:r>
          </w:p>
        </w:tc>
        <w:tc>
          <w:tcPr>
            <w:tcW w:type="dxa" w:w="25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Couverture / Résultat</w:t>
            </w:r>
          </w:p>
        </w:tc>
        <w:tc>
          <w:tcPr>
            <w:tcW w:type="dxa" w:w="13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Date</w:t>
            </w:r>
          </w:p>
        </w:tc>
        <w:tc>
          <w:tcPr>
            <w:tcW w:type="dxa" w:w="2226"/>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Notes</w:t>
            </w:r>
          </w:p>
        </w:tc>
      </w:tr>
      <w:tr>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w:t>
            </w:r>
          </w:p>
        </w:tc>
        <w:tc>
          <w:tcPr>
            <w:tcW w:type="dxa" w:w="19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w:t>
            </w:r>
          </w:p>
        </w:tc>
        <w:tc>
          <w:tcPr>
            <w:tcW w:type="dxa" w:w="25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w:t>
            </w:r>
          </w:p>
        </w:tc>
        <w:tc>
          <w:tcPr>
            <w:tcW w:type="dxa" w:w="1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w:t>
            </w:r>
          </w:p>
        </w:tc>
        <w:tc>
          <w:tcPr>
            <w:tcW w:type="dxa" w:w="22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À compléter après chaque campagne ou release</w:t>
            </w:r>
          </w:p>
        </w:tc>
      </w:tr>
    </w:tbl>
    <w:p>
      <w:pPr>
        <w:spacing w:after="160"/>
      </w:pPr>
    </w:p>
    <w:p>
      <w:pPr>
        <w:pStyle w:val="Heading2"/>
      </w:pPr>
      <w:r>
        <w:t xml:space="preserve">4.1 Documentation auto-générée</w:t>
      </w:r>
    </w:p>
    <w:p>
      <w:pPr>
        <w:spacing w:after="160"/>
      </w:pPr>
      <w:r>
        <w:rPr>
          <w:rFonts w:ascii="Arial" w:cs="Arial" w:eastAsia="Arial" w:hAnsi="Arial"/>
          <w:b w:val="false"/>
          <w:bCs w:val="false"/>
          <w:i w:val="false"/>
          <w:iCs w:val="false"/>
          <w:color w:val="333333"/>
          <w:sz w:val="21"/>
          <w:szCs w:val="21"/>
        </w:rPr>
        <w:t xml:space="preserve">La documentation Swagger des APIs (NestJS + FastAPI) est générée automatiquement à chaque démarrage de service. Les URL de consultation sont les suivantes :</w:t>
      </w:r>
    </w:p>
    <w:p>
      <w:pPr>
        <w:pStyle w:val="ListParagraph"/>
        <w:numPr>
          <w:ilvl w:val="0"/>
          <w:numId w:val="2"/>
        </w:numPr>
        <w:spacing w:after="80"/>
      </w:pPr>
      <w:r>
        <w:rPr>
          <w:rFonts w:ascii="Arial" w:cs="Arial" w:eastAsia="Arial" w:hAnsi="Arial"/>
          <w:color w:val="333333"/>
          <w:sz w:val="20"/>
          <w:szCs w:val="20"/>
        </w:rPr>
        <w:t xml:space="preserve">Backend NestJS — local : http://localhost:3001/api  ·  staging : à compléter  ·  production : à compléter</w:t>
      </w:r>
    </w:p>
    <w:p>
      <w:pPr>
        <w:pStyle w:val="ListParagraph"/>
        <w:numPr>
          <w:ilvl w:val="0"/>
          <w:numId w:val="2"/>
        </w:numPr>
        <w:spacing w:after="80"/>
      </w:pPr>
      <w:r>
        <w:rPr>
          <w:rFonts w:ascii="Arial" w:cs="Arial" w:eastAsia="Arial" w:hAnsi="Arial"/>
          <w:color w:val="333333"/>
          <w:sz w:val="20"/>
          <w:szCs w:val="20"/>
        </w:rPr>
        <w:t xml:space="preserve">Microservices IA (FastAPI) — local : http://localhost:5001-5005/docs  ·  staging : à compléter</w:t>
      </w:r>
    </w:p>
    <w:p>
      <w:pPr>
        <w:spacing w:after="120"/>
      </w:pPr>
    </w:p>
    <w:p>
      <w:pPr>
        <w:spacing w:after="160"/>
      </w:pPr>
      <w:r>
        <w:rPr>
          <w:rFonts w:ascii="Arial" w:cs="Arial" w:eastAsia="Arial" w:hAnsi="Arial"/>
          <w:b w:val="false"/>
          <w:bCs w:val="false"/>
          <w:i/>
          <w:iCs/>
          <w:color w:val="888780"/>
          <w:sz w:val="18"/>
          <w:szCs w:val="18"/>
        </w:rPr>
        <w:t xml:space="preserve">Les exports statiques de la documentation Swagger (JSON OpenAPI) sont versionnés dans `/livrables/api-docs/` à chaque release majeure.</w:t>
      </w:r>
    </w:p>
    <w:p>
      <w:r>
        <w:br w:type="page"/>
      </w:r>
    </w:p>
    <w:p>
      <w:pPr>
        <w:pStyle w:val="Heading1"/>
      </w:pPr>
      <w:r>
        <w:t xml:space="preserve">5. Comptes-rendus de réunions (CR-)</w:t>
      </w:r>
    </w:p>
    <w:p>
      <w:pPr>
        <w:spacing w:after="160"/>
      </w:pPr>
      <w:r>
        <w:rPr>
          <w:rFonts w:ascii="Arial" w:cs="Arial" w:eastAsia="Arial" w:hAnsi="Arial"/>
          <w:b w:val="false"/>
          <w:bCs w:val="false"/>
          <w:i w:val="false"/>
          <w:iCs w:val="false"/>
          <w:color w:val="333333"/>
          <w:sz w:val="21"/>
          <w:szCs w:val="21"/>
        </w:rPr>
        <w:t xml:space="preserve">Compte-rendu de chaque réunion vocale hebdomadaire, sous forme courte et structurée. La convention est : objectifs du sprint en cours, points bloquants, décisions prises, actions et responsables, points pour la prochaine réunion.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500"/>
        <w:gridCol w:w="1500"/>
        <w:gridCol w:w="2626"/>
      </w:tblGrid>
      <w:tr>
        <w:trPr>
          <w:tblHeader/>
        </w:trPr>
        <w:tc>
          <w:tcPr>
            <w:tcW w:type="dxa" w:w="11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ID CR</w:t>
            </w:r>
          </w:p>
        </w:tc>
        <w:tc>
          <w:tcPr>
            <w:tcW w:type="dxa" w:w="13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Date</w:t>
            </w:r>
          </w:p>
        </w:tc>
        <w:tc>
          <w:tcPr>
            <w:tcW w:type="dxa" w:w="25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Type de réunion</w:t>
            </w:r>
          </w:p>
        </w:tc>
        <w:tc>
          <w:tcPr>
            <w:tcW w:type="dxa" w:w="15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Animateur</w:t>
            </w:r>
          </w:p>
        </w:tc>
        <w:tc>
          <w:tcPr>
            <w:tcW w:type="dxa" w:w="2626"/>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Notes</w:t>
            </w:r>
          </w:p>
        </w:tc>
      </w:tr>
      <w:tr>
        <w:tc>
          <w:tcPr>
            <w:tcW w:type="dxa" w:w="11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w:t>
            </w:r>
          </w:p>
        </w:tc>
        <w:tc>
          <w:tcPr>
            <w:tcW w:type="dxa" w:w="1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w:t>
            </w:r>
          </w:p>
        </w:tc>
        <w:tc>
          <w:tcPr>
            <w:tcW w:type="dxa" w:w="25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w:t>
            </w:r>
          </w:p>
        </w:tc>
        <w:tc>
          <w:tcPr>
            <w:tcW w:type="dxa" w:w="15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w:t>
            </w:r>
          </w:p>
        </w:tc>
        <w:tc>
          <w:tcPr>
            <w:tcW w:type="dxa" w:w="26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À compléter après chaque réunion vocale hebdomadaire</w:t>
            </w:r>
          </w:p>
        </w:tc>
      </w:tr>
    </w:tbl>
    <w:p>
      <w:pPr>
        <w:spacing w:after="160"/>
      </w:pPr>
    </w:p>
    <w:p>
      <w:pPr>
        <w:pStyle w:val="Heading2"/>
      </w:pPr>
      <w:r>
        <w:t xml:space="preserve">5.1 Template de compte-rendu</w:t>
      </w:r>
    </w:p>
    <w:p>
      <w:pPr>
        <w:spacing w:after="160"/>
      </w:pPr>
      <w:r>
        <w:rPr>
          <w:rFonts w:ascii="Arial" w:cs="Arial" w:eastAsia="Arial" w:hAnsi="Arial"/>
          <w:b w:val="false"/>
          <w:bCs w:val="false"/>
          <w:i w:val="false"/>
          <w:iCs w:val="false"/>
          <w:color w:val="333333"/>
          <w:sz w:val="21"/>
          <w:szCs w:val="21"/>
        </w:rPr>
        <w:t xml:space="preserve">Pour garantir l'homogénéité des CR, l'équipe utilise le modèle suivant à chaque réunion :</w:t>
      </w:r>
    </w:p>
    <w:p>
      <w:pPr>
        <w:pStyle w:val="ListParagraph"/>
        <w:numPr>
          <w:ilvl w:val="0"/>
          <w:numId w:val="2"/>
        </w:numPr>
        <w:spacing w:after="80"/>
      </w:pPr>
      <w:r>
        <w:rPr>
          <w:rFonts w:ascii="Arial" w:cs="Arial" w:eastAsia="Arial" w:hAnsi="Arial"/>
          <w:color w:val="333333"/>
          <w:sz w:val="20"/>
          <w:szCs w:val="20"/>
        </w:rPr>
        <w:t xml:space="preserve">Date et participants présents / absents</w:t>
      </w:r>
    </w:p>
    <w:p>
      <w:pPr>
        <w:pStyle w:val="ListParagraph"/>
        <w:numPr>
          <w:ilvl w:val="0"/>
          <w:numId w:val="2"/>
        </w:numPr>
        <w:spacing w:after="80"/>
      </w:pPr>
      <w:r>
        <w:rPr>
          <w:rFonts w:ascii="Arial" w:cs="Arial" w:eastAsia="Arial" w:hAnsi="Arial"/>
          <w:color w:val="333333"/>
          <w:sz w:val="20"/>
          <w:szCs w:val="20"/>
        </w:rPr>
        <w:t xml:space="preserve">Sprint en cours : objectifs et avancement perçu</w:t>
      </w:r>
    </w:p>
    <w:p>
      <w:pPr>
        <w:pStyle w:val="ListParagraph"/>
        <w:numPr>
          <w:ilvl w:val="0"/>
          <w:numId w:val="2"/>
        </w:numPr>
        <w:spacing w:after="80"/>
      </w:pPr>
      <w:r>
        <w:rPr>
          <w:rFonts w:ascii="Arial" w:cs="Arial" w:eastAsia="Arial" w:hAnsi="Arial"/>
          <w:color w:val="333333"/>
          <w:sz w:val="20"/>
          <w:szCs w:val="20"/>
        </w:rPr>
        <w:t xml:space="preserve">Points bloquants signalés (avec porteur de chaque point)</w:t>
      </w:r>
    </w:p>
    <w:p>
      <w:pPr>
        <w:pStyle w:val="ListParagraph"/>
        <w:numPr>
          <w:ilvl w:val="0"/>
          <w:numId w:val="2"/>
        </w:numPr>
        <w:spacing w:after="80"/>
      </w:pPr>
      <w:r>
        <w:rPr>
          <w:rFonts w:ascii="Arial" w:cs="Arial" w:eastAsia="Arial" w:hAnsi="Arial"/>
          <w:color w:val="333333"/>
          <w:sz w:val="20"/>
          <w:szCs w:val="20"/>
        </w:rPr>
        <w:t xml:space="preserve">Décisions prises (chacune notée explicitement)</w:t>
      </w:r>
    </w:p>
    <w:p>
      <w:pPr>
        <w:pStyle w:val="ListParagraph"/>
        <w:numPr>
          <w:ilvl w:val="0"/>
          <w:numId w:val="2"/>
        </w:numPr>
        <w:spacing w:after="80"/>
      </w:pPr>
      <w:r>
        <w:rPr>
          <w:rFonts w:ascii="Arial" w:cs="Arial" w:eastAsia="Arial" w:hAnsi="Arial"/>
          <w:color w:val="333333"/>
          <w:sz w:val="20"/>
          <w:szCs w:val="20"/>
        </w:rPr>
        <w:t xml:space="preserve">Actions à mener pour la semaine suivante (avec responsable et délai)</w:t>
      </w:r>
    </w:p>
    <w:p>
      <w:pPr>
        <w:pStyle w:val="ListParagraph"/>
        <w:numPr>
          <w:ilvl w:val="0"/>
          <w:numId w:val="2"/>
        </w:numPr>
        <w:spacing w:after="80"/>
      </w:pPr>
      <w:r>
        <w:rPr>
          <w:rFonts w:ascii="Arial" w:cs="Arial" w:eastAsia="Arial" w:hAnsi="Arial"/>
          <w:color w:val="333333"/>
          <w:sz w:val="20"/>
          <w:szCs w:val="20"/>
        </w:rPr>
        <w:t xml:space="preserve">Points à reprendre à la prochaine réunion</w:t>
      </w:r>
    </w:p>
    <w:p>
      <w:r>
        <w:br w:type="page"/>
      </w:r>
    </w:p>
    <w:p>
      <w:pPr>
        <w:pStyle w:val="Heading1"/>
      </w:pPr>
      <w:r>
        <w:t xml:space="preserve">6. Plannings successifs (PLN-)</w:t>
      </w:r>
    </w:p>
    <w:p>
      <w:pPr>
        <w:spacing w:after="160"/>
      </w:pPr>
      <w:r>
        <w:rPr>
          <w:rFonts w:ascii="Arial" w:cs="Arial" w:eastAsia="Arial" w:hAnsi="Arial"/>
          <w:b w:val="false"/>
          <w:bCs w:val="false"/>
          <w:i w:val="false"/>
          <w:iCs w:val="false"/>
          <w:color w:val="333333"/>
          <w:sz w:val="21"/>
          <w:szCs w:val="21"/>
        </w:rPr>
        <w:t xml:space="preserve">Le planning Gantt du projet est destiné à bouger : une nouvelle version est créée à chaque ajustement significatif (décalage d'un jalon, ré-arbitrage MoSCoW, scope réduit). Les anciennes versions sont conservées pour permettre une analyse a posteriori des écarts.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1500"/>
        <w:gridCol w:w="2226"/>
      </w:tblGrid>
      <w:tr>
        <w:trPr>
          <w:tblHeader/>
        </w:trPr>
        <w:tc>
          <w:tcPr>
            <w:tcW w:type="dxa" w:w="13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Version</w:t>
            </w:r>
          </w:p>
        </w:tc>
        <w:tc>
          <w:tcPr>
            <w:tcW w:type="dxa" w:w="40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Motif de l'ajustement</w:t>
            </w:r>
          </w:p>
        </w:tc>
        <w:tc>
          <w:tcPr>
            <w:tcW w:type="dxa" w:w="15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Date</w:t>
            </w:r>
          </w:p>
        </w:tc>
        <w:tc>
          <w:tcPr>
            <w:tcW w:type="dxa" w:w="2226"/>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Notes</w:t>
            </w:r>
          </w:p>
        </w:tc>
      </w:tr>
      <w:tr>
        <w:tc>
          <w:tcPr>
            <w:tcW w:type="dxa" w:w="1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PLN-v1</w:t>
            </w:r>
          </w:p>
        </w:tc>
        <w:tc>
          <w:tcPr>
            <w:tcW w:type="dxa" w:w="4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Validation initiale du Gantt</w:t>
            </w:r>
          </w:p>
        </w:tc>
        <w:tc>
          <w:tcPr>
            <w:tcW w:type="dxa" w:w="15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Début projet</w:t>
            </w:r>
          </w:p>
        </w:tc>
        <w:tc>
          <w:tcPr>
            <w:tcW w:type="dxa" w:w="22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Référence initiale</w:t>
            </w:r>
          </w:p>
        </w:tc>
      </w:tr>
    </w:tbl>
    <w:p>
      <w:pPr>
        <w:spacing w:after="160"/>
      </w:pPr>
    </w:p>
    <w:p>
      <w:pPr>
        <w:spacing w:after="160"/>
      </w:pPr>
      <w:r>
        <w:rPr>
          <w:rFonts w:ascii="Arial" w:cs="Arial" w:eastAsia="Arial" w:hAnsi="Arial"/>
          <w:b w:val="false"/>
          <w:bCs w:val="false"/>
          <w:i/>
          <w:iCs/>
          <w:color w:val="888780"/>
          <w:sz w:val="18"/>
          <w:szCs w:val="18"/>
        </w:rPr>
        <w:t xml:space="preserve">À chaque mise à jour : créer une nouvelle ligne avec un identifiant incrémenté (PLN-v2, PLN-v3…) et conserver l'ancienne version dans `/livrables/planning/`. Indiquer le motif (ex. « R09 confirmé, retrait des badges du MVP ») pour garder la trace de l'arbitrage.</w:t>
      </w:r>
    </w:p>
    <w:p>
      <w:pPr>
        <w:pStyle w:val="Heading1"/>
      </w:pPr>
      <w:r>
        <w:t xml:space="preserve">7. Burndown charts (BRN-)</w:t>
      </w:r>
    </w:p>
    <w:p>
      <w:pPr>
        <w:spacing w:after="160"/>
      </w:pPr>
      <w:r>
        <w:rPr>
          <w:rFonts w:ascii="Arial" w:cs="Arial" w:eastAsia="Arial" w:hAnsi="Arial"/>
          <w:b w:val="false"/>
          <w:bCs w:val="false"/>
          <w:i w:val="false"/>
          <w:iCs w:val="false"/>
          <w:color w:val="333333"/>
          <w:sz w:val="21"/>
          <w:szCs w:val="21"/>
        </w:rPr>
        <w:t xml:space="preserve">Un burndown chart est produit à la fin de chaque sprint pour visualiser l'avancement réel par rapport à la charge planifiée. L'objectif n'est pas de juger les individus mais de détecter les écarts à temps pour ajuster les sprints suivants.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500"/>
        <w:gridCol w:w="3026"/>
      </w:tblGrid>
      <w:tr>
        <w:trPr>
          <w:tblHeader/>
        </w:trPr>
        <w:tc>
          <w:tcPr>
            <w:tcW w:type="dxa" w:w="10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ID</w:t>
            </w:r>
          </w:p>
        </w:tc>
        <w:tc>
          <w:tcPr>
            <w:tcW w:type="dxa" w:w="15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Sprint</w:t>
            </w:r>
          </w:p>
        </w:tc>
        <w:tc>
          <w:tcPr>
            <w:tcW w:type="dxa" w:w="35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Charge planifiée vs réalisée</w:t>
            </w:r>
          </w:p>
        </w:tc>
        <w:tc>
          <w:tcPr>
            <w:tcW w:type="dxa" w:w="3026"/>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Notes</w:t>
            </w:r>
          </w:p>
        </w:tc>
      </w:tr>
      <w:tr>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w:t>
            </w:r>
          </w:p>
        </w:tc>
        <w:tc>
          <w:tcPr>
            <w:tcW w:type="dxa" w:w="15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w:t>
            </w:r>
          </w:p>
        </w:tc>
        <w:tc>
          <w:tcPr>
            <w:tcW w:type="dxa" w:w="35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w:t>
            </w:r>
          </w:p>
        </w:tc>
        <w:tc>
          <w:tcPr>
            <w:tcW w:type="dxa" w:w="30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À compléter en fin de chaque sprint</w:t>
            </w:r>
          </w:p>
        </w:tc>
      </w:tr>
    </w:tbl>
    <w:p>
      <w:r>
        <w:br w:type="page"/>
      </w:r>
    </w:p>
    <w:p>
      <w:pPr>
        <w:pStyle w:val="Heading1"/>
      </w:pPr>
      <w:r>
        <w:t xml:space="preserve">8. Décisions techniques (ADR-)</w:t>
      </w:r>
    </w:p>
    <w:p>
      <w:pPr>
        <w:spacing w:after="160"/>
      </w:pPr>
      <w:r>
        <w:rPr>
          <w:rFonts w:ascii="Arial" w:cs="Arial" w:eastAsia="Arial" w:hAnsi="Arial"/>
          <w:b w:val="false"/>
          <w:bCs w:val="false"/>
          <w:i w:val="false"/>
          <w:iCs w:val="false"/>
          <w:color w:val="333333"/>
          <w:sz w:val="21"/>
          <w:szCs w:val="21"/>
        </w:rPr>
        <w:t xml:space="preserve">Les ADR (Architecture Decision Records) consignent les décisions techniques structurantes prises pendant le projet. Chaque ADR répond à trois questions : quel était le contexte, quelle décision a été prise, quelles en sont les conséquences. Cette pratique permet de garder la trace des arbitrages et facilite l'onboarding de nouveaux membres.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300"/>
        <w:gridCol w:w="1200"/>
        <w:gridCol w:w="3526"/>
      </w:tblGrid>
      <w:tr>
        <w:trPr>
          <w:tblHeader/>
        </w:trPr>
        <w:tc>
          <w:tcPr>
            <w:tcW w:type="dxa" w:w="10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ID</w:t>
            </w:r>
          </w:p>
        </w:tc>
        <w:tc>
          <w:tcPr>
            <w:tcW w:type="dxa" w:w="33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Décision</w:t>
            </w:r>
          </w:p>
        </w:tc>
        <w:tc>
          <w:tcPr>
            <w:tcW w:type="dxa" w:w="12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Statut</w:t>
            </w:r>
          </w:p>
        </w:tc>
        <w:tc>
          <w:tcPr>
            <w:tcW w:type="dxa" w:w="3526"/>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Justification résumée</w:t>
            </w:r>
          </w:p>
        </w:tc>
      </w:tr>
      <w:tr>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ADR-001</w:t>
            </w:r>
          </w:p>
        </w:tc>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Backend en NestJS plutôt qu'Express</w:t>
            </w:r>
          </w:p>
        </w:tc>
        <w:tc>
          <w:tcPr>
            <w:tcW w:type="dxa" w:w="12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5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Structure imposée, Guards/Auth natifs, équipe alignée TS</w:t>
            </w:r>
          </w:p>
        </w:tc>
      </w:tr>
      <w:tr>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ADR-002</w:t>
            </w:r>
          </w:p>
        </w:tc>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PostgreSQL plutôt que MongoDB</w:t>
            </w:r>
          </w:p>
        </w:tc>
        <w:tc>
          <w:tcPr>
            <w:tcW w:type="dxa" w:w="12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5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Modèle relationnel, ACID, requêtes géo natives</w:t>
            </w:r>
          </w:p>
        </w:tc>
      </w:tr>
      <w:tr>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ADR-003</w:t>
            </w:r>
          </w:p>
        </w:tc>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Services IA en microservices Python/FastAPI</w:t>
            </w:r>
          </w:p>
        </w:tc>
        <w:tc>
          <w:tcPr>
            <w:tcW w:type="dxa" w:w="12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5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Écosystème data/IA, découplage des perfs</w:t>
            </w:r>
          </w:p>
        </w:tc>
      </w:tr>
      <w:tr>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ADR-004</w:t>
            </w:r>
          </w:p>
        </w:tc>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Admin Dashboard intégré au Backend NestJS</w:t>
            </w:r>
          </w:p>
        </w:tc>
        <w:tc>
          <w:tcPr>
            <w:tcW w:type="dxa" w:w="12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5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Cohérence métier, proximité avec les APIs core</w:t>
            </w:r>
          </w:p>
        </w:tc>
      </w:tr>
      <w:tr>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ADR-005</w:t>
            </w:r>
          </w:p>
        </w:tc>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Sprints hebdomadaires (et non bi-hebdomadaires)</w:t>
            </w:r>
          </w:p>
        </w:tc>
        <w:tc>
          <w:tcPr>
            <w:tcW w:type="dxa" w:w="12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5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Cadence courte pour équipe étudiante en parallèle</w:t>
            </w:r>
          </w:p>
        </w:tc>
      </w:tr>
      <w:tr>
        <w:tc>
          <w:tcPr>
            <w:tcW w:type="dxa" w:w="10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ADR-006</w:t>
            </w:r>
          </w:p>
        </w:tc>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MoSCoW + gel du backlog à mi-projet</w:t>
            </w:r>
          </w:p>
        </w:tc>
        <w:tc>
          <w:tcPr>
            <w:tcW w:type="dxa" w:w="12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Validé</w:t>
            </w:r>
          </w:p>
        </w:tc>
        <w:tc>
          <w:tcPr>
            <w:tcW w:type="dxa" w:w="35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Limiter le scope creep (R09)</w:t>
            </w:r>
          </w:p>
        </w:tc>
      </w:tr>
    </w:tbl>
    <w:p>
      <w:pPr>
        <w:spacing w:after="160"/>
      </w:pPr>
    </w:p>
    <w:p>
      <w:pPr>
        <w:pStyle w:val="Heading2"/>
      </w:pPr>
      <w:r>
        <w:t xml:space="preserve">8.1 Template d'ADR</w:t>
      </w:r>
    </w:p>
    <w:p>
      <w:pPr>
        <w:spacing w:after="160"/>
      </w:pPr>
      <w:r>
        <w:rPr>
          <w:rFonts w:ascii="Arial" w:cs="Arial" w:eastAsia="Arial" w:hAnsi="Arial"/>
          <w:b w:val="false"/>
          <w:bCs w:val="false"/>
          <w:i w:val="false"/>
          <w:iCs w:val="false"/>
          <w:color w:val="333333"/>
          <w:sz w:val="21"/>
          <w:szCs w:val="21"/>
        </w:rPr>
        <w:t xml:space="preserve">Format des nouvelles décisions techniques (à archiver dans `/livrables/adr/ADR-NNN.md`) :</w:t>
      </w:r>
    </w:p>
    <w:p>
      <w:pPr>
        <w:pStyle w:val="ListParagraph"/>
        <w:numPr>
          <w:ilvl w:val="0"/>
          <w:numId w:val="2"/>
        </w:numPr>
        <w:spacing w:after="80"/>
      </w:pPr>
      <w:r>
        <w:rPr>
          <w:rFonts w:ascii="Arial" w:cs="Arial" w:eastAsia="Arial" w:hAnsi="Arial"/>
          <w:color w:val="333333"/>
          <w:sz w:val="20"/>
          <w:szCs w:val="20"/>
        </w:rPr>
        <w:t xml:space="preserve">Contexte : quel problème ou choix a-t-on dû arbitrer ?</w:t>
      </w:r>
    </w:p>
    <w:p>
      <w:pPr>
        <w:pStyle w:val="ListParagraph"/>
        <w:numPr>
          <w:ilvl w:val="0"/>
          <w:numId w:val="2"/>
        </w:numPr>
        <w:spacing w:after="80"/>
      </w:pPr>
      <w:r>
        <w:rPr>
          <w:rFonts w:ascii="Arial" w:cs="Arial" w:eastAsia="Arial" w:hAnsi="Arial"/>
          <w:color w:val="333333"/>
          <w:sz w:val="20"/>
          <w:szCs w:val="20"/>
        </w:rPr>
        <w:t xml:space="preserve">Options envisagées : 2 ou 3 alternatives sérieusement étudiées.</w:t>
      </w:r>
    </w:p>
    <w:p>
      <w:pPr>
        <w:pStyle w:val="ListParagraph"/>
        <w:numPr>
          <w:ilvl w:val="0"/>
          <w:numId w:val="2"/>
        </w:numPr>
        <w:spacing w:after="80"/>
      </w:pPr>
      <w:r>
        <w:rPr>
          <w:rFonts w:ascii="Arial" w:cs="Arial" w:eastAsia="Arial" w:hAnsi="Arial"/>
          <w:color w:val="333333"/>
          <w:sz w:val="20"/>
          <w:szCs w:val="20"/>
        </w:rPr>
        <w:t xml:space="preserve">Décision retenue : laquelle, et pourquoi (critères PAQ).</w:t>
      </w:r>
    </w:p>
    <w:p>
      <w:pPr>
        <w:pStyle w:val="ListParagraph"/>
        <w:numPr>
          <w:ilvl w:val="0"/>
          <w:numId w:val="2"/>
        </w:numPr>
        <w:spacing w:after="80"/>
      </w:pPr>
      <w:r>
        <w:rPr>
          <w:rFonts w:ascii="Arial" w:cs="Arial" w:eastAsia="Arial" w:hAnsi="Arial"/>
          <w:color w:val="333333"/>
          <w:sz w:val="20"/>
          <w:szCs w:val="20"/>
        </w:rPr>
        <w:t xml:space="preserve">Conséquences : impacts positifs, négatifs, risques, à reprendre plus tard si nécessaire.</w:t>
      </w:r>
    </w:p>
    <w:p>
      <w:pPr>
        <w:pStyle w:val="ListParagraph"/>
        <w:numPr>
          <w:ilvl w:val="0"/>
          <w:numId w:val="2"/>
        </w:numPr>
        <w:spacing w:after="80"/>
      </w:pPr>
      <w:r>
        <w:rPr>
          <w:rFonts w:ascii="Arial" w:cs="Arial" w:eastAsia="Arial" w:hAnsi="Arial"/>
          <w:color w:val="333333"/>
          <w:sz w:val="20"/>
          <w:szCs w:val="20"/>
        </w:rPr>
        <w:t xml:space="preserve">Statut : Proposée / Acceptée / Remplacée par ADR-NNN / Abandonnée.</w:t>
      </w:r>
    </w:p>
    <w:p>
      <w:r>
        <w:br w:type="page"/>
      </w:r>
    </w:p>
    <w:p>
      <w:pPr>
        <w:pStyle w:val="Heading1"/>
      </w:pPr>
      <w:r>
        <w:t xml:space="preserve">9. Convention d'archivage et arborescence</w:t>
      </w:r>
    </w:p>
    <w:p>
      <w:pPr>
        <w:spacing w:after="160"/>
      </w:pPr>
      <w:r>
        <w:rPr>
          <w:rFonts w:ascii="Arial" w:cs="Arial" w:eastAsia="Arial" w:hAnsi="Arial"/>
          <w:b w:val="false"/>
          <w:bCs w:val="false"/>
          <w:i w:val="false"/>
          <w:iCs w:val="false"/>
          <w:color w:val="333333"/>
          <w:sz w:val="21"/>
          <w:szCs w:val="21"/>
        </w:rPr>
        <w:t xml:space="preserve">Tous les fichiers référencés dans ce registre sont archivés dans un répertoire `/livrables` du dépôt Git, avec l'arborescence suivante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Répertoire</w:t>
            </w:r>
          </w:p>
        </w:tc>
        <w:tc>
          <w:tcPr>
            <w:tcW w:type="dxa" w:w="5726"/>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Contenu</w:t>
            </w:r>
          </w:p>
        </w:tc>
      </w:tr>
      <w:tr>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/livrables/documents/</w:t>
            </w:r>
          </w:p>
        </w:tc>
        <w:tc>
          <w:tcPr>
            <w:tcW w:type="dxa" w:w="57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Documents de référence (DOC-xxx) — versions PDF et sources</w:t>
            </w:r>
          </w:p>
        </w:tc>
      </w:tr>
      <w:tr>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/livrables/pr/</w:t>
            </w:r>
          </w:p>
        </w:tc>
        <w:tc>
          <w:tcPr>
            <w:tcW w:type="dxa" w:w="57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Exports PDF des Pull Requests structurantes (optionnel, les PR restent sur GitHub)</w:t>
            </w:r>
          </w:p>
        </w:tc>
      </w:tr>
      <w:tr>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/livrables/tests/</w:t>
            </w:r>
          </w:p>
        </w:tc>
        <w:tc>
          <w:tcPr>
            <w:tcW w:type="dxa" w:w="57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Rapports de tests (TST-xxx) : coverage, E2E, sécurité, performance</w:t>
            </w:r>
          </w:p>
        </w:tc>
      </w:tr>
      <w:tr>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/livrables/api-docs/</w:t>
            </w:r>
          </w:p>
        </w:tc>
        <w:tc>
          <w:tcPr>
            <w:tcW w:type="dxa" w:w="57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Exports Swagger / OpenAPI à chaque release majeure</w:t>
            </w:r>
          </w:p>
        </w:tc>
      </w:tr>
      <w:tr>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/livrables/cr/</w:t>
            </w:r>
          </w:p>
        </w:tc>
        <w:tc>
          <w:tcPr>
            <w:tcW w:type="dxa" w:w="57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Comptes-rendus de réunions (CR-xxx)</w:t>
            </w:r>
          </w:p>
        </w:tc>
      </w:tr>
      <w:tr>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/livrables/planning/</w:t>
            </w:r>
          </w:p>
        </w:tc>
        <w:tc>
          <w:tcPr>
            <w:tcW w:type="dxa" w:w="57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Versions successives du Gantt (PLN-vN)</w:t>
            </w:r>
          </w:p>
        </w:tc>
      </w:tr>
      <w:tr>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/livrables/burndown/</w:t>
            </w:r>
          </w:p>
        </w:tc>
        <w:tc>
          <w:tcPr>
            <w:tcW w:type="dxa" w:w="57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Burndown charts de chaque sprint (BRN-Sxx)</w:t>
            </w:r>
          </w:p>
        </w:tc>
      </w:tr>
      <w:tr>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/livrables/adr/</w:t>
            </w:r>
          </w:p>
        </w:tc>
        <w:tc>
          <w:tcPr>
            <w:tcW w:type="dxa" w:w="57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Décisions techniques (ADR-NNN.md)</w:t>
            </w:r>
          </w:p>
        </w:tc>
      </w:tr>
    </w:tbl>
    <w:p>
      <w:pPr>
        <w:spacing w:after="160"/>
      </w:pPr>
    </w:p>
    <w:p>
      <w:pPr>
        <w:pStyle w:val="Heading1"/>
      </w:pPr>
      <w:r>
        <w:t xml:space="preserve">10. Lien avec la Definition of Done</w:t>
      </w:r>
    </w:p>
    <w:p>
      <w:pPr>
        <w:spacing w:after="160"/>
      </w:pPr>
      <w:r>
        <w:rPr>
          <w:rFonts w:ascii="Arial" w:cs="Arial" w:eastAsia="Arial" w:hAnsi="Arial"/>
          <w:b w:val="false"/>
          <w:bCs w:val="false"/>
          <w:i w:val="false"/>
          <w:iCs w:val="false"/>
          <w:color w:val="333333"/>
          <w:sz w:val="21"/>
          <w:szCs w:val="21"/>
        </w:rPr>
        <w:t xml:space="preserve">Le PAQ définit la Definition of Done (les critères pour qu'une tâche soit « done ») ; ce Registre est l'endroit où l'équipe archive les preuves que ces critères ont été respectés. À titre d'exemple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Critère DoD (PAQ)</w:t>
            </w:r>
          </w:p>
        </w:tc>
        <w:tc>
          <w:tcPr>
            <w:tcW w:type="dxa" w:w="5726"/>
            <w:tcBorders>
              <w:top w:val="single" w:color="D9D7D0" w:sz="4"/>
              <w:left w:val="single" w:color="D9D7D0" w:sz="4"/>
              <w:bottom w:val="single" w:color="D9D7D0" w:sz="4"/>
              <w:right w:val="single" w:color="D9D7D0" w:sz="4"/>
            </w:tcBorders>
            <w:shd w:fill="1F3A5F" w:val="clear"/>
            <w:tcMar>
              <w:top w:type="dxa" w:w="90"/>
              <w:left w:type="dxa" w:w="110"/>
              <w:bottom w:type="dxa" w:w="90"/>
              <w:right w:type="dxa" w:w="110"/>
            </w:tcMar>
            <w:vAlign w:val="center"/>
          </w:tcPr>
          <w:p>
            <w:r>
              <w:rPr>
                <w:rFonts w:ascii="Arial" w:cs="Arial" w:eastAsia="Arial" w:hAnsi="Arial"/>
                <w:b/>
                <w:bCs/>
                <w:color w:val="FFFFFF"/>
                <w:sz w:val="17"/>
                <w:szCs w:val="17"/>
              </w:rPr>
              <w:t xml:space="preserve">Preuve dans le Registre</w:t>
            </w:r>
          </w:p>
        </w:tc>
      </w:tr>
      <w:tr>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Tests unitaires écrits, couverture ≥ 70 %</w:t>
            </w:r>
          </w:p>
        </w:tc>
        <w:tc>
          <w:tcPr>
            <w:tcW w:type="dxa" w:w="57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Rapport TST-Sxx avec capture du coverage report</w:t>
            </w:r>
          </w:p>
        </w:tc>
      </w:tr>
      <w:tr>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Tests E2E principaux passants</w:t>
            </w:r>
          </w:p>
        </w:tc>
        <w:tc>
          <w:tcPr>
            <w:tcW w:type="dxa" w:w="57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Rapport TST-Exx avec résultats Playwright</w:t>
            </w:r>
          </w:p>
        </w:tc>
      </w:tr>
      <w:tr>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Documentation Swagger à jour</w:t>
            </w:r>
          </w:p>
        </w:tc>
        <w:tc>
          <w:tcPr>
            <w:tcW w:type="dxa" w:w="57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Export Swagger / OpenAPI dans /livrables/api-docs/</w:t>
            </w:r>
          </w:p>
        </w:tc>
      </w:tr>
      <w:tr>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Code relu par au moins un autre membre</w:t>
            </w:r>
          </w:p>
        </w:tc>
        <w:tc>
          <w:tcPr>
            <w:tcW w:type="dxa" w:w="57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Référence à la PR mergée (PR-xxx)</w:t>
            </w:r>
          </w:p>
        </w:tc>
      </w:tr>
      <w:tr>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Pipeline CI/CD au vert</w:t>
            </w:r>
          </w:p>
        </w:tc>
        <w:tc>
          <w:tcPr>
            <w:tcW w:type="dxa" w:w="57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Capture du run GitHub Actions ou lien direct</w:t>
            </w:r>
          </w:p>
        </w:tc>
      </w:tr>
      <w:tr>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Application fonctionnelle en staging</w:t>
            </w:r>
          </w:p>
        </w:tc>
        <w:tc>
          <w:tcPr>
            <w:tcW w:type="dxa" w:w="57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Capture du déploiement de staging et de la fonctionnalité testée</w:t>
            </w:r>
          </w:p>
        </w:tc>
      </w:tr>
      <w:tr>
        <w:tc>
          <w:tcPr>
            <w:tcW w:type="dxa" w:w="3300"/>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bCs/>
                <w:i w:val="false"/>
                <w:iCs w:val="false"/>
                <w:color w:val="333333"/>
                <w:sz w:val="17"/>
                <w:szCs w:val="17"/>
              </w:rPr>
              <w:t xml:space="preserve">Ticket validé par le responsable de projet</w:t>
            </w:r>
          </w:p>
        </w:tc>
        <w:tc>
          <w:tcPr>
            <w:tcW w:type="dxa" w:w="5726"/>
            <w:tcBorders>
              <w:top w:val="single" w:color="D9D7D0" w:sz="4"/>
              <w:left w:val="single" w:color="D9D7D0" w:sz="4"/>
              <w:bottom w:val="single" w:color="D9D7D0" w:sz="4"/>
              <w:right w:val="single" w:color="D9D7D0" w:sz="4"/>
            </w:tcBorders>
            <w:shd w:fill="FAFAF8" w:val="clear"/>
            <w:tcMar>
              <w:top w:type="dxa" w:w="80"/>
              <w:left w:type="dxa" w:w="110"/>
              <w:bottom w:type="dxa" w:w="80"/>
              <w:right w:type="dxa" w:w="110"/>
            </w:tcMar>
            <w:vAlign w:val="top"/>
          </w:tcPr>
          <w:p>
            <w:r>
              <w:rPr>
                <w:rFonts w:ascii="Arial" w:cs="Arial" w:eastAsia="Arial" w:hAnsi="Arial"/>
                <w:b w:val="false"/>
                <w:bCs w:val="false"/>
                <w:i w:val="false"/>
                <w:iCs w:val="false"/>
                <w:color w:val="333333"/>
                <w:sz w:val="17"/>
                <w:szCs w:val="17"/>
              </w:rPr>
              <w:t xml:space="preserve">Issue GitHub fermée avec validation explicite</w:t>
            </w:r>
          </w:p>
        </w:tc>
      </w:tr>
    </w:tbl>
    <w:p>
      <w:pPr>
        <w:spacing w:after="160"/>
      </w:pPr>
    </w:p>
    <w:p>
      <w:pPr>
        <w:pStyle w:val="Heading1"/>
      </w:pPr>
      <w:r>
        <w:t xml:space="preserve">11. Synthèse</w:t>
      </w:r>
    </w:p>
    <w:p>
      <w:pPr>
        <w:spacing w:after="160"/>
      </w:pPr>
      <w:r>
        <w:rPr>
          <w:rFonts w:ascii="Arial" w:cs="Arial" w:eastAsia="Arial" w:hAnsi="Arial"/>
          <w:b w:val="false"/>
          <w:bCs w:val="false"/>
          <w:i w:val="false"/>
          <w:iCs w:val="false"/>
          <w:color w:val="333333"/>
          <w:sz w:val="21"/>
          <w:szCs w:val="21"/>
        </w:rPr>
        <w:t xml:space="preserve">Le Registre des Livrables est le carnet de bord du projet : il évolue à chaque sprint, à chaque réunion, à chaque PR. Tenu à jour avec rigueur, il garantit que, à n'importe quel moment du projet, l'équipe peut justifier les règles appliquées (via le PAQ), montrer ce qui a été décidé et produit (via le présent registre), et démontrer la conformité du livrable final au périmètre défini (via le Cahier des Charges).</w:t>
      </w:r>
    </w:p>
    <w:sectPr>
      <w:footerReference w:type="default" r:id="rId7"/>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888780"/>
        <w:sz w:val="15"/>
        <w:szCs w:val="15"/>
      </w:rPr>
      <w:t xml:space="preserve">Fluently — Registre des Livrables — EPITECH Paris 2026-2027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29"/>
      <w:szCs w:val="29"/>
    </w:rPr>
  </w:style>
  <w:style w:type="paragraph" w:styleId="Heading2">
    <w:name w:val="Heading 2"/>
    <w:basedOn w:val="Normal"/>
    <w:next w:val="Normal"/>
    <w:qFormat/>
    <w:pPr>
      <w:spacing w:after="100" w:before="240"/>
      <w:outlineLvl w:val="1"/>
    </w:pPr>
    <w:rPr>
      <w:rFonts w:ascii="Arial" w:cs="Arial" w:eastAsia="Arial" w:hAnsi="Arial"/>
      <w:b/>
      <w:bCs/>
      <w:color w:val="1F3A5F"/>
      <w:sz w:val="23"/>
      <w:szCs w:val="23"/>
    </w:rPr>
  </w:style>
  <w:style w:type="paragraph" w:styleId="Heading3">
    <w:name w:val="Heading 3"/>
    <w:basedOn w:val="Normal"/>
    <w:next w:val="Normal"/>
    <w:qFormat/>
    <w:pPr>
      <w:spacing w:after="80" w:before="160"/>
      <w:outlineLvl w:val="2"/>
    </w:pPr>
    <w:rPr>
      <w:rFonts w:ascii="Arial" w:cs="Arial" w:eastAsia="Arial" w:hAnsi="Arial"/>
      <w:b/>
      <w:bCs/>
      <w:color w:val="2C528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2026-06-28T16:43:19.115Z</dcterms:created>
  <dcterms:modified xsi:type="dcterms:W3CDTF">2026-06-28T16:43:19.115Z</dcterms:modified>
</cp:coreProperties>
</file>

<file path=docProps/custom.xml><?xml version="1.0" encoding="utf-8"?>
<Properties xmlns="http://schemas.openxmlformats.org/officeDocument/2006/custom-properties" xmlns:vt="http://schemas.openxmlformats.org/officeDocument/2006/docPropsVTypes"/>
</file>