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200" w:before="0"/>
        <w:jc w:val="center"/>
      </w:pPr>
      <w:r>
        <w:rPr>
          <w:rFonts w:ascii="Arial" w:cs="Arial" w:eastAsia="Arial" w:hAnsi="Arial"/>
          <w:b/>
          <w:bCs/>
          <w:color w:val="2E5496"/>
          <w:spacing w:val="60"/>
          <w:sz w:val="26"/>
          <w:szCs w:val="26"/>
        </w:rPr>
        <w:t xml:space="preserve">PEOPLE RISE</w:t>
      </w:r>
    </w:p>
    <w:p>
      <w:pPr>
        <w:spacing w:after="100" w:before="0"/>
        <w:jc w:val="center"/>
      </w:pPr>
      <w:r>
        <w:rPr>
          <w:rFonts w:ascii="Arial" w:cs="Arial" w:eastAsia="Arial" w:hAnsi="Arial"/>
          <w:b/>
          <w:bCs/>
          <w:color w:val="1F3864"/>
          <w:sz w:val="56"/>
          <w:szCs w:val="56"/>
        </w:rPr>
        <w:t xml:space="preserve">Core Specification</w:t>
      </w:r>
    </w:p>
    <w:p>
      <w:pPr>
        <w:spacing w:after="700" w:before="0"/>
        <w:jc w:val="center"/>
      </w:pPr>
      <w:r>
        <w:rPr>
          <w:rFonts w:ascii="Arial" w:cs="Arial" w:eastAsia="Arial" w:hAnsi="Arial"/>
          <w:i/>
          <w:iCs/>
          <w:color w:val="595959"/>
          <w:sz w:val="24"/>
          <w:szCs w:val="24"/>
        </w:rPr>
        <w:t xml:space="preserve">The Organization Builder — the shared foundation every product depends on</w:t>
      </w:r>
    </w:p>
    <w:p>
      <w:pPr>
        <w:pBdr>
          <w:top w:val="single" w:color="BFC9DA" w:sz="6" w:space="10"/>
        </w:pBdr>
        <w:spacing w:after="240" w:before="200"/>
      </w:pPr>
    </w:p>
    <w:p>
      <w:pPr>
        <w:spacing w:after="140" w:before="60" w:line="280"/>
      </w:pPr>
      <w:r>
        <w:rPr>
          <w:rFonts w:ascii="Arial" w:cs="Arial" w:eastAsia="Arial" w:hAnsi="Arial"/>
          <w:b/>
          <w:bCs/>
          <w:color w:val="1F3864"/>
          <w:sz w:val="21"/>
          <w:szCs w:val="21"/>
        </w:rPr>
        <w:t xml:space="preserve">Owners:  </w:t>
      </w:r>
      <w:r>
        <w:rPr>
          <w:rFonts w:ascii="Arial" w:cs="Arial" w:eastAsia="Arial" w:hAnsi="Arial"/>
          <w:color w:val="262626"/>
          <w:sz w:val="21"/>
          <w:szCs w:val="21"/>
        </w:rPr>
        <w:t xml:space="preserve">Mahmoud Rayan — technical / product     •     Farouk — HR methodology</w:t>
      </w:r>
    </w:p>
    <w:p>
      <w:pPr>
        <w:spacing w:after="140" w:before="60" w:line="280"/>
      </w:pPr>
      <w:r>
        <w:rPr>
          <w:rFonts w:ascii="Arial" w:cs="Arial" w:eastAsia="Arial" w:hAnsi="Arial"/>
          <w:b/>
          <w:bCs/>
          <w:color w:val="1F3864"/>
          <w:sz w:val="21"/>
          <w:szCs w:val="21"/>
        </w:rPr>
        <w:t xml:space="preserve">First partner / pilot:  </w:t>
      </w:r>
      <w:r>
        <w:rPr>
          <w:rFonts w:ascii="Arial" w:cs="Arial" w:eastAsia="Arial" w:hAnsi="Arial"/>
          <w:color w:val="262626"/>
          <w:sz w:val="21"/>
          <w:szCs w:val="21"/>
        </w:rPr>
        <w:t xml:space="preserve">El-Delta</w:t>
      </w:r>
    </w:p>
    <w:p>
      <w:pPr>
        <w:spacing w:after="140" w:before="60" w:line="280"/>
      </w:pPr>
      <w:r>
        <w:rPr>
          <w:rFonts w:ascii="Arial" w:cs="Arial" w:eastAsia="Arial" w:hAnsi="Arial"/>
          <w:b/>
          <w:bCs/>
          <w:color w:val="1F3864"/>
          <w:sz w:val="21"/>
          <w:szCs w:val="21"/>
        </w:rPr>
        <w:t xml:space="preserve">Document set:  </w:t>
      </w:r>
      <w:r>
        <w:rPr>
          <w:rFonts w:ascii="Arial" w:cs="Arial" w:eastAsia="Arial" w:hAnsi="Arial"/>
          <w:color w:val="262626"/>
          <w:sz w:val="21"/>
          <w:szCs w:val="21"/>
        </w:rPr>
        <w:t xml:space="preserve">Product Portfolio &amp; Strategy · this Core Specification · one scope document per product · the Build Approach</w:t>
      </w:r>
    </w:p>
    <w:p>
      <w:pPr>
        <w:spacing w:after="140" w:before="60" w:line="280"/>
      </w:pPr>
      <w:r>
        <w:rPr>
          <w:rFonts w:ascii="Arial" w:cs="Arial" w:eastAsia="Arial" w:hAnsi="Arial"/>
          <w:b/>
          <w:bCs/>
          <w:color w:val="1F3864"/>
          <w:sz w:val="21"/>
          <w:szCs w:val="21"/>
        </w:rPr>
        <w:t xml:space="preserve">Status:  </w:t>
      </w:r>
      <w:r>
        <w:rPr>
          <w:rFonts w:ascii="Arial" w:cs="Arial" w:eastAsia="Arial" w:hAnsi="Arial"/>
          <w:color w:val="262626"/>
          <w:sz w:val="21"/>
          <w:szCs w:val="21"/>
        </w:rPr>
        <w:t xml:space="preserve">Reference specification — contract level. Entities, rules, and boundaries; no schema.</w:t>
      </w:r>
    </w:p>
    <w:p>
      <w:pPr>
        <w:pBdr>
          <w:top w:val="single" w:color="BFC9DA" w:sz="6" w:space="10"/>
        </w:pBdr>
        <w:spacing w:after="200" w:before="300"/>
      </w:pPr>
    </w:p>
    <w:p>
      <w:pPr>
        <w:spacing w:after="120" w:before="120" w:line="280"/>
        <w:jc w:val="both"/>
      </w:pPr>
      <w:r>
        <w:rPr>
          <w:rFonts w:ascii="Arial" w:cs="Arial" w:eastAsia="Arial" w:hAnsi="Arial"/>
          <w:b/>
          <w:bCs/>
          <w:color w:val="1F3864"/>
          <w:sz w:val="21"/>
          <w:szCs w:val="21"/>
        </w:rPr>
        <w:t xml:space="preserve">What this document is.  </w:t>
      </w:r>
      <w:r>
        <w:rPr>
          <w:rFonts w:ascii="Arial" w:cs="Arial" w:eastAsia="Arial" w:hAnsi="Arial"/>
          <w:color w:val="262626"/>
          <w:sz w:val="21"/>
          <w:szCs w:val="21"/>
        </w:rPr>
        <w:t xml:space="preserve">The contract for the free, mandatory foundation of the suite. It states what the core holds, the tests that decide whether a fact belongs in it, the rules that govern every core record, and what every product may read, write, and expect. It is a specification rather than a scope because the core has no workflows of its own — it has obligations to thirteen other products. Data models and API detail belong to the products and to the implementation; this document is the layer above both, and it governs where a product scope disagrees with it.</w:t>
      </w:r>
    </w:p>
    <w:p>
      <w:pPr>
        <w:spacing w:after="120" w:before="500"/>
        <w:jc w:val="center"/>
      </w:pPr>
      <w:r>
        <w:rPr>
          <w:rFonts w:ascii="Arial" w:cs="Arial" w:eastAsia="Arial" w:hAnsi="Arial"/>
          <w:i/>
          <w:iCs/>
          <w:color w:val="595959"/>
          <w:sz w:val="19"/>
          <w:szCs w:val="19"/>
        </w:rPr>
        <w:t xml:space="preserve">Working document — confidential</w:t>
      </w:r>
    </w:p>
    <w:p>
      <w:pPr>
        <w:pageBreakBefore/>
        <w:pBdr>
          <w:bottom w:val="single" w:color="BFC9DA" w:sz="8" w:space="6"/>
        </w:pBdr>
        <w:spacing w:after="260" w:before="200"/>
      </w:pPr>
      <w:r>
        <w:rPr>
          <w:rFonts w:ascii="Arial" w:cs="Arial" w:eastAsia="Arial" w:hAnsi="Arial"/>
          <w:b/>
          <w:bCs/>
          <w:color w:val="1F3864"/>
          <w:sz w:val="32"/>
          <w:szCs w:val="32"/>
        </w:rPr>
        <w:t xml:space="preserve">Contents</w:t>
      </w:r>
    </w:p>
    <w:p>
      <w:pPr>
        <w:tabs>
          <w:tab w:val="right" w:pos="9578" w:leader="dot"/>
        </w:tabs>
        <w:spacing w:after="80" w:before="80"/>
      </w:pPr>
      <w:r>
        <w:rPr>
          <w:rFonts w:ascii="Arial" w:cs="Arial" w:eastAsia="Arial" w:hAnsi="Arial"/>
          <w:b w:val="false"/>
          <w:bCs w:val="false"/>
          <w:color w:val="262626"/>
          <w:sz w:val="21"/>
          <w:szCs w:val="21"/>
        </w:rPr>
        <w:t xml:space="preserve">    1.  What the core is	3</w:t>
      </w:r>
    </w:p>
    <w:p>
      <w:pPr>
        <w:tabs>
          <w:tab w:val="right" w:pos="9578" w:leader="dot"/>
        </w:tabs>
        <w:spacing w:after="80" w:before="80"/>
      </w:pPr>
      <w:r>
        <w:rPr>
          <w:rFonts w:ascii="Arial" w:cs="Arial" w:eastAsia="Arial" w:hAnsi="Arial"/>
          <w:b w:val="false"/>
          <w:bCs w:val="false"/>
          <w:color w:val="262626"/>
          <w:sz w:val="21"/>
          <w:szCs w:val="21"/>
        </w:rPr>
        <w:t xml:space="preserve">    2.  The boundary tests	4</w:t>
      </w:r>
    </w:p>
    <w:p>
      <w:pPr>
        <w:tabs>
          <w:tab w:val="right" w:pos="9578" w:leader="dot"/>
        </w:tabs>
        <w:spacing w:after="80" w:before="80"/>
      </w:pPr>
      <w:r>
        <w:rPr>
          <w:rFonts w:ascii="Arial" w:cs="Arial" w:eastAsia="Arial" w:hAnsi="Arial"/>
          <w:b w:val="false"/>
          <w:bCs w:val="false"/>
          <w:color w:val="262626"/>
          <w:sz w:val="21"/>
          <w:szCs w:val="21"/>
        </w:rPr>
        <w:t xml:space="preserve">    3.  Cross-cutting mechanics	5</w:t>
      </w:r>
    </w:p>
    <w:p>
      <w:pPr>
        <w:tabs>
          <w:tab w:val="right" w:pos="9578" w:leader="dot"/>
        </w:tabs>
        <w:spacing w:after="80" w:before="80"/>
      </w:pPr>
      <w:r>
        <w:rPr>
          <w:rFonts w:ascii="Arial" w:cs="Arial" w:eastAsia="Arial" w:hAnsi="Arial"/>
          <w:b w:val="false"/>
          <w:bCs w:val="false"/>
          <w:color w:val="262626"/>
          <w:sz w:val="21"/>
          <w:szCs w:val="21"/>
        </w:rPr>
        <w:t xml:space="preserve">    4.  Organization	7</w:t>
      </w:r>
    </w:p>
    <w:p>
      <w:pPr>
        <w:tabs>
          <w:tab w:val="right" w:pos="9578" w:leader="dot"/>
        </w:tabs>
        <w:spacing w:after="80" w:before="80"/>
      </w:pPr>
      <w:r>
        <w:rPr>
          <w:rFonts w:ascii="Arial" w:cs="Arial" w:eastAsia="Arial" w:hAnsi="Arial"/>
          <w:b w:val="false"/>
          <w:bCs w:val="false"/>
          <w:color w:val="262626"/>
          <w:sz w:val="21"/>
          <w:szCs w:val="21"/>
        </w:rPr>
        <w:t xml:space="preserve">    5.  Structure	9</w:t>
      </w:r>
    </w:p>
    <w:p>
      <w:pPr>
        <w:tabs>
          <w:tab w:val="right" w:pos="9578" w:leader="dot"/>
        </w:tabs>
        <w:spacing w:after="80" w:before="80"/>
      </w:pPr>
      <w:r>
        <w:rPr>
          <w:rFonts w:ascii="Arial" w:cs="Arial" w:eastAsia="Arial" w:hAnsi="Arial"/>
          <w:b w:val="false"/>
          <w:bCs w:val="false"/>
          <w:color w:val="262626"/>
          <w:sz w:val="21"/>
          <w:szCs w:val="21"/>
        </w:rPr>
        <w:t xml:space="preserve">    6.  Ladder	10</w:t>
      </w:r>
    </w:p>
    <w:p>
      <w:pPr>
        <w:tabs>
          <w:tab w:val="right" w:pos="9578" w:leader="dot"/>
        </w:tabs>
        <w:spacing w:after="80" w:before="80"/>
      </w:pPr>
      <w:r>
        <w:rPr>
          <w:rFonts w:ascii="Arial" w:cs="Arial" w:eastAsia="Arial" w:hAnsi="Arial"/>
          <w:b w:val="false"/>
          <w:bCs w:val="false"/>
          <w:color w:val="262626"/>
          <w:sz w:val="21"/>
          <w:szCs w:val="21"/>
        </w:rPr>
        <w:t xml:space="preserve">    7.  Establishment	11</w:t>
      </w:r>
    </w:p>
    <w:p>
      <w:pPr>
        <w:tabs>
          <w:tab w:val="right" w:pos="9578" w:leader="dot"/>
        </w:tabs>
        <w:spacing w:after="80" w:before="80"/>
      </w:pPr>
      <w:r>
        <w:rPr>
          <w:rFonts w:ascii="Arial" w:cs="Arial" w:eastAsia="Arial" w:hAnsi="Arial"/>
          <w:b w:val="false"/>
          <w:bCs w:val="false"/>
          <w:color w:val="262626"/>
          <w:sz w:val="21"/>
          <w:szCs w:val="21"/>
        </w:rPr>
        <w:t xml:space="preserve">    8.  Roster	12</w:t>
      </w:r>
    </w:p>
    <w:p>
      <w:pPr>
        <w:tabs>
          <w:tab w:val="right" w:pos="9578" w:leader="dot"/>
        </w:tabs>
        <w:spacing w:after="80" w:before="80"/>
      </w:pPr>
      <w:r>
        <w:rPr>
          <w:rFonts w:ascii="Arial" w:cs="Arial" w:eastAsia="Arial" w:hAnsi="Arial"/>
          <w:b w:val="false"/>
          <w:bCs w:val="false"/>
          <w:color w:val="262626"/>
          <w:sz w:val="21"/>
          <w:szCs w:val="21"/>
        </w:rPr>
        <w:t xml:space="preserve">    9.  Pay	13</w:t>
      </w:r>
    </w:p>
    <w:p>
      <w:pPr>
        <w:tabs>
          <w:tab w:val="right" w:pos="9578" w:leader="dot"/>
        </w:tabs>
        <w:spacing w:after="80" w:before="80"/>
      </w:pPr>
      <w:r>
        <w:rPr>
          <w:rFonts w:ascii="Arial" w:cs="Arial" w:eastAsia="Arial" w:hAnsi="Arial"/>
          <w:b w:val="false"/>
          <w:bCs w:val="false"/>
          <w:color w:val="262626"/>
          <w:sz w:val="21"/>
          <w:szCs w:val="21"/>
        </w:rPr>
        <w:t xml:space="preserve">    10. The competency spine	14</w:t>
      </w:r>
    </w:p>
    <w:p>
      <w:pPr>
        <w:tabs>
          <w:tab w:val="right" w:pos="9578" w:leader="dot"/>
        </w:tabs>
        <w:spacing w:after="80" w:before="80"/>
      </w:pPr>
      <w:r>
        <w:rPr>
          <w:rFonts w:ascii="Arial" w:cs="Arial" w:eastAsia="Arial" w:hAnsi="Arial"/>
          <w:b w:val="false"/>
          <w:bCs w:val="false"/>
          <w:color w:val="262626"/>
          <w:sz w:val="21"/>
          <w:szCs w:val="21"/>
        </w:rPr>
        <w:t xml:space="preserve">    11. Identity and access	16</w:t>
      </w:r>
    </w:p>
    <w:p>
      <w:pPr>
        <w:tabs>
          <w:tab w:val="right" w:pos="9578" w:leader="dot"/>
        </w:tabs>
        <w:spacing w:after="80" w:before="80"/>
      </w:pPr>
      <w:r>
        <w:rPr>
          <w:rFonts w:ascii="Arial" w:cs="Arial" w:eastAsia="Arial" w:hAnsi="Arial"/>
          <w:b w:val="false"/>
          <w:bCs w:val="false"/>
          <w:color w:val="262626"/>
          <w:sz w:val="21"/>
          <w:szCs w:val="21"/>
        </w:rPr>
        <w:t xml:space="preserve">    12. The contract surface	18</w:t>
      </w:r>
    </w:p>
    <w:p>
      <w:pPr>
        <w:tabs>
          <w:tab w:val="right" w:pos="9578" w:leader="dot"/>
        </w:tabs>
        <w:spacing w:after="80" w:before="80"/>
      </w:pPr>
      <w:r>
        <w:rPr>
          <w:rFonts w:ascii="Arial" w:cs="Arial" w:eastAsia="Arial" w:hAnsi="Arial"/>
          <w:b w:val="false"/>
          <w:bCs w:val="false"/>
          <w:color w:val="262626"/>
          <w:sz w:val="21"/>
          <w:szCs w:val="21"/>
        </w:rPr>
        <w:t xml:space="preserve">    13. What the core does not do	20</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1.  What the core is</w:t>
      </w:r>
    </w:p>
    <w:p>
      <w:pPr>
        <w:spacing w:after="140" w:before="60" w:line="280"/>
        <w:jc w:val="both"/>
      </w:pPr>
      <w:r>
        <w:rPr>
          <w:rFonts w:ascii="Arial" w:cs="Arial" w:eastAsia="Arial" w:hAnsi="Arial"/>
          <w:color w:val="262626"/>
          <w:sz w:val="21"/>
          <w:szCs w:val="21"/>
        </w:rPr>
        <w:t xml:space="preserve">Platform Core is the Organization Builder. It is free, mandatory, and present in every tenant. It holds the faithful representation of the customer's organization — the facts a customer would tell us about themselves regardless of which products they bought.</w:t>
      </w:r>
    </w:p>
    <w:p>
      <w:pPr>
        <w:spacing w:after="140" w:before="60" w:line="280"/>
        <w:jc w:val="both"/>
      </w:pPr>
      <w:r>
        <w:rPr>
          <w:rFonts w:ascii="Arial" w:cs="Arial" w:eastAsia="Arial" w:hAnsi="Arial"/>
          <w:color w:val="262626"/>
          <w:sz w:val="21"/>
          <w:szCs w:val="21"/>
        </w:rPr>
        <w:t xml:space="preserve">It is specified as a reference specification rather than as a product scope. A scope document describes workflows a user performs; the core has almost none. What it has instead is a contract: a set of entities and rules that every product in the suite reads, several products write, and no product owns.</w:t>
      </w:r>
    </w:p>
    <w:p>
      <w:pPr>
        <w:pStyle w:val="Heading2"/>
        <w:spacing w:after="140" w:before="300"/>
      </w:pPr>
      <w:r>
        <w:rPr>
          <w:rFonts w:ascii="Arial" w:cs="Arial" w:eastAsia="Arial" w:hAnsi="Arial"/>
          <w:b/>
          <w:bCs/>
          <w:color w:val="2E5496"/>
          <w:sz w:val="25"/>
          <w:szCs w:val="25"/>
        </w:rPr>
        <w:t xml:space="preserve">Three consequences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product owns the core.</w:t>
      </w:r>
      <w:r>
        <w:rPr>
          <w:rFonts w:ascii="Arial" w:cs="Arial" w:eastAsia="Arial" w:hAnsi="Arial"/>
          <w:color w:val="262626"/>
          <w:sz w:val="21"/>
          <w:szCs w:val="21"/>
        </w:rPr>
        <w:t xml:space="preserve"> A product may not extend a core entity to suit itself. Adding a field to the roster because Payroll needs it is a portfolio decision, not a Payroll decision. This document is where that decision is recorded.</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Every core change fans out.</w:t>
      </w:r>
      <w:r>
        <w:rPr>
          <w:rFonts w:ascii="Arial" w:cs="Arial" w:eastAsia="Arial" w:hAnsi="Arial"/>
          <w:color w:val="262626"/>
          <w:sz w:val="21"/>
          <w:szCs w:val="21"/>
        </w:rPr>
        <w:t xml:space="preserve"> A change to a core entity touches every product that reads it and every tenant database in the estate. Core changes are expensive and product-local changes are cheap, so the boundary tests in Section 2 exist to keep changes on the cheap side of the line.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core must be complete without any paid product.</w:t>
      </w:r>
      <w:r>
        <w:rPr>
          <w:rFonts w:ascii="Arial" w:cs="Arial" w:eastAsia="Arial" w:hAnsi="Arial"/>
          <w:color w:val="262626"/>
          <w:sz w:val="21"/>
          <w:szCs w:val="21"/>
        </w:rPr>
        <w:t xml:space="preserve"> A customer who buys nothing still gets a working organization model. Every core entity therefore has a manual entry path, and no core field may be mandatory only because a paid product would have filled it.</w:t>
      </w:r>
    </w:p>
    <w:p>
      <w:pPr>
        <w:pStyle w:val="Heading2"/>
        <w:spacing w:after="140" w:before="300"/>
      </w:pPr>
      <w:r>
        <w:rPr>
          <w:rFonts w:ascii="Arial" w:cs="Arial" w:eastAsia="Arial" w:hAnsi="Arial"/>
          <w:b/>
          <w:bCs/>
          <w:color w:val="2E5496"/>
          <w:sz w:val="25"/>
          <w:szCs w:val="25"/>
        </w:rPr>
        <w:t xml:space="preserve">What free means</w:t>
      </w:r>
    </w:p>
    <w:p>
      <w:pPr>
        <w:spacing w:after="140" w:before="60" w:line="280"/>
        <w:jc w:val="both"/>
      </w:pPr>
      <w:r>
        <w:rPr>
          <w:rFonts w:ascii="Arial" w:cs="Arial" w:eastAsia="Arial" w:hAnsi="Arial"/>
          <w:color w:val="262626"/>
          <w:sz w:val="21"/>
          <w:szCs w:val="21"/>
        </w:rPr>
        <w:t xml:space="preserve">Free is unassisted, not partial. A customer can enter every core entity by hand, completely, with no capability withheld and no feature held back as bait. What the paid products sell is volume, defensibility, market anchoring, and derivation — never the ability to record a fact.</w:t>
      </w:r>
    </w:p>
    <w:p>
      <w:pPr>
        <w:pBdr>
          <w:left w:val="single" w:color="2E5496" w:sz="18" w:space="10"/>
        </w:pBdr>
        <w:shd w:fill="F2F5FA" w:color="auto" w:val="clear"/>
        <w:spacing w:after="200" w:before="160" w:line="280"/>
        <w:ind w:left="316" w:right="215"/>
        <w:jc w:val="both"/>
      </w:pPr>
      <w:r>
        <w:rPr>
          <w:rFonts w:ascii="Arial" w:cs="Arial" w:eastAsia="Arial" w:hAnsi="Arial"/>
          <w:color w:val="262626"/>
          <w:sz w:val="21"/>
          <w:szCs w:val="21"/>
        </w:rPr>
        <w:t xml:space="preserve">Fifteen grades typed by hand is reasonable. Two hundred jobs graded by hand, defensibly, with an audit trail, is not. That asymmetry is the business model, and the core is the half we give away.</w:t>
      </w:r>
    </w:p>
    <w:p>
      <w:pPr>
        <w:spacing w:after="140" w:before="60" w:line="280"/>
        <w:jc w:val="both"/>
      </w:pPr>
      <w:r>
        <w:rPr>
          <w:rFonts w:ascii="Arial" w:cs="Arial" w:eastAsia="Arial" w:hAnsi="Arial"/>
          <w:color w:val="262626"/>
          <w:sz w:val="21"/>
          <w:szCs w:val="21"/>
        </w:rPr>
        <w:t xml:space="preserve">The upsell is diagnostic rather than gated. A customer who types in their own structure for free has handed us the evidence for the sale — four jobs in one grade that look nothing alike, a 34% spread at grade 3 against 71% at grade 4, a hole between grades 6 and 7. We diagnose their structure using data they entered themselves, and the paid product is the remedy. This only works if the free entry path is genuinely complete, which is why completeness is a specification requirement here and not a courtesy.</w:t>
      </w:r>
    </w:p>
    <w:p>
      <w:pPr>
        <w:pStyle w:val="Heading2"/>
        <w:spacing w:after="140" w:before="300"/>
      </w:pPr>
      <w:r>
        <w:rPr>
          <w:rFonts w:ascii="Arial" w:cs="Arial" w:eastAsia="Arial" w:hAnsi="Arial"/>
          <w:b/>
          <w:bCs/>
          <w:color w:val="2E5496"/>
          <w:sz w:val="25"/>
          <w:szCs w:val="25"/>
        </w:rPr>
        <w:t xml:space="preserve">Standing in the document set</w:t>
      </w:r>
    </w:p>
    <w:p>
      <w:pPr>
        <w:spacing w:after="140" w:before="60" w:line="280"/>
        <w:jc w:val="both"/>
      </w:pPr>
      <w:r>
        <w:rPr>
          <w:rFonts w:ascii="Arial" w:cs="Arial" w:eastAsia="Arial" w:hAnsi="Arial"/>
          <w:color w:val="262626"/>
          <w:sz w:val="21"/>
          <w:szCs w:val="21"/>
        </w:rPr>
        <w:t xml:space="preserve">The portfolio document governs packaging and states which facts are core. This document states what those facts are, how they behave, and what every product may assume about them. Where a product scope document appears to contradict this specification, this specification governs; the correct response is to change it here, deliberately, and let the change fan out. The core is specified here as a target shape. How and when it is separated from the current single module is a build decision and is sequenced in the Build Approach.</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2.  The boundary tests</w:t>
      </w:r>
    </w:p>
    <w:p>
      <w:pPr>
        <w:spacing w:after="140" w:before="60" w:line="280"/>
        <w:jc w:val="both"/>
      </w:pPr>
      <w:r>
        <w:rPr>
          <w:rFonts w:ascii="Arial" w:cs="Arial" w:eastAsia="Arial" w:hAnsi="Arial"/>
          <w:color w:val="262626"/>
          <w:sz w:val="21"/>
          <w:szCs w:val="21"/>
        </w:rPr>
        <w:t xml:space="preserve">Four tests, applied in order. The first two decide whether a fact belongs to the core at all. The last two catch the cases where a fact looks product-local but is not.</w:t>
      </w:r>
    </w:p>
    <w:p>
      <w:pPr>
        <w:pStyle w:val="Heading2"/>
        <w:spacing w:after="140" w:before="300"/>
      </w:pPr>
      <w:r>
        <w:rPr>
          <w:rFonts w:ascii="Arial" w:cs="Arial" w:eastAsia="Arial" w:hAnsi="Arial"/>
          <w:b/>
          <w:bCs/>
          <w:color w:val="2E5496"/>
          <w:sz w:val="25"/>
          <w:szCs w:val="25"/>
        </w:rPr>
        <w:t xml:space="preserve">2.1  The declaration test</w:t>
      </w:r>
    </w:p>
    <w:p>
      <w:pPr>
        <w:spacing w:after="140" w:before="60" w:line="280"/>
        <w:jc w:val="both"/>
      </w:pPr>
      <w:r>
        <w:rPr>
          <w:rFonts w:ascii="Arial" w:cs="Arial" w:eastAsia="Arial" w:hAnsi="Arial"/>
          <w:i/>
          <w:iCs/>
          <w:color w:val="262626"/>
          <w:sz w:val="21"/>
          <w:szCs w:val="21"/>
        </w:rPr>
        <w:t xml:space="preserve">Is this fact true of the organization whether or not they own the product?</w:t>
      </w:r>
    </w:p>
    <w:p>
      <w:pPr>
        <w:spacing w:after="140" w:before="60" w:line="280"/>
        <w:jc w:val="both"/>
      </w:pPr>
      <w:r>
        <w:rPr>
          <w:rFonts w:ascii="Arial" w:cs="Arial" w:eastAsia="Arial" w:hAnsi="Arial"/>
          <w:color w:val="262626"/>
          <w:sz w:val="21"/>
          <w:szCs w:val="21"/>
        </w:rPr>
        <w:t xml:space="preserve">A grade ladder is true of the organization — a state-owned enterprise has run one for thirty years. A job's evaluation score is true only because Job Evaluation computed it. The first is core; the second is not. The corollary is the platform's founding sentence: the core declares, products derive.</w:t>
      </w:r>
    </w:p>
    <w:p>
      <w:pPr>
        <w:pStyle w:val="Heading2"/>
        <w:spacing w:after="140" w:before="300"/>
      </w:pPr>
      <w:r>
        <w:rPr>
          <w:rFonts w:ascii="Arial" w:cs="Arial" w:eastAsia="Arial" w:hAnsi="Arial"/>
          <w:b/>
          <w:bCs/>
          <w:color w:val="2E5496"/>
          <w:sz w:val="25"/>
          <w:szCs w:val="25"/>
        </w:rPr>
        <w:t xml:space="preserve">2.2  The workflow test</w:t>
      </w:r>
    </w:p>
    <w:p>
      <w:pPr>
        <w:spacing w:after="140" w:before="60" w:line="280"/>
        <w:jc w:val="both"/>
      </w:pPr>
      <w:r>
        <w:rPr>
          <w:rFonts w:ascii="Arial" w:cs="Arial" w:eastAsia="Arial" w:hAnsi="Arial"/>
          <w:i/>
          <w:iCs/>
          <w:color w:val="262626"/>
          <w:sz w:val="21"/>
          <w:szCs w:val="21"/>
        </w:rPr>
        <w:t xml:space="preserve">Does this fact need its own request, approver, lifecycle, or attached document?</w:t>
      </w:r>
    </w:p>
    <w:p>
      <w:pPr>
        <w:spacing w:after="140" w:before="60" w:line="280"/>
        <w:jc w:val="both"/>
      </w:pPr>
      <w:r>
        <w:rPr>
          <w:rFonts w:ascii="Arial" w:cs="Arial" w:eastAsia="Arial" w:hAnsi="Arial"/>
          <w:color w:val="262626"/>
          <w:sz w:val="21"/>
          <w:szCs w:val="21"/>
        </w:rPr>
        <w:t xml:space="preserve">If it does, it is not core. Leave has a request and an approver. A contract has a start, an end, and a renewal. A disciplinary record has a document. None of them place anyone in a grid, and all of them belong to Personnel. Applied to a promotion the test splits it cleanly: the resulting assignment record is core, the approval flow that produced it is not.</w:t>
      </w:r>
    </w:p>
    <w:p>
      <w:pPr>
        <w:pStyle w:val="Heading2"/>
        <w:spacing w:after="140" w:before="300"/>
      </w:pPr>
      <w:r>
        <w:rPr>
          <w:rFonts w:ascii="Arial" w:cs="Arial" w:eastAsia="Arial" w:hAnsi="Arial"/>
          <w:b/>
          <w:bCs/>
          <w:color w:val="2E5496"/>
          <w:sz w:val="25"/>
          <w:szCs w:val="25"/>
        </w:rPr>
        <w:t xml:space="preserve">2.3  The portfolio test</w:t>
      </w:r>
    </w:p>
    <w:p>
      <w:pPr>
        <w:spacing w:after="140" w:before="60" w:line="280"/>
        <w:jc w:val="both"/>
      </w:pPr>
      <w:r>
        <w:rPr>
          <w:rFonts w:ascii="Arial" w:cs="Arial" w:eastAsia="Arial" w:hAnsi="Arial"/>
          <w:i/>
          <w:iCs/>
          <w:color w:val="262626"/>
          <w:sz w:val="21"/>
          <w:szCs w:val="21"/>
        </w:rPr>
        <w:t xml:space="preserve">Would a product the customer has not bought need this fact?</w:t>
      </w:r>
    </w:p>
    <w:p>
      <w:pPr>
        <w:spacing w:after="140" w:before="60" w:line="280"/>
        <w:jc w:val="both"/>
      </w:pPr>
      <w:r>
        <w:rPr>
          <w:rFonts w:ascii="Arial" w:cs="Arial" w:eastAsia="Arial" w:hAnsi="Arial"/>
          <w:color w:val="262626"/>
          <w:sz w:val="21"/>
          <w:szCs w:val="21"/>
        </w:rPr>
        <w:t xml:space="preserve">A positive result means core, even where only one product writes it today. The roster is the worked example. Only Personnel manages people over time, but Performance, Talent Acquisition, Insights, and compa-ratio all need to know who exists and where they sit. Housing the roster in Personnel would make four unrelated products depend on a product their customer may never buy.</w:t>
      </w:r>
    </w:p>
    <w:p>
      <w:pPr>
        <w:pStyle w:val="Heading2"/>
        <w:spacing w:after="140" w:before="300"/>
      </w:pPr>
      <w:r>
        <w:rPr>
          <w:rFonts w:ascii="Arial" w:cs="Arial" w:eastAsia="Arial" w:hAnsi="Arial"/>
          <w:b/>
          <w:bCs/>
          <w:color w:val="2E5496"/>
          <w:sz w:val="25"/>
          <w:szCs w:val="25"/>
        </w:rPr>
        <w:t xml:space="preserve">2.4  The mirror test</w:t>
      </w:r>
    </w:p>
    <w:p>
      <w:pPr>
        <w:spacing w:after="140" w:before="60" w:line="280"/>
        <w:jc w:val="both"/>
      </w:pPr>
      <w:r>
        <w:rPr>
          <w:rFonts w:ascii="Arial" w:cs="Arial" w:eastAsia="Arial" w:hAnsi="Arial"/>
          <w:i/>
          <w:iCs/>
          <w:color w:val="262626"/>
          <w:sz w:val="21"/>
          <w:szCs w:val="21"/>
        </w:rPr>
        <w:t xml:space="preserve">Would this fact have to exist in two places for both sides to keep working?</w:t>
      </w:r>
    </w:p>
    <w:p>
      <w:pPr>
        <w:spacing w:after="140" w:before="60" w:line="280"/>
        <w:jc w:val="both"/>
      </w:pPr>
      <w:r>
        <w:rPr>
          <w:rFonts w:ascii="Arial" w:cs="Arial" w:eastAsia="Arial" w:hAnsi="Arial"/>
          <w:color w:val="262626"/>
          <w:sz w:val="21"/>
          <w:szCs w:val="21"/>
        </w:rPr>
        <w:t xml:space="preserve">If it would, it is core, and it carries provenance. Per-employee pay element amounts are the canonical case: Personnel writes them from a contract, Compensation from a policy rule, Payroll from a run. Any single-product home leaves the other two either broken or quietly keeping a private copy. Two homes for one field guarantee drift.</w:t>
      </w:r>
    </w:p>
    <w:p>
      <w:pPr>
        <w:pStyle w:val="Heading2"/>
        <w:spacing w:after="140" w:before="300"/>
      </w:pPr>
      <w:r>
        <w:rPr>
          <w:rFonts w:ascii="Arial" w:cs="Arial" w:eastAsia="Arial" w:hAnsi="Arial"/>
          <w:b/>
          <w:bCs/>
          <w:color w:val="2E5496"/>
          <w:sz w:val="25"/>
          <w:szCs w:val="25"/>
        </w:rPr>
        <w:t xml:space="preserve">Applying the tests to a new field</w:t>
      </w:r>
    </w:p>
    <w:p>
      <w:pPr>
        <w:pStyle w:val="ListParagraph"/>
        <w:numPr>
          <w:ilvl w:val="0"/>
          <w:numId w:val="1"/>
        </w:numPr>
        <w:spacing w:after="100" w:before="40" w:line="280"/>
        <w:ind w:left="431" w:hanging="259"/>
        <w:jc w:val="both"/>
      </w:pPr>
      <w:r>
        <w:rPr>
          <w:rFonts w:ascii="Arial" w:cs="Arial" w:eastAsia="Arial" w:hAnsi="Arial"/>
          <w:color w:val="262626"/>
          <w:sz w:val="21"/>
          <w:szCs w:val="21"/>
        </w:rPr>
        <w:t xml:space="preserve">Fails the declaration test → it belongs to the product that computes it.</w:t>
      </w:r>
    </w:p>
    <w:p>
      <w:pPr>
        <w:pStyle w:val="ListParagraph"/>
        <w:numPr>
          <w:ilvl w:val="0"/>
          <w:numId w:val="1"/>
        </w:numPr>
        <w:spacing w:after="100" w:before="40" w:line="280"/>
        <w:ind w:left="431" w:hanging="259"/>
        <w:jc w:val="both"/>
      </w:pPr>
      <w:r>
        <w:rPr>
          <w:rFonts w:ascii="Arial" w:cs="Arial" w:eastAsia="Arial" w:hAnsi="Arial"/>
          <w:color w:val="262626"/>
          <w:sz w:val="21"/>
          <w:szCs w:val="21"/>
        </w:rPr>
        <w:t xml:space="preserve">Fails the workflow test → it belongs to Personnel.</w:t>
      </w:r>
    </w:p>
    <w:p>
      <w:pPr>
        <w:pStyle w:val="ListParagraph"/>
        <w:numPr>
          <w:ilvl w:val="0"/>
          <w:numId w:val="1"/>
        </w:numPr>
        <w:spacing w:after="100" w:before="40" w:line="280"/>
        <w:ind w:left="431" w:hanging="259"/>
        <w:jc w:val="both"/>
      </w:pPr>
      <w:r>
        <w:rPr>
          <w:rFonts w:ascii="Arial" w:cs="Arial" w:eastAsia="Arial" w:hAnsi="Arial"/>
          <w:color w:val="262626"/>
          <w:sz w:val="21"/>
          <w:szCs w:val="21"/>
        </w:rPr>
        <w:t xml:space="preserve">Passes the portfolio test or the mirror test → core, and it carries provenance.</w:t>
      </w:r>
    </w:p>
    <w:p>
      <w:pPr>
        <w:pStyle w:val="ListParagraph"/>
        <w:numPr>
          <w:ilvl w:val="0"/>
          <w:numId w:val="1"/>
        </w:numPr>
        <w:spacing w:after="100" w:before="40" w:line="280"/>
        <w:ind w:left="431" w:hanging="259"/>
        <w:jc w:val="both"/>
      </w:pPr>
      <w:r>
        <w:rPr>
          <w:rFonts w:ascii="Arial" w:cs="Arial" w:eastAsia="Arial" w:hAnsi="Arial"/>
          <w:color w:val="262626"/>
          <w:sz w:val="21"/>
          <w:szCs w:val="21"/>
        </w:rPr>
        <w:t xml:space="preserve">Everything else → the product that asked for it. "Several products would find it convenient" is not a passing result; the test is whether they would be broken without it.</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3.  Cross-cutting mechanics</w:t>
      </w:r>
    </w:p>
    <w:p>
      <w:pPr>
        <w:spacing w:after="140" w:before="60" w:line="280"/>
        <w:jc w:val="both"/>
      </w:pPr>
      <w:r>
        <w:rPr>
          <w:rFonts w:ascii="Arial" w:cs="Arial" w:eastAsia="Arial" w:hAnsi="Arial"/>
          <w:color w:val="262626"/>
          <w:sz w:val="21"/>
          <w:szCs w:val="21"/>
        </w:rPr>
        <w:t xml:space="preserve">Rules that hold across every core area. Product scope documents inherit them and neither restate nor override them.</w:t>
      </w:r>
    </w:p>
    <w:p>
      <w:pPr>
        <w:pStyle w:val="Heading2"/>
        <w:spacing w:after="140" w:before="300"/>
      </w:pPr>
      <w:r>
        <w:rPr>
          <w:rFonts w:ascii="Arial" w:cs="Arial" w:eastAsia="Arial" w:hAnsi="Arial"/>
          <w:b/>
          <w:bCs/>
          <w:color w:val="2E5496"/>
          <w:sz w:val="25"/>
          <w:szCs w:val="25"/>
        </w:rPr>
        <w:t xml:space="preserve">3.1  Provenance</w:t>
      </w:r>
    </w:p>
    <w:p>
      <w:pPr>
        <w:spacing w:after="140" w:before="60" w:line="280"/>
        <w:jc w:val="both"/>
      </w:pPr>
      <w:r>
        <w:rPr>
          <w:rFonts w:ascii="Arial" w:cs="Arial" w:eastAsia="Arial" w:hAnsi="Arial"/>
          <w:color w:val="262626"/>
          <w:sz w:val="21"/>
          <w:szCs w:val="21"/>
        </w:rPr>
        <w:t xml:space="preserve">Every record that more than one source of differing authority can write carries its source on the row. A second writer alone does not require it: roster identity accepts writes from the core UI, from Personnel, and from an HRIS adapter, and a name typed by hand is exactly as true as a name imported. Provenance exists where the sources differ in what a consumer should accept — an evaluated grade is defensible in front of a board and a manually assigned one is not. Not inferred from which table it sits in, not reconstructed from an audit log, not split across a second table.</w:t>
      </w:r>
    </w:p>
    <w:tbl>
      <w:tblPr>
        <w:tblW w:type="dxa" w:w="9638"/>
        <w:tblBorders>
          <w:top w:val="single" w:color="BFC9DA" w:sz="4"/>
          <w:left w:val="single" w:color="BFC9DA" w:sz="4"/>
          <w:bottom w:val="single" w:color="BFC9DA" w:sz="4"/>
          <w:right w:val="single" w:color="BFC9DA" w:sz="4"/>
          <w:insideH w:val="single" w:color="BFC9DA" w:sz="3"/>
          <w:insideV w:val="single" w:color="BFC9DA" w:sz="3"/>
        </w:tblBorders>
      </w:tblPr>
      <w:tblGrid>
        <w:gridCol w:w="3277"/>
        <w:gridCol w:w="6361"/>
      </w:tblGrid>
      <w:tr>
        <w:trPr>
          <w:tblHeader/>
        </w:trPr>
        <w:tc>
          <w:tcPr>
            <w:tcW w:type="dxa" w:w="3277"/>
            <w:shd w:fill="1F3864" w:color="auto" w:val="clear"/>
            <w:tcMar>
              <w:top w:type="dxa" w:w="60"/>
              <w:left w:type="dxa" w:w="100"/>
              <w:bottom w:type="dxa" w:w="60"/>
              <w:right w:type="dxa" w:w="100"/>
            </w:tcMar>
          </w:tcPr>
          <w:p>
            <w:pPr>
              <w:spacing w:after="50" w:before="50" w:line="250"/>
              <w:jc w:val="left"/>
            </w:pPr>
            <w:r>
              <w:rPr>
                <w:rFonts w:ascii="Arial" w:cs="Arial" w:eastAsia="Arial" w:hAnsi="Arial"/>
                <w:color w:val="FFFFFF"/>
                <w:sz w:val="19"/>
                <w:szCs w:val="19"/>
              </w:rPr>
              <w:t xml:space="preserve">Record</w:t>
            </w:r>
          </w:p>
        </w:tc>
        <w:tc>
          <w:tcPr>
            <w:tcW w:type="dxa" w:w="6361"/>
            <w:shd w:fill="1F3864" w:color="auto" w:val="clear"/>
            <w:tcMar>
              <w:top w:type="dxa" w:w="60"/>
              <w:left w:type="dxa" w:w="100"/>
              <w:bottom w:type="dxa" w:w="60"/>
              <w:right w:type="dxa" w:w="100"/>
            </w:tcMar>
          </w:tcPr>
          <w:p>
            <w:pPr>
              <w:spacing w:after="50" w:before="50" w:line="250"/>
              <w:jc w:val="left"/>
            </w:pPr>
            <w:r>
              <w:rPr>
                <w:rFonts w:ascii="Arial" w:cs="Arial" w:eastAsia="Arial" w:hAnsi="Arial"/>
                <w:color w:val="FFFFFF"/>
                <w:sz w:val="19"/>
                <w:szCs w:val="19"/>
              </w:rPr>
              <w:t xml:space="preserve">Provenance values</w:t>
            </w:r>
          </w:p>
        </w:tc>
      </w:tr>
      <w:tr>
        <w:trPr>
          <w:tblHeader w:val="false"/>
        </w:trPr>
        <w:tc>
          <w:tcPr>
            <w:tcW w:type="dxa" w:w="3277"/>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Job-to-grade assignment</w:t>
            </w:r>
          </w:p>
        </w:tc>
        <w:tc>
          <w:tcPr>
            <w:tcW w:type="dxa" w:w="636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Evaluated · ManuallyAssigned</w:t>
            </w:r>
          </w:p>
        </w:tc>
      </w:tr>
      <w:tr>
        <w:trPr>
          <w:tblHeader w:val="false"/>
        </w:trPr>
        <w:tc>
          <w:tcPr>
            <w:tcW w:type="dxa" w:w="3277"/>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Salary band</w:t>
            </w:r>
          </w:p>
        </w:tc>
        <w:tc>
          <w:tcPr>
            <w:tcW w:type="dxa" w:w="636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Designed · ManuallyEntered</w:t>
            </w:r>
          </w:p>
        </w:tc>
      </w:tr>
      <w:tr>
        <w:trPr>
          <w:tblHeader w:val="false"/>
        </w:trPr>
        <w:tc>
          <w:tcPr>
            <w:tcW w:type="dxa" w:w="3277"/>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Competency (framework entry)</w:t>
            </w:r>
          </w:p>
        </w:tc>
        <w:tc>
          <w:tcPr>
            <w:tcW w:type="dxa" w:w="636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Seeded · Granted · TenantAuthored</w:t>
            </w:r>
          </w:p>
        </w:tc>
      </w:tr>
      <w:tr>
        <w:trPr>
          <w:tblHeader w:val="false"/>
        </w:trPr>
        <w:tc>
          <w:tcPr>
            <w:tcW w:type="dxa" w:w="3277"/>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Held competency profile</w:t>
            </w:r>
          </w:p>
        </w:tc>
        <w:tc>
          <w:tcPr>
            <w:tcW w:type="dxa" w:w="636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Assessed · PerformanceCycle · SelfDeclared · CertificationDerived</w:t>
            </w:r>
          </w:p>
        </w:tc>
      </w:tr>
      <w:tr>
        <w:trPr>
          <w:tblHeader w:val="false"/>
        </w:trPr>
        <w:tc>
          <w:tcPr>
            <w:tcW w:type="dxa" w:w="3277"/>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Pay element amount</w:t>
            </w:r>
          </w:p>
        </w:tc>
        <w:tc>
          <w:tcPr>
            <w:tcW w:type="dxa" w:w="636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Contract · Policy · Import · PayrollRun · Manual</w:t>
            </w:r>
          </w:p>
        </w:tc>
      </w:tr>
    </w:tbl>
    <w:p>
      <w:pPr>
        <w:spacing w:after="160"/>
      </w:pP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product writes only its own provenance value.</w:t>
      </w:r>
      <w:r>
        <w:rPr>
          <w:rFonts w:ascii="Arial" w:cs="Arial" w:eastAsia="Arial" w:hAnsi="Arial"/>
          <w:color w:val="262626"/>
          <w:sz w:val="21"/>
          <w:szCs w:val="21"/>
        </w:rPr>
        <w:t xml:space="preserve"> Job Evaluation writes Evaluated and nothing else, and nothing except Job Evaluation writes Evaluated. A value any product could set carries no information.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Provenance is never upgraded in place.</w:t>
      </w:r>
      <w:r>
        <w:rPr>
          <w:rFonts w:ascii="Arial" w:cs="Arial" w:eastAsia="Arial" w:hAnsi="Arial"/>
          <w:color w:val="262626"/>
          <w:sz w:val="21"/>
          <w:szCs w:val="21"/>
        </w:rPr>
        <w:t xml:space="preserve"> A manually assigned grade that is later evaluated becomes a new assignment record with a new provenance, not the same record relabelled. How the organization came to believe something is part of what the consulting deliverable sells.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missing provenance is a defect, not a default.</w:t>
      </w:r>
      <w:r>
        <w:rPr>
          <w:rFonts w:ascii="Arial" w:cs="Arial" w:eastAsia="Arial" w:hAnsi="Arial"/>
          <w:color w:val="262626"/>
          <w:sz w:val="21"/>
          <w:szCs w:val="21"/>
        </w:rPr>
        <w:t xml:space="preserve"> There is no Unknown value. If a writer cannot name its source, the write is wrong.</w:t>
      </w:r>
    </w:p>
    <w:p>
      <w:pPr>
        <w:pStyle w:val="Heading2"/>
        <w:spacing w:after="140" w:before="300"/>
      </w:pPr>
      <w:r>
        <w:rPr>
          <w:rFonts w:ascii="Arial" w:cs="Arial" w:eastAsia="Arial" w:hAnsi="Arial"/>
          <w:b/>
          <w:bCs/>
          <w:color w:val="2E5496"/>
          <w:sz w:val="25"/>
          <w:szCs w:val="25"/>
        </w:rPr>
        <w:t xml:space="preserve">3.2  Effective dating</w:t>
      </w:r>
    </w:p>
    <w:p>
      <w:pPr>
        <w:spacing w:after="140" w:before="60" w:line="280"/>
        <w:jc w:val="both"/>
      </w:pPr>
      <w:r>
        <w:rPr>
          <w:rFonts w:ascii="Arial" w:cs="Arial" w:eastAsia="Arial" w:hAnsi="Arial"/>
          <w:color w:val="262626"/>
          <w:sz w:val="21"/>
          <w:szCs w:val="21"/>
        </w:rPr>
        <w:t xml:space="preserve">Three classes of core record. The class is decided once, here, and is not chosen per product.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Current-state records</w:t>
      </w:r>
      <w:r>
        <w:rPr>
          <w:rFonts w:ascii="Arial" w:cs="Arial" w:eastAsia="Arial" w:hAnsi="Arial"/>
          <w:color w:val="262626"/>
          <w:sz w:val="21"/>
          <w:szCs w:val="21"/>
        </w:rPr>
        <w:t xml:space="preserve"> — an org unit's name, a job title, a family assignment. Corrections overwrite. History is not a product requirement for these and paying for it everywhere is expensive.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Effective-dated records</w:t>
      </w:r>
      <w:r>
        <w:rPr>
          <w:rFonts w:ascii="Arial" w:cs="Arial" w:eastAsia="Arial" w:hAnsi="Arial"/>
          <w:color w:val="262626"/>
          <w:sz w:val="21"/>
          <w:szCs w:val="21"/>
        </w:rPr>
        <w:t xml:space="preserve"> — position assignment, grade assignment, pay element amount, salary band. Each carries a validity window and the current value is a query rather than a column. Backdating is permitted and unrestricted, and overlapping windows for the same subject and key are not. Nothing recalculates when a record is backdated: entering last year’s assignments is ordinary consulting work, and in Phase 1 there is no payroll, no live workflow, and no downstream computation to disturb. Period-locking becomes a real constraint only once Payroll exists, and it is decided there rather than here.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Immutable records</w:t>
      </w:r>
      <w:r>
        <w:rPr>
          <w:rFonts w:ascii="Arial" w:cs="Arial" w:eastAsia="Arial" w:hAnsi="Arial"/>
          <w:color w:val="262626"/>
          <w:sz w:val="21"/>
          <w:szCs w:val="21"/>
        </w:rPr>
        <w:t xml:space="preserve"> — published snapshots of granted content. Never updated and never deleted, because evaluations and assessments reference them.</w:t>
      </w:r>
    </w:p>
    <w:p>
      <w:pPr>
        <w:pStyle w:val="Heading2"/>
        <w:spacing w:after="140" w:before="300"/>
      </w:pPr>
      <w:r>
        <w:rPr>
          <w:rFonts w:ascii="Arial" w:cs="Arial" w:eastAsia="Arial" w:hAnsi="Arial"/>
          <w:b/>
          <w:bCs/>
          <w:color w:val="2E5496"/>
          <w:sz w:val="25"/>
          <w:szCs w:val="25"/>
        </w:rPr>
        <w:t xml:space="preserve">3.3  Identity and bilingualism</w:t>
      </w:r>
    </w:p>
    <w:p>
      <w:pPr>
        <w:pStyle w:val="ListParagraph"/>
        <w:numPr>
          <w:ilvl w:val="0"/>
          <w:numId w:val="1"/>
        </w:numPr>
        <w:spacing w:after="100" w:before="40" w:line="280"/>
        <w:ind w:left="431" w:hanging="259"/>
        <w:jc w:val="both"/>
      </w:pPr>
      <w:r>
        <w:rPr>
          <w:rFonts w:ascii="Arial" w:cs="Arial" w:eastAsia="Arial" w:hAnsi="Arial"/>
          <w:color w:val="262626"/>
          <w:sz w:val="21"/>
          <w:szCs w:val="21"/>
        </w:rPr>
        <w:t xml:space="preserve">Internal keys are UUIDv7, generated by the application.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Customer-facing identifiers are separate from keys.</w:t>
      </w:r>
      <w:r>
        <w:rPr>
          <w:rFonts w:ascii="Arial" w:cs="Arial" w:eastAsia="Arial" w:hAnsi="Arial"/>
          <w:color w:val="262626"/>
          <w:sz w:val="21"/>
          <w:szCs w:val="21"/>
        </w:rPr>
        <w:t xml:space="preserve"> Employee number, job code, grade code, and unit code are in the customer's own format, unique within the tenant, editable, and never used as foreign keys. An edit updates the record in place; because nothing references a code, a renumbering leaves history intact with no further handling. A deliverable regenerated after a rename shows the new code, which is what a display label is expected to do.</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Every customer-visible name and description carries an Arabic and an English form.</w:t>
      </w:r>
      <w:r>
        <w:rPr>
          <w:rFonts w:ascii="Arial" w:cs="Arial" w:eastAsia="Arial" w:hAnsi="Arial"/>
          <w:color w:val="262626"/>
          <w:sz w:val="21"/>
          <w:szCs w:val="21"/>
        </w:rPr>
        <w:t xml:space="preserve"> Neither is a system-level translation of the other; both are authored. A missing form falls back to the one present rather than blocking the record, because a customer will not stop work to write the second language.</w:t>
      </w:r>
    </w:p>
    <w:p>
      <w:pPr>
        <w:pStyle w:val="Heading2"/>
        <w:spacing w:after="140" w:before="300"/>
      </w:pPr>
      <w:r>
        <w:rPr>
          <w:rFonts w:ascii="Arial" w:cs="Arial" w:eastAsia="Arial" w:hAnsi="Arial"/>
          <w:b/>
          <w:bCs/>
          <w:color w:val="2E5496"/>
          <w:sz w:val="25"/>
          <w:szCs w:val="25"/>
        </w:rPr>
        <w:t xml:space="preserve">3.4  Closure, not deletion</w:t>
      </w:r>
    </w:p>
    <w:p>
      <w:pPr>
        <w:spacing w:after="140" w:before="60" w:line="280"/>
        <w:jc w:val="both"/>
      </w:pPr>
      <w:r>
        <w:rPr>
          <w:rFonts w:ascii="Arial" w:cs="Arial" w:eastAsia="Arial" w:hAnsi="Arial"/>
          <w:color w:val="262626"/>
          <w:sz w:val="21"/>
          <w:szCs w:val="21"/>
        </w:rPr>
        <w:t xml:space="preserve">A core entity anything has ever referenced is closed, never deleted — an org unit that has held a position, a grade that has held a job, a job that has been evaluated. Closed records are excluded from pickers and retained by every historical query. Deletion remains available only for records nothing references, which in practice means correcting a mistake in the same sitting.</w:t>
      </w:r>
    </w:p>
    <w:p>
      <w:pPr>
        <w:pStyle w:val="Heading2"/>
        <w:spacing w:after="140" w:before="300"/>
      </w:pPr>
      <w:r>
        <w:rPr>
          <w:rFonts w:ascii="Arial" w:cs="Arial" w:eastAsia="Arial" w:hAnsi="Arial"/>
          <w:b/>
          <w:bCs/>
          <w:color w:val="2E5496"/>
          <w:sz w:val="25"/>
          <w:szCs w:val="25"/>
        </w:rPr>
        <w:t xml:space="preserve">3.5  Money and sensitivity</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Money is exact decimal with an explicit currency code.</w:t>
      </w:r>
      <w:r>
        <w:rPr>
          <w:rFonts w:ascii="Arial" w:cs="Arial" w:eastAsia="Arial" w:hAnsi="Arial"/>
          <w:color w:val="262626"/>
          <w:sz w:val="21"/>
          <w:szCs w:val="21"/>
        </w:rPr>
        <w:t xml:space="preserve"> Never floating point, anywhere, for any reason.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Sensitive data is one class, not several.</w:t>
      </w:r>
      <w:r>
        <w:rPr>
          <w:rFonts w:ascii="Arial" w:cs="Arial" w:eastAsia="Arial" w:hAnsi="Arial"/>
          <w:color w:val="262626"/>
          <w:sz w:val="21"/>
          <w:szCs w:val="21"/>
        </w:rPr>
        <w:t xml:space="preserve"> Pay element amounts, compa-ratio, held competency profiles, assessment results, and burnout signals are permission-gated together. Treating them as four separate concerns produces four different answers to the same question about who may look.</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4.  Organization</w:t>
      </w:r>
    </w:p>
    <w:p>
      <w:pPr>
        <w:spacing w:after="140" w:before="60" w:line="280"/>
        <w:jc w:val="both"/>
      </w:pPr>
      <w:r>
        <w:rPr>
          <w:rFonts w:ascii="Arial" w:cs="Arial" w:eastAsia="Arial" w:hAnsi="Arial"/>
          <w:b/>
          <w:bCs/>
          <w:color w:val="1F3864"/>
          <w:sz w:val="21"/>
          <w:szCs w:val="21"/>
        </w:rPr>
        <w:t xml:space="preserve">Holds:</w:t>
      </w:r>
      <w:r>
        <w:rPr>
          <w:rFonts w:ascii="Arial" w:cs="Arial" w:eastAsia="Arial" w:hAnsi="Arial"/>
          <w:color w:val="262626"/>
          <w:sz w:val="21"/>
          <w:szCs w:val="21"/>
        </w:rPr>
        <w:t xml:space="preserve"> legal name, trade name, industry, sector, base currency, fiscal year start, working week, Ramadan hours, supported languages, default locale.</w:t>
      </w:r>
    </w:p>
    <w:p>
      <w:pPr>
        <w:spacing w:after="140" w:before="60" w:line="280"/>
        <w:jc w:val="both"/>
      </w:pPr>
      <w:r>
        <w:rPr>
          <w:rFonts w:ascii="Arial" w:cs="Arial" w:eastAsia="Arial" w:hAnsi="Arial"/>
          <w:color w:val="262626"/>
          <w:sz w:val="21"/>
          <w:szCs w:val="21"/>
        </w:rPr>
        <w:t xml:space="preserve">Exactly one Organization record per tenant. This is deliberate and load-bearing: one organization, one tenant, one database. Any grouping above the organization — a holding company, a ministry with subsidiaries, a group of state-owned entities under one authority — is a control-plane concern and never appears in a tenant database. If a tenant database ever holds two organizations, DB-per-tenant is broken and every query in the suite needs scoping rules it does not currently have.</w:t>
      </w:r>
    </w:p>
    <w:p>
      <w:pPr>
        <w:pStyle w:val="Heading2"/>
        <w:spacing w:after="140" w:before="300"/>
      </w:pPr>
      <w:r>
        <w:rPr>
          <w:rFonts w:ascii="Arial" w:cs="Arial" w:eastAsia="Arial" w:hAnsi="Arial"/>
          <w:b/>
          <w:bCs/>
          <w:color w:val="2E5496"/>
          <w:sz w:val="25"/>
          <w:szCs w:val="25"/>
        </w:rPr>
        <w:t xml:space="preserve">The split with the control-plane Tenant record</w:t>
      </w:r>
    </w:p>
    <w:p>
      <w:pPr>
        <w:spacing w:after="140" w:before="60" w:line="280"/>
        <w:jc w:val="both"/>
      </w:pPr>
      <w:r>
        <w:rPr>
          <w:rFonts w:ascii="Arial" w:cs="Arial" w:eastAsia="Arial" w:hAnsi="Arial"/>
          <w:color w:val="262626"/>
          <w:sz w:val="21"/>
          <w:szCs w:val="21"/>
        </w:rPr>
        <w:t xml:space="preserve">Two records describe an organization, one on each side of the boundary, and they do not mirror each other. The control-plane Tenant is the routing and billing record: name, database, status, type. The tenant-database Organization is the descriptive record. Each field has exactly one home.</w:t>
      </w:r>
    </w:p>
    <w:p>
      <w:pPr>
        <w:spacing w:after="140" w:before="60" w:line="280"/>
        <w:jc w:val="both"/>
      </w:pPr>
      <w:r>
        <w:rPr>
          <w:rFonts w:ascii="Arial" w:cs="Arial" w:eastAsia="Arial" w:hAnsi="Arial"/>
          <w:color w:val="262626"/>
          <w:sz w:val="21"/>
          <w:szCs w:val="21"/>
        </w:rPr>
        <w:t xml:space="preserve">Where a field appears to belong to both — the organization's name being the obvious case — the control-plane copy is a routing label and the tenant copy is the legal name. Nothing inside a tenant reads the control-plane label, and nothing in the control plane reads the tenant's legal name. Two homes for one field guarantee drift, and this is the one place in the platform where the temptation is structural rather than accidental.</w:t>
      </w:r>
    </w:p>
    <w:p>
      <w:pPr>
        <w:spacing w:after="140" w:before="300" w:line="240"/>
      </w:pPr>
      <w:r>
        <w:rPr>
          <w:rFonts w:ascii="Arial" w:cs="Arial" w:eastAsia="Arial" w:hAnsi="Arial"/>
          <w:b/>
          <w:bCs/>
          <w:color w:val="2E5496"/>
          <w:sz w:val="25"/>
          <w:szCs w:val="25"/>
        </w:rPr>
        <w:t xml:space="preserve">Industry is a controlled vocabulary</w:t>
      </w:r>
    </w:p>
    <w:p>
      <w:pPr>
        <w:spacing w:after="140" w:before="60" w:line="280"/>
        <w:jc w:val="both"/>
      </w:pPr>
      <w:r>
        <w:rPr>
          <w:rFonts w:ascii="Arial" w:cs="Arial" w:eastAsia="Arial" w:hAnsi="Arial"/>
          <w:color w:val="262626"/>
          <w:sz w:val="21"/>
          <w:szCs w:val="21"/>
        </w:rPr>
        <w:t xml:space="preserve">Industry is not free text. The value is drawn from a versioned reference list of ISIC Rev. 4 codes cut at section and division level, seeded into every tenant at provisioning and shipped in the provisioning path exactly as the competency seed is. The code is stored and the label is not, so re-translating or rewording a label can never change what a customer declared.</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list is seeded, not granted.</w:t>
      </w:r>
      <w:r>
        <w:rPr>
          <w:rFonts w:ascii="Arial" w:cs="Arial" w:eastAsia="Arial" w:hAnsi="Arial"/>
          <w:color w:val="262626"/>
          <w:sz w:val="21"/>
          <w:szCs w:val="21"/>
        </w:rPr>
        <w:t xml:space="preserve"> It is a shared international standard rather than practice content, so it lives in the tenant database and not in the control-plane library. Nothing in the Core UI may require a control-plane read to render, because an on-prem tenant is one tenant database plus the application.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Seeded rows are ours and are not editable.</w:t>
      </w:r>
      <w:r>
        <w:rPr>
          <w:rFonts w:ascii="Arial" w:cs="Arial" w:eastAsia="Arial" w:hAnsi="Arial"/>
          <w:color w:val="262626"/>
          <w:sz w:val="21"/>
          <w:szCs w:val="21"/>
        </w:rPr>
        <w:t xml:space="preserve"> Unlike the seeded competencies, which are a deliberate starting point and are fully editable and deletable, this list is a standard. A customer who does not fit selects Other and supplies free text; they do not add a row. Without that rule tenants drift off the standard and the field becomes unusable for anything beyond display.</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later list version is offered, never applied.</w:t>
      </w:r>
      <w:r>
        <w:rPr>
          <w:rFonts w:ascii="Arial" w:cs="Arial" w:eastAsia="Arial" w:hAnsi="Arial"/>
          <w:color w:val="262626"/>
          <w:sz w:val="21"/>
          <w:szCs w:val="21"/>
        </w:rPr>
        <w:t xml:space="preserve"> ISIC Rev. 5 exists. Adopting it must not silently reclassify a customer who already chose a code, so the list version is recorded per tenant under the same rule that governs every other content update.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Section and division level only.</w:t>
      </w:r>
      <w:r>
        <w:rPr>
          <w:rFonts w:ascii="Arial" w:cs="Arial" w:eastAsia="Arial" w:hAnsi="Arial"/>
          <w:color w:val="262626"/>
          <w:sz w:val="21"/>
          <w:szCs w:val="21"/>
        </w:rPr>
        <w:t xml:space="preserve"> Roughly a hundred entries rather than several hundred. A taxonomy fine enough to be precise is too fine for anyone to choose from honestly, and the result is a field full of near-misses that reads as data and is not.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One primary code, with optional secondaries.</w:t>
      </w:r>
      <w:r>
        <w:rPr>
          <w:rFonts w:ascii="Arial" w:cs="Arial" w:eastAsia="Arial" w:hAnsi="Arial"/>
          <w:color w:val="262626"/>
          <w:sz w:val="21"/>
          <w:szCs w:val="21"/>
        </w:rPr>
        <w:t xml:space="preserve"> State-owned enterprises are frequently diversified, and a single code would misdescribe an entity holding a manufacturing arm alongside logistics and services. The primary code is what anything downstream keys on; secondaries describe and never drive.</w:t>
      </w:r>
    </w:p>
    <w:p>
      <w:pPr>
        <w:spacing w:after="140" w:before="60" w:line="280"/>
        <w:jc w:val="both"/>
      </w:pPr>
      <w:r>
        <w:rPr>
          <w:rFonts w:ascii="Arial" w:cs="Arial" w:eastAsia="Arial" w:hAnsi="Arial"/>
          <w:color w:val="262626"/>
          <w:sz w:val="21"/>
          <w:szCs w:val="21"/>
        </w:rPr>
        <w:t xml:space="preserve">The constraint matters more than the field. Industry currently describes the customer and nothing derives from it, and it is specified as a controlled vocabulary now only because a later feature that recommends job families or competency packs by industry cannot be built on free text. Retrofitting a taxonomy onto values already typed into live tenant databases means guessing what each customer meant, tenant by tenant, with no way to recover the intent — the expensive kind of fan-out change described in Section 1.</w:t>
      </w:r>
    </w:p>
    <w:p>
      <w:pPr>
        <w:spacing w:after="140" w:before="60" w:line="280"/>
        <w:jc w:val="both"/>
      </w:pPr>
      <w:r>
        <w:rPr>
          <w:rFonts w:ascii="Arial" w:cs="Arial" w:eastAsia="Arial" w:hAnsi="Arial"/>
          <w:color w:val="262626"/>
          <w:sz w:val="21"/>
          <w:szCs w:val="21"/>
        </w:rPr>
        <w:t xml:space="preserve">If such a recommender is ever built, it does not belong to the core. The vocabulary is seeded, shared, and free; the mapping from a code to recommended content is authored by Farouk, granted per engagement, and offered rather than applied. The core supplies the input and never the derivation.</w:t>
      </w:r>
    </w:p>
    <w:p>
      <w:pPr>
        <w:pStyle w:val="Heading2"/>
        <w:spacing w:after="140" w:before="300"/>
      </w:pPr>
      <w:r>
        <w:rPr>
          <w:rFonts w:ascii="Arial" w:cs="Arial" w:eastAsia="Arial" w:hAnsi="Arial"/>
          <w:b/>
          <w:bCs/>
          <w:color w:val="2E5496"/>
          <w:sz w:val="25"/>
          <w:szCs w:val="25"/>
        </w:rPr>
        <w:t xml:space="preserve">Sector is not cosmetic</w:t>
      </w:r>
    </w:p>
    <w:p>
      <w:pPr>
        <w:spacing w:after="140" w:before="60" w:line="280"/>
        <w:jc w:val="both"/>
      </w:pPr>
      <w:r>
        <w:rPr>
          <w:rFonts w:ascii="Arial" w:cs="Arial" w:eastAsia="Arial" w:hAnsi="Arial"/>
          <w:color w:val="262626"/>
          <w:sz w:val="21"/>
          <w:szCs w:val="21"/>
        </w:rPr>
        <w:t xml:space="preserve">Sector — private, state-owned, or government — determines which legal regime governs the employment relationship, and Personnel and Payroll branch on it. It is captured in the free core precisely because it must be known before either of those products is sold. For the El-Delta pilot the regime is Labour Law No. 14 of 2025. Sector remains state-owned, because sector records ownership and the regime follows from it without being identical to it. Nothing may hardcode this regime: the next state-owned client may sit under the public-sector one.</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5.  Structure</w:t>
      </w:r>
    </w:p>
    <w:p>
      <w:pPr>
        <w:spacing w:after="140" w:before="60" w:line="280"/>
        <w:jc w:val="both"/>
      </w:pPr>
      <w:r>
        <w:rPr>
          <w:rFonts w:ascii="Arial" w:cs="Arial" w:eastAsia="Arial" w:hAnsi="Arial"/>
          <w:b/>
          <w:bCs/>
          <w:color w:val="1F3864"/>
          <w:sz w:val="21"/>
          <w:szCs w:val="21"/>
        </w:rPr>
        <w:t xml:space="preserve">Holds:</w:t>
      </w:r>
      <w:r>
        <w:rPr>
          <w:rFonts w:ascii="Arial" w:cs="Arial" w:eastAsia="Arial" w:hAnsi="Arial"/>
          <w:color w:val="262626"/>
          <w:sz w:val="21"/>
          <w:szCs w:val="21"/>
        </w:rPr>
        <w:t xml:space="preserve"> org units and the unit tree; locations; levels; job families; jobs and the job hierarchy; career path definitions.</w:t>
      </w:r>
    </w:p>
    <w:p>
      <w:pPr>
        <w:spacing w:after="140" w:before="60" w:line="280"/>
        <w:jc w:val="both"/>
      </w:pPr>
      <w:r>
        <w:rPr>
          <w:rFonts w:ascii="Arial" w:cs="Arial" w:eastAsia="Arial" w:hAnsi="Arial"/>
          <w:color w:val="262626"/>
          <w:sz w:val="21"/>
          <w:szCs w:val="21"/>
        </w:rPr>
        <w:t xml:space="preserve">This is the org chart and the job catalogue — the part of the core every other product references, and the part a customer recognizes immediately because they already have it on a wall somewhere.</w:t>
      </w:r>
    </w:p>
    <w:p>
      <w:pPr>
        <w:pStyle w:val="Heading2"/>
        <w:spacing w:after="140" w:before="300"/>
      </w:pPr>
      <w:r>
        <w:rPr>
          <w:rFonts w:ascii="Arial" w:cs="Arial" w:eastAsia="Arial" w:hAnsi="Arial"/>
          <w:b/>
          <w:bCs/>
          <w:color w:val="2E5496"/>
          <w:sz w:val="25"/>
          <w:szCs w:val="25"/>
        </w:rPr>
        <w:t xml:space="preserve">Rules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Levels are an ordered, tenant-owned list.</w:t>
      </w:r>
      <w:r>
        <w:rPr>
          <w:rFonts w:ascii="Arial" w:cs="Arial" w:eastAsia="Arial" w:hAnsi="Arial"/>
          <w:color w:val="262626"/>
          <w:sz w:val="21"/>
          <w:szCs w:val="21"/>
        </w:rPr>
        <w:t xml:space="preserve"> El-Delta's five — Blue Collar, Individual Contributor, Supervisory, Managerial, C-level — are that tenant's list and not a platform constant. The order is meaningful; the labels are not.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Families are nullable by design.</w:t>
      </w:r>
      <w:r>
        <w:rPr>
          <w:rFonts w:ascii="Arial" w:cs="Arial" w:eastAsia="Arial" w:hAnsi="Arial"/>
          <w:color w:val="262626"/>
          <w:sz w:val="21"/>
          <w:szCs w:val="21"/>
        </w:rPr>
        <w:t xml:space="preserve"> A job needs only a level to be evaluated, and a new customer may have no families defined at all. No feature may assume family is set, and every family-keyed lookup declares a level-only fallback.</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level-by-family grid is one coordinate system.</w:t>
      </w:r>
      <w:r>
        <w:rPr>
          <w:rFonts w:ascii="Arial" w:cs="Arial" w:eastAsia="Arial" w:hAnsi="Arial"/>
          <w:color w:val="262626"/>
          <w:sz w:val="21"/>
          <w:szCs w:val="21"/>
        </w:rPr>
        <w:t xml:space="preserve"> The grading grid, competency templates, and career path definitions all key on the same cell. Parallel schemes that happen to agree at launch will disagree within a year.</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Job, position, and employee are distinct and never collapsed.</w:t>
      </w:r>
      <w:r>
        <w:rPr>
          <w:rFonts w:ascii="Arial" w:cs="Arial" w:eastAsia="Arial" w:hAnsi="Arial"/>
          <w:color w:val="262626"/>
          <w:sz w:val="21"/>
          <w:szCs w:val="21"/>
        </w:rPr>
        <w:t xml:space="preserve"> A job is a role definition — the thing you evaluate. A position is a seat the establishment counts. An employee is a person — the one you pay. Collapsing any two of them breaks position control, evaluation, or payroll respectively.</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Titles are aliases; content is identity.</w:t>
      </w:r>
      <w:r>
        <w:rPr>
          <w:rFonts w:ascii="Arial" w:cs="Arial" w:eastAsia="Arial" w:hAnsi="Arial"/>
          <w:color w:val="262626"/>
          <w:sz w:val="21"/>
          <w:szCs w:val="21"/>
        </w:rPr>
        <w:t xml:space="preserve"> Job titles differ across companies for identical work, so nothing in the platform treats a title as a comparison key. The cross-company reference-job layer is deferred to the benchmark phase and is purely additive when it arrives.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unit tree has one root and no cycles.</w:t>
      </w:r>
      <w:r>
        <w:rPr>
          <w:rFonts w:ascii="Arial" w:cs="Arial" w:eastAsia="Arial" w:hAnsi="Arial"/>
          <w:color w:val="262626"/>
          <w:sz w:val="21"/>
          <w:szCs w:val="21"/>
        </w:rPr>
        <w:t xml:space="preserve"> A unit may be closed but not deleted once it has held a position.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Location is an attribute of the org unit.</w:t>
      </w:r>
      <w:r>
        <w:rPr>
          <w:rFonts w:ascii="Arial" w:cs="Arial" w:eastAsia="Arial" w:hAnsi="Arial"/>
          <w:color w:val="262626"/>
          <w:sz w:val="21"/>
          <w:szCs w:val="21"/>
        </w:rPr>
        <w:t xml:space="preserve"> A unit sits somewhere; location is not an independent dimension that jobs, positions, and people each reference separately. The unit’s location is also the default an employee’s primary location is copied from, described in Section 8.</w:t>
      </w:r>
    </w:p>
    <w:p>
      <w:pPr>
        <w:pStyle w:val="Heading2"/>
        <w:spacing w:after="140" w:before="300"/>
      </w:pPr>
      <w:r>
        <w:rPr>
          <w:rFonts w:ascii="Arial" w:cs="Arial" w:eastAsia="Arial" w:hAnsi="Arial"/>
          <w:b/>
          <w:bCs/>
          <w:color w:val="2E5496"/>
          <w:sz w:val="25"/>
          <w:szCs w:val="25"/>
        </w:rPr>
        <w:t xml:space="preserve">Career paths, and where they split</w:t>
      </w:r>
    </w:p>
    <w:p>
      <w:pPr>
        <w:spacing w:after="140" w:before="60" w:line="280"/>
        <w:jc w:val="both"/>
      </w:pPr>
      <w:r>
        <w:rPr>
          <w:rFonts w:ascii="Arial" w:cs="Arial" w:eastAsia="Arial" w:hAnsi="Arial"/>
          <w:color w:val="262626"/>
          <w:sz w:val="21"/>
          <w:szCs w:val="21"/>
        </w:rPr>
        <w:t xml:space="preserve">The path definition — the route a family takes through a set of grades — is a structural declaration about the organization and sits here. Whether a given person qualifies for the next step needs the competency gap and performance history, and belongs to Talent Management. The same split as promotion: the declared route is core, the judgement about a person is not.</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6.  Ladder</w:t>
      </w:r>
    </w:p>
    <w:p>
      <w:pPr>
        <w:spacing w:after="140" w:before="60" w:line="280"/>
        <w:jc w:val="both"/>
      </w:pPr>
      <w:r>
        <w:rPr>
          <w:rFonts w:ascii="Arial" w:cs="Arial" w:eastAsia="Arial" w:hAnsi="Arial"/>
          <w:b/>
          <w:bCs/>
          <w:color w:val="1F3864"/>
          <w:sz w:val="21"/>
          <w:szCs w:val="21"/>
        </w:rPr>
        <w:t xml:space="preserve">Holds:</w:t>
      </w:r>
      <w:r>
        <w:rPr>
          <w:rFonts w:ascii="Arial" w:cs="Arial" w:eastAsia="Arial" w:hAnsi="Arial"/>
          <w:color w:val="262626"/>
          <w:sz w:val="21"/>
          <w:szCs w:val="21"/>
        </w:rPr>
        <w:t xml:space="preserve"> the grade list, and the assignment of a job to a grade with provenance and an effective date.</w:t>
      </w:r>
    </w:p>
    <w:p>
      <w:pPr>
        <w:pStyle w:val="Heading2"/>
        <w:spacing w:after="140" w:before="300"/>
      </w:pPr>
      <w:r>
        <w:rPr>
          <w:rFonts w:ascii="Arial" w:cs="Arial" w:eastAsia="Arial" w:hAnsi="Arial"/>
          <w:b/>
          <w:bCs/>
          <w:color w:val="2E5496"/>
          <w:sz w:val="25"/>
          <w:szCs w:val="25"/>
        </w:rPr>
        <w:t xml:space="preserve">Rules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Grades exist before evaluation and independently of it.</w:t>
      </w:r>
      <w:r>
        <w:rPr>
          <w:rFonts w:ascii="Arial" w:cs="Arial" w:eastAsia="Arial" w:hAnsi="Arial"/>
          <w:color w:val="262626"/>
          <w:sz w:val="21"/>
          <w:szCs w:val="21"/>
        </w:rPr>
        <w:t xml:space="preserve"> The customer's ladder is entered directly. Evaluation automates only the assignment of jobs onto it, never the ladder itself.</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Grade assignment has two provenances and both are first-class.</w:t>
      </w:r>
      <w:r>
        <w:rPr>
          <w:rFonts w:ascii="Arial" w:cs="Arial" w:eastAsia="Arial" w:hAnsi="Arial"/>
          <w:color w:val="262626"/>
          <w:sz w:val="21"/>
          <w:szCs w:val="21"/>
        </w:rPr>
        <w:t xml:space="preserve"> Evaluated and ManuallyAssigned. Manual assignment is not a degraded path or an escape hatch used under protest — for a customer who trusts their existing structure it is the normal path, and treating it as second-class would make the free core feel like a trial.</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Grade mappings are tenant-owned,</w:t>
      </w:r>
      <w:r>
        <w:rPr>
          <w:rFonts w:ascii="Arial" w:cs="Arial" w:eastAsia="Arial" w:hAnsi="Arial"/>
          <w:color w:val="262626"/>
          <w:sz w:val="21"/>
          <w:szCs w:val="21"/>
        </w:rPr>
        <w:t xml:space="preserve"> because they reference the customer's own grade identifiers. The same granted methodology therefore yields different grades in different tenants, which is why the score and not the grade is the cross-company identity a future benchmark would key 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grade is closed, never deleted,</w:t>
      </w:r>
      <w:r>
        <w:rPr>
          <w:rFonts w:ascii="Arial" w:cs="Arial" w:eastAsia="Arial" w:hAnsi="Arial"/>
          <w:color w:val="262626"/>
          <w:sz w:val="21"/>
          <w:szCs w:val="21"/>
        </w:rPr>
        <w:t xml:space="preserve"> once a job has ever been assigned to it.</w:t>
      </w:r>
    </w:p>
    <w:p>
      <w:pPr>
        <w:pStyle w:val="Heading2"/>
        <w:spacing w:after="140" w:before="300"/>
      </w:pPr>
      <w:r>
        <w:rPr>
          <w:rFonts w:ascii="Arial" w:cs="Arial" w:eastAsia="Arial" w:hAnsi="Arial"/>
          <w:b/>
          <w:bCs/>
          <w:color w:val="2E5496"/>
          <w:sz w:val="25"/>
          <w:szCs w:val="25"/>
        </w:rPr>
        <w:t xml:space="preserve">What crosses the boundary from Job Evaluation</w:t>
      </w:r>
    </w:p>
    <w:p>
      <w:pPr>
        <w:spacing w:after="140" w:before="60" w:line="280"/>
        <w:jc w:val="both"/>
      </w:pPr>
      <w:r>
        <w:rPr>
          <w:rFonts w:ascii="Arial" w:cs="Arial" w:eastAsia="Arial" w:hAnsi="Arial"/>
          <w:color w:val="262626"/>
          <w:sz w:val="21"/>
          <w:szCs w:val="21"/>
        </w:rPr>
        <w:t xml:space="preserve">The core holds no evaluations, no answers, no factor scores, and no methodology content. Those belong to the Job Evaluation module and the control-plane library. Exactly one fact crosses into the core: this job sits at this grade, assigned this way, from this date. Everything supporting that fact — the pinned methodology version, the immutable answers, the account that evaluated, the per-factor subtotals — stays inside Job Evaluation, where the audit trail is the product.</w:t>
      </w:r>
    </w:p>
    <w:p>
      <w:pPr>
        <w:spacing w:after="140" w:before="60" w:line="280"/>
        <w:jc w:val="both"/>
      </w:pPr>
      <w:r>
        <w:rPr>
          <w:rFonts w:ascii="Arial" w:cs="Arial" w:eastAsia="Arial" w:hAnsi="Arial"/>
          <w:color w:val="262626"/>
          <w:sz w:val="21"/>
          <w:szCs w:val="21"/>
        </w:rPr>
        <w:t xml:space="preserve">The practical consequence is that a customer can uninstall the narrative and keep the structure. A tenant whose Job Evaluation entitlement lapses still has a complete, working grade ladder; what they lose is the ability to defend it and the ability to grade the next two hundred jobs.</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7.  Establishment</w:t>
      </w:r>
    </w:p>
    <w:p>
      <w:pPr>
        <w:spacing w:after="140" w:before="60" w:line="280"/>
        <w:jc w:val="both"/>
      </w:pPr>
      <w:r>
        <w:rPr>
          <w:rFonts w:ascii="Arial" w:cs="Arial" w:eastAsia="Arial" w:hAnsi="Arial"/>
          <w:b/>
          <w:bCs/>
          <w:color w:val="1F3864"/>
          <w:sz w:val="21"/>
          <w:szCs w:val="21"/>
        </w:rPr>
        <w:t xml:space="preserve">Holds:</w:t>
      </w:r>
      <w:r>
        <w:rPr>
          <w:rFonts w:ascii="Arial" w:cs="Arial" w:eastAsia="Arial" w:hAnsi="Arial"/>
          <w:color w:val="262626"/>
          <w:sz w:val="21"/>
          <w:szCs w:val="21"/>
        </w:rPr>
        <w:t xml:space="preserve"> approved positions per job per org unit, and the occupancy of each. A position’s grade follows from its job.</w:t>
      </w:r>
    </w:p>
    <w:p>
      <w:pPr>
        <w:pStyle w:val="Heading2"/>
        <w:spacing w:after="140" w:before="300"/>
      </w:pPr>
      <w:r>
        <w:rPr>
          <w:rFonts w:ascii="Arial" w:cs="Arial" w:eastAsia="Arial" w:hAnsi="Arial"/>
          <w:b/>
          <w:bCs/>
          <w:color w:val="2E5496"/>
          <w:sz w:val="25"/>
          <w:szCs w:val="25"/>
        </w:rPr>
        <w:t xml:space="preserve">Rules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position is approved against a specific job within a grade,</w:t>
      </w:r>
      <w:r>
        <w:rPr>
          <w:rFonts w:ascii="Arial" w:cs="Arial" w:eastAsia="Arial" w:hAnsi="Arial"/>
          <w:color w:val="262626"/>
          <w:sz w:val="21"/>
          <w:szCs w:val="21"/>
        </w:rPr>
        <w:t xml:space="preserve"> not against a grade alone. An open box is therefore a vacancy a hiring manager recognises — a Maintenance Engineer seat rather than an unnamed grade-5 seat. The position’s grade is derived from the job’s current grade assignment rather than declared beside it, so there is one path from job to grade and not two that can disagree.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position has a status.</w:t>
      </w:r>
      <w:r>
        <w:rPr>
          <w:rFonts w:ascii="Arial" w:cs="Arial" w:eastAsia="Arial" w:hAnsi="Arial"/>
          <w:color w:val="262626"/>
          <w:sz w:val="21"/>
          <w:szCs w:val="21"/>
        </w:rPr>
        <w:t xml:space="preserve"> Approved-and-vacant is the open box; approved-and-occupied is a filled seat. The open box is approved seats minus occupied seats — arithmetic that only works when both live in one place.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Re-grading a job moves its approved positions with it.</w:t>
      </w:r>
      <w:r>
        <w:rPr>
          <w:rFonts w:ascii="Arial" w:cs="Arial" w:eastAsia="Arial" w:hAnsi="Arial"/>
          <w:color w:val="262626"/>
          <w:sz w:val="21"/>
          <w:szCs w:val="21"/>
        </w:rPr>
        <w:t xml:space="preserve"> A job reassigned from grade 5 to grade 6 takes its positions to grade 6 and shifts the establishment count per grade. This is correct behaviour and it happens in bulk during a restructuring, so headcount-by-grade moving after a re-evaluation is not a defect.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Occupancy is a property of the seat, not of the person.</w:t>
      </w:r>
      <w:r>
        <w:rPr>
          <w:rFonts w:ascii="Arial" w:cs="Arial" w:eastAsia="Arial" w:hAnsi="Arial"/>
          <w:color w:val="262626"/>
          <w:sz w:val="21"/>
          <w:szCs w:val="21"/>
        </w:rPr>
        <w:t xml:space="preserve"> The roster points at the position; the position does not point back. This is what keeps a vacant position meaningful, and what lets headcount be counted without reading the roster at all.</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Establishment is a declaration, not a workflow.</w:t>
      </w:r>
      <w:r>
        <w:rPr>
          <w:rFonts w:ascii="Arial" w:cs="Arial" w:eastAsia="Arial" w:hAnsi="Arial"/>
          <w:color w:val="262626"/>
          <w:sz w:val="21"/>
          <w:szCs w:val="21"/>
        </w:rPr>
        <w:t xml:space="preserve"> Creating a position may require approval in the customer's own process. That approval belongs to Personnel; what reaches the core is the approved result.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position is closed, never deleted,</w:t>
      </w:r>
      <w:r>
        <w:rPr>
          <w:rFonts w:ascii="Arial" w:cs="Arial" w:eastAsia="Arial" w:hAnsi="Arial"/>
          <w:color w:val="262626"/>
          <w:sz w:val="21"/>
          <w:szCs w:val="21"/>
        </w:rPr>
        <w:t xml:space="preserve"> once it has been occupied.</w:t>
      </w:r>
    </w:p>
    <w:p>
      <w:pPr>
        <w:pBdr>
          <w:left w:val="single" w:color="2E5496" w:sz="18" w:space="10"/>
        </w:pBdr>
        <w:shd w:fill="F2F5FA" w:color="auto" w:val="clear"/>
        <w:spacing w:after="200" w:before="160" w:line="280"/>
        <w:ind w:left="316" w:right="215"/>
        <w:jc w:val="both"/>
      </w:pPr>
      <w:r>
        <w:rPr>
          <w:rFonts w:ascii="Arial" w:cs="Arial" w:eastAsia="Arial" w:hAnsi="Arial"/>
          <w:color w:val="262626"/>
          <w:sz w:val="21"/>
          <w:szCs w:val="21"/>
        </w:rPr>
        <w:t xml:space="preserve">Position control is the strongest single reason the roster cannot live in Personnel. An open box is approved seats minus occupied seats, and occupancy is meaningless without knowing who occupies it.</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8.  Roster</w:t>
      </w:r>
    </w:p>
    <w:p>
      <w:pPr>
        <w:spacing w:after="140" w:before="60" w:line="280"/>
        <w:jc w:val="both"/>
      </w:pPr>
      <w:r>
        <w:rPr>
          <w:rFonts w:ascii="Arial" w:cs="Arial" w:eastAsia="Arial" w:hAnsi="Arial"/>
          <w:b/>
          <w:bCs/>
          <w:color w:val="1F3864"/>
          <w:sz w:val="21"/>
          <w:szCs w:val="21"/>
        </w:rPr>
        <w:t xml:space="preserve">Holds:</w:t>
      </w:r>
      <w:r>
        <w:rPr>
          <w:rFonts w:ascii="Arial" w:cs="Arial" w:eastAsia="Arial" w:hAnsi="Arial"/>
          <w:color w:val="262626"/>
          <w:sz w:val="21"/>
          <w:szCs w:val="21"/>
        </w:rPr>
        <w:t xml:space="preserve"> identity (name, employee number), hire date, employment status, primary location, the current position assignment, and the full assignment history.</w:t>
      </w:r>
    </w:p>
    <w:p>
      <w:pPr>
        <w:pStyle w:val="Heading2"/>
        <w:spacing w:after="140" w:before="300"/>
      </w:pPr>
      <w:r>
        <w:rPr>
          <w:rFonts w:ascii="Arial" w:cs="Arial" w:eastAsia="Arial" w:hAnsi="Arial"/>
          <w:b/>
          <w:bCs/>
          <w:color w:val="2E5496"/>
          <w:sz w:val="25"/>
          <w:szCs w:val="25"/>
        </w:rPr>
        <w:t xml:space="preserve">Deliberately excluded</w:t>
      </w:r>
    </w:p>
    <w:p>
      <w:pPr>
        <w:spacing w:after="140" w:before="60" w:line="280"/>
        <w:jc w:val="both"/>
      </w:pPr>
      <w:r>
        <w:rPr>
          <w:rFonts w:ascii="Arial" w:cs="Arial" w:eastAsia="Arial" w:hAnsi="Arial"/>
          <w:color w:val="262626"/>
          <w:sz w:val="21"/>
          <w:szCs w:val="21"/>
        </w:rPr>
        <w:t xml:space="preserve">National ID, birthdate, gender, marital status, address, contact details, dependents, documents, contracts, and disciplinary records are Personnel's and are absent from the core. This is a data-protection position as much as an architectural one: a tenant that owns only the free core holds the minimum personal data a structural model requires, and a customer evaluating the platform is not asked to load sensitive personal data before they have bought anything.</w:t>
      </w:r>
    </w:p>
    <w:p>
      <w:pPr>
        <w:pStyle w:val="Heading2"/>
        <w:spacing w:after="140" w:before="300"/>
      </w:pPr>
      <w:r>
        <w:rPr>
          <w:rFonts w:ascii="Arial" w:cs="Arial" w:eastAsia="Arial" w:hAnsi="Arial"/>
          <w:b/>
          <w:bCs/>
          <w:color w:val="2E5496"/>
          <w:sz w:val="25"/>
          <w:szCs w:val="25"/>
        </w:rPr>
        <w:t xml:space="preserve">Rules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Assignment is effective-dated and never overwritten.</w:t>
      </w:r>
      <w:r>
        <w:rPr>
          <w:rFonts w:ascii="Arial" w:cs="Arial" w:eastAsia="Arial" w:hAnsi="Arial"/>
          <w:color w:val="262626"/>
          <w:sz w:val="21"/>
          <w:szCs w:val="21"/>
        </w:rPr>
        <w:t xml:space="preserve"> Where somebody sat last year is a fact the consulting deliverable depends 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Primary location is copied from the unit, not linked to it.</w:t>
      </w:r>
      <w:r>
        <w:rPr>
          <w:rFonts w:ascii="Arial" w:cs="Arial" w:eastAsia="Arial" w:hAnsi="Arial"/>
          <w:color w:val="262626"/>
          <w:sz w:val="21"/>
          <w:szCs w:val="21"/>
        </w:rPr>
        <w:t xml:space="preserve"> On assignment the employee’s primary location takes the org unit’s location as its default and is then stored on the roster, editable per employee. Copying rather than linking makes a shared unit whose staff sit at several sites representable, and means a later change to a unit’s location does not retroactively move anyone already assigned. The two may legitimately differ; that is not an error to reconcile.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One primary assignment at a time.</w:t>
      </w:r>
      <w:r>
        <w:rPr>
          <w:rFonts w:ascii="Arial" w:cs="Arial" w:eastAsia="Arial" w:hAnsi="Arial"/>
          <w:color w:val="262626"/>
          <w:sz w:val="21"/>
          <w:szCs w:val="21"/>
        </w:rPr>
        <w:t xml:space="preserve"> Secondary, acting, and seconded assignments are Personnel concepts with workflows behind them. The core holds the primary seat, and every downstream product that asks "where does this person sit" gets one answer.</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An employee always occupies a position.</w:t>
      </w:r>
      <w:r>
        <w:rPr>
          <w:rFonts w:ascii="Arial" w:cs="Arial" w:eastAsia="Arial" w:hAnsi="Arial"/>
          <w:color w:val="262626"/>
          <w:sz w:val="21"/>
          <w:szCs w:val="21"/>
        </w:rPr>
        <w:t xml:space="preserve"> Nobody is hired into no seat: an employee record without a current assignment is not a valid state, because position control counts occupancy and an unplaced person would be invisible to it. A person between seats is moved, not unassigned.</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Employment status is structural, not procedural.</w:t>
      </w:r>
      <w:r>
        <w:rPr>
          <w:rFonts w:ascii="Arial" w:cs="Arial" w:eastAsia="Arial" w:hAnsi="Arial"/>
          <w:color w:val="262626"/>
          <w:sz w:val="21"/>
          <w:szCs w:val="21"/>
        </w:rPr>
        <w:t xml:space="preserve"> Active, on long-term absence, separated. The reasons, the approvals, and the paperwork are Personnel's.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separated employee is retained, not removed.</w:t>
      </w:r>
      <w:r>
        <w:rPr>
          <w:rFonts w:ascii="Arial" w:cs="Arial" w:eastAsia="Arial" w:hAnsi="Arial"/>
          <w:color w:val="262626"/>
          <w:sz w:val="21"/>
          <w:szCs w:val="21"/>
        </w:rPr>
        <w:t xml:space="preserve"> History references them, and so does every year-on-year comparison in a consulting deliverable.</w:t>
      </w:r>
    </w:p>
    <w:p>
      <w:pPr>
        <w:pStyle w:val="Heading2"/>
        <w:spacing w:after="140" w:before="300"/>
      </w:pPr>
      <w:r>
        <w:rPr>
          <w:rFonts w:ascii="Arial" w:cs="Arial" w:eastAsia="Arial" w:hAnsi="Arial"/>
          <w:b/>
          <w:bCs/>
          <w:color w:val="2E5496"/>
          <w:sz w:val="25"/>
          <w:szCs w:val="25"/>
        </w:rPr>
        <w:t xml:space="preserve">Why the roster is core</w:t>
      </w:r>
    </w:p>
    <w:p>
      <w:pPr>
        <w:spacing w:after="140" w:before="60" w:line="280"/>
        <w:jc w:val="both"/>
      </w:pPr>
      <w:r>
        <w:rPr>
          <w:rFonts w:ascii="Arial" w:cs="Arial" w:eastAsia="Arial" w:hAnsi="Arial"/>
          <w:color w:val="262626"/>
          <w:sz w:val="21"/>
          <w:szCs w:val="21"/>
        </w:rPr>
        <w:t xml:space="preserve">Stated once here so that no product scope document re-argues it. Position control does not function without occupancy. Four products that have no business depending on Personnel — Performance, Talent Acquisition, Insights, and compa-ratio in Compensation — need to know who exists and where they sit. And the consulting engagement needs a roster before Personnel exists at all, because showing where current staff land in a newly designed structure is most of what the customer is paying for.</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9.  Pay</w:t>
      </w:r>
    </w:p>
    <w:p>
      <w:pPr>
        <w:spacing w:after="140" w:before="60" w:line="280"/>
        <w:jc w:val="both"/>
      </w:pPr>
      <w:r>
        <w:rPr>
          <w:rFonts w:ascii="Arial" w:cs="Arial" w:eastAsia="Arial" w:hAnsi="Arial"/>
          <w:b/>
          <w:bCs/>
          <w:color w:val="1F3864"/>
          <w:sz w:val="21"/>
          <w:szCs w:val="21"/>
        </w:rPr>
        <w:t xml:space="preserve">Holds:</w:t>
      </w:r>
      <w:r>
        <w:rPr>
          <w:rFonts w:ascii="Arial" w:cs="Arial" w:eastAsia="Arial" w:hAnsi="Arial"/>
          <w:color w:val="262626"/>
          <w:sz w:val="21"/>
          <w:szCs w:val="21"/>
        </w:rPr>
        <w:t xml:space="preserve"> the pay element catalogue; per-employee element amounts, effective-dated, with provenance; salary bands with provenance; the declared pay basis.</w:t>
      </w:r>
    </w:p>
    <w:p>
      <w:pPr>
        <w:pStyle w:val="Heading2"/>
        <w:spacing w:after="140" w:before="300"/>
      </w:pPr>
      <w:r>
        <w:rPr>
          <w:rFonts w:ascii="Arial" w:cs="Arial" w:eastAsia="Arial" w:hAnsi="Arial"/>
          <w:b/>
          <w:bCs/>
          <w:color w:val="2E5496"/>
          <w:sz w:val="25"/>
          <w:szCs w:val="25"/>
        </w:rPr>
        <w:t xml:space="preserve">Rules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Actual pay is a set of elements, not a number.</w:t>
      </w:r>
      <w:r>
        <w:rPr>
          <w:rFonts w:ascii="Arial" w:cs="Arial" w:eastAsia="Arial" w:hAnsi="Arial"/>
          <w:color w:val="262626"/>
          <w:sz w:val="21"/>
          <w:szCs w:val="21"/>
        </w:rPr>
        <w:t xml:space="preserve"> Basic, transport, call allowance, bonus. In Egypt a modest basic with a large allowance share is routine, so anything treating pay as a single figure prices a fraction of what people actually earn.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element catalogue and per-employee amounts are core because three products write them</w:t>
      </w:r>
      <w:r>
        <w:rPr>
          <w:rFonts w:ascii="Arial" w:cs="Arial" w:eastAsia="Arial" w:hAnsi="Arial"/>
          <w:color w:val="262626"/>
          <w:sz w:val="21"/>
          <w:szCs w:val="21"/>
        </w:rPr>
        <w:t xml:space="preserve"> — Personnel from a contract, Compensation from a policy rule, Payroll from a run. This is the mirror test's canonical case, and any single-product home leaves the other two broken or duplicating.</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core owns the element; each product owns its own view of it.</w:t>
      </w:r>
      <w:r>
        <w:rPr>
          <w:rFonts w:ascii="Arial" w:cs="Arial" w:eastAsia="Arial" w:hAnsi="Arial"/>
          <w:color w:val="262626"/>
          <w:sz w:val="21"/>
          <w:szCs w:val="21"/>
        </w:rPr>
        <w:t xml:space="preserve"> Allowance policy rules are Compensation's. Fiscal treatment — what is taxable, what is insurable, how a partial month prorates — is Payroll's. The core holds neither, and holds the element both attach to.</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Pay basis is explicit everywhere.</w:t>
      </w:r>
      <w:r>
        <w:rPr>
          <w:rFonts w:ascii="Arial" w:cs="Arial" w:eastAsia="Arial" w:hAnsi="Arial"/>
          <w:color w:val="262626"/>
          <w:sz w:val="21"/>
          <w:szCs w:val="21"/>
        </w:rPr>
        <w:t xml:space="preserve"> Basic, total fixed, or total cash. Every band and every market data point declares which basis it prices, and every pay element declares which basis it counts toward. A comparison across two bases is a defect, not a rounding difference.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Bands exist without Compensation.</w:t>
      </w:r>
      <w:r>
        <w:rPr>
          <w:rFonts w:ascii="Arial" w:cs="Arial" w:eastAsia="Arial" w:hAnsi="Arial"/>
          <w:color w:val="262626"/>
          <w:sz w:val="21"/>
          <w:szCs w:val="21"/>
        </w:rPr>
        <w:t xml:space="preserve"> A customer enters min, midpoint, and max directly with provenance ManuallyEntered, and spread and overlap become derived read-only values. With Compensation the band is Designed and the half-spread is a stored, editable input.</w:t>
      </w:r>
    </w:p>
    <w:p>
      <w:pPr>
        <w:pStyle w:val="Heading2"/>
        <w:spacing w:after="140" w:before="300"/>
      </w:pPr>
      <w:r>
        <w:rPr>
          <w:rFonts w:ascii="Arial" w:cs="Arial" w:eastAsia="Arial" w:hAnsi="Arial"/>
          <w:b/>
          <w:bCs/>
          <w:color w:val="2E5496"/>
          <w:sz w:val="25"/>
          <w:szCs w:val="25"/>
        </w:rPr>
        <w:t xml:space="preserve">Band arithmetic</w:t>
      </w:r>
    </w:p>
    <w:p>
      <w:pPr>
        <w:spacing w:after="140" w:before="60" w:line="280"/>
        <w:jc w:val="both"/>
      </w:pPr>
      <w:r>
        <w:rPr>
          <w:rFonts w:ascii="Arial" w:cs="Arial" w:eastAsia="Arial" w:hAnsi="Arial"/>
          <w:color w:val="262626"/>
          <w:sz w:val="21"/>
          <w:szCs w:val="21"/>
        </w:rPr>
        <w:t xml:space="preserve">Recorded here once because both the free path and the Compensation path must produce identical numbers from identical inputs.</w:t>
      </w:r>
    </w:p>
    <w:p>
      <w:pPr>
        <w:pStyle w:val="ListParagraph"/>
        <w:numPr>
          <w:ilvl w:val="0"/>
          <w:numId w:val="1"/>
        </w:numPr>
        <w:spacing w:after="100" w:before="40" w:line="280"/>
        <w:ind w:left="431" w:hanging="259"/>
        <w:jc w:val="both"/>
      </w:pPr>
      <w:r>
        <w:rPr>
          <w:rFonts w:ascii="Arial" w:cs="Arial" w:eastAsia="Arial" w:hAnsi="Arial"/>
          <w:color w:val="262626"/>
          <w:sz w:val="21"/>
          <w:szCs w:val="21"/>
        </w:rPr>
        <w:t xml:space="preserve">Midpoint is the arithmetic mean of min and max.</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Spread = (max ÷ min) − 1.</w:t>
      </w:r>
      <w:r>
        <w:rPr>
          <w:rFonts w:ascii="Arial" w:cs="Arial" w:eastAsia="Arial" w:hAnsi="Arial"/>
          <w:color w:val="262626"/>
          <w:sz w:val="21"/>
          <w:szCs w:val="21"/>
        </w:rPr>
        <w:t xml:space="preserve"> The default ±25% around the midpoint gives a ~67% spread. The half-spread is stored per band and editable, because real structures widen toward senior grades.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Overlap = midpoint progression = (midpoint ÷ previous midpoint) − 1,</w:t>
      </w:r>
      <w:r>
        <w:rPr>
          <w:rFonts w:ascii="Arial" w:cs="Arial" w:eastAsia="Arial" w:hAnsi="Arial"/>
          <w:color w:val="262626"/>
          <w:sz w:val="21"/>
          <w:szCs w:val="21"/>
        </w:rPr>
        <w:t xml:space="preserve"> defaulting to 25%. Because progression sits below spread, adjacent bands overlap by design rather than by accident.</w:t>
      </w:r>
    </w:p>
    <w:p>
      <w:pPr>
        <w:pStyle w:val="Heading2"/>
        <w:spacing w:after="140" w:before="300"/>
      </w:pPr>
      <w:r>
        <w:rPr>
          <w:rFonts w:ascii="Arial" w:cs="Arial" w:eastAsia="Arial" w:hAnsi="Arial"/>
          <w:b/>
          <w:bCs/>
          <w:color w:val="2E5496"/>
          <w:sz w:val="25"/>
          <w:szCs w:val="25"/>
        </w:rPr>
        <w:t xml:space="preserve">What the core does not hold</w:t>
      </w:r>
    </w:p>
    <w:p>
      <w:pPr>
        <w:spacing w:after="140" w:before="60" w:line="280"/>
        <w:jc w:val="both"/>
      </w:pPr>
      <w:r>
        <w:rPr>
          <w:rFonts w:ascii="Arial" w:cs="Arial" w:eastAsia="Arial" w:hAnsi="Arial"/>
          <w:color w:val="262626"/>
          <w:sz w:val="21"/>
          <w:szCs w:val="21"/>
        </w:rPr>
        <w:t xml:space="preserve">Market data is not core. It is bought, licensed, product-specific, and it binds to the job as its primary grain with family, level, and grade as fallbacks — it belongs to Compensation. Compa-ratio is likewise not core: its two inputs, a band and an amount, are both core, but the metric, its methodology, and the permission rules around its presentation belong to Compensation. The core supplies inputs, never indicators.</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10. The competency spine</w:t>
      </w:r>
    </w:p>
    <w:p>
      <w:pPr>
        <w:spacing w:after="140" w:before="60" w:line="280"/>
        <w:jc w:val="both"/>
      </w:pPr>
      <w:r>
        <w:rPr>
          <w:rFonts w:ascii="Arial" w:cs="Arial" w:eastAsia="Arial" w:hAnsi="Arial"/>
          <w:b/>
          <w:bCs/>
          <w:color w:val="1F3864"/>
          <w:sz w:val="21"/>
          <w:szCs w:val="21"/>
        </w:rPr>
        <w:t xml:space="preserve">Holds four parts:</w:t>
      </w:r>
      <w:r>
        <w:rPr>
          <w:rFonts w:ascii="Arial" w:cs="Arial" w:eastAsia="Arial" w:hAnsi="Arial"/>
          <w:color w:val="262626"/>
          <w:sz w:val="21"/>
          <w:szCs w:val="21"/>
        </w:rPr>
        <w:t xml:space="preserve"> the framework (the library and the uniform 1–5 scale); required profiles bound to jobs, with family-and-level templates behind them; held profiles bound to employees; and the computed gap between required and held.</w:t>
      </w:r>
    </w:p>
    <w:p>
      <w:pPr>
        <w:spacing w:after="140" w:before="60" w:line="280"/>
        <w:jc w:val="both"/>
      </w:pPr>
      <w:r>
        <w:rPr>
          <w:rFonts w:ascii="Arial" w:cs="Arial" w:eastAsia="Arial" w:hAnsi="Arial"/>
          <w:color w:val="262626"/>
          <w:sz w:val="21"/>
          <w:szCs w:val="21"/>
        </w:rPr>
        <w:t xml:space="preserve">All four are core, and the fourth is core for a different reason than the first three. Required and held profiles are declarations, so the declaration test admits them. The gap is a derivation, which would ordinarily exclude it — it is core because it is consumed by five products, and two products computing it separately would give two answers to one question.</w:t>
      </w:r>
    </w:p>
    <w:p>
      <w:pPr>
        <w:pBdr>
          <w:left w:val="single" w:color="2E5496" w:sz="18" w:space="10"/>
        </w:pBdr>
        <w:shd w:fill="F2F5FA" w:color="auto" w:val="clear"/>
        <w:spacing w:after="200" w:before="160" w:line="280"/>
        <w:ind w:left="316" w:right="215"/>
        <w:jc w:val="both"/>
      </w:pPr>
      <w:r>
        <w:rPr>
          <w:rFonts w:ascii="Arial" w:cs="Arial" w:eastAsia="Arial" w:hAnsi="Arial"/>
          <w:b/>
          <w:bCs/>
          <w:color w:val="1F3864"/>
          <w:sz w:val="21"/>
          <w:szCs w:val="21"/>
        </w:rPr>
        <w:t xml:space="preserve">Compute once.</w:t>
      </w:r>
      <w:r>
        <w:rPr>
          <w:rFonts w:ascii="Arial" w:cs="Arial" w:eastAsia="Arial" w:hAnsi="Arial"/>
          <w:color w:val="262626"/>
          <w:sz w:val="21"/>
          <w:szCs w:val="21"/>
        </w:rPr>
        <w:t xml:space="preserve"> Required minus held is calculated in the core and read by Learning, Talent Management, Talent Acquisition, Performance, and career-path qualification. A product computing it privately is a defect, not an optimization.</w:t>
      </w:r>
    </w:p>
    <w:p>
      <w:pPr>
        <w:pStyle w:val="Heading2"/>
        <w:spacing w:after="140" w:before="300"/>
      </w:pPr>
      <w:r>
        <w:rPr>
          <w:rFonts w:ascii="Arial" w:cs="Arial" w:eastAsia="Arial" w:hAnsi="Arial"/>
          <w:b/>
          <w:bCs/>
          <w:color w:val="2E5496"/>
          <w:sz w:val="25"/>
          <w:szCs w:val="25"/>
        </w:rPr>
        <w:t xml:space="preserve">Rules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1–5 scale is uniform across every competency</w:t>
      </w:r>
      <w:r>
        <w:rPr>
          <w:rFonts w:ascii="Arial" w:cs="Arial" w:eastAsia="Arial" w:hAnsi="Arial"/>
          <w:color w:val="262626"/>
          <w:sz w:val="21"/>
          <w:szCs w:val="21"/>
        </w:rPr>
        <w:t xml:space="preserve"> — a platform rule, not a tenant default and not a configuration option. Per-competency scales make gap arithmetic incomparable and destroy the compute-once property that is the spine's entire justification.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Required profiles bind to the job; templates bind to the family-and-level cell.</w:t>
      </w:r>
      <w:r>
        <w:rPr>
          <w:rFonts w:ascii="Arial" w:cs="Arial" w:eastAsia="Arial" w:hAnsi="Arial"/>
          <w:color w:val="262626"/>
          <w:sz w:val="21"/>
          <w:szCs w:val="21"/>
        </w:rPr>
        <w:t xml:space="preserve"> Jobs inherit their cell template and may override individual competencies. The template grain is the grading grid coordinate, so templates and the grid share one coordinate system rather than running as parallel schemes.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level-only fallback template applies while a job has no family.</w:t>
      </w:r>
      <w:r>
        <w:rPr>
          <w:rFonts w:ascii="Arial" w:cs="Arial" w:eastAsia="Arial" w:hAnsi="Arial"/>
          <w:color w:val="262626"/>
          <w:sz w:val="21"/>
          <w:szCs w:val="21"/>
        </w:rPr>
        <w:t xml:space="preserve"> Families are nullable by design and a new customer may have none defined, so without the fallback no template would match any job at launch.</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Held profiles accept writes from several sources, resolved by precedence rather than recency.</w:t>
      </w:r>
      <w:r>
        <w:rPr>
          <w:rFonts w:ascii="Arial" w:cs="Arial" w:eastAsia="Arial" w:hAnsi="Arial"/>
          <w:color w:val="262626"/>
          <w:sz w:val="21"/>
          <w:szCs w:val="21"/>
        </w:rPr>
        <w:t xml:space="preserve"> Assessment outranks a performance cycle, which outranks a self-declared level. Recency breaks ties only within a single source. Pure most-recent-wins would let a lenient appraisal overwrite a rigorous assessment.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Consumers set their own provenance bar.</w:t>
      </w:r>
      <w:r>
        <w:rPr>
          <w:rFonts w:ascii="Arial" w:cs="Arial" w:eastAsia="Arial" w:hAnsi="Arial"/>
          <w:color w:val="262626"/>
          <w:sz w:val="21"/>
          <w:szCs w:val="21"/>
        </w:rPr>
        <w:t xml:space="preserve"> Learning recommendations accept any source; a gating placement decision requires Assessment. The core stores provenance and enforces precedence, and does not decide what any consumer should accept.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seeded set is small on purpose</w:t>
      </w:r>
      <w:r>
        <w:rPr>
          <w:rFonts w:ascii="Arial" w:cs="Arial" w:eastAsia="Arial" w:hAnsi="Arial"/>
          <w:color w:val="262626"/>
          <w:sz w:val="21"/>
          <w:szCs w:val="21"/>
        </w:rPr>
        <w:t xml:space="preserve"> — five to eight universal behavioural competencies, bilingual, fully editable and deletable, shipped in the provisioning path as a versioned data file with the seed version recorded per tenant. A forty-competency seed gets accepted unchanged and produces gaps that look complete and mean nothing.</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Certifications are live, not dormant.</w:t>
      </w:r>
      <w:r>
        <w:rPr>
          <w:rFonts w:ascii="Arial" w:cs="Arial" w:eastAsia="Arial" w:hAnsi="Arial"/>
          <w:color w:val="262626"/>
          <w:sz w:val="21"/>
          <w:szCs w:val="21"/>
        </w:rPr>
        <w:t xml:space="preserve"> Nothing is mandatory organization-wide, but specific jobs require specific certifications, and a certification can write a held level with provenance CertificationDerived.</w:t>
      </w:r>
    </w:p>
    <w:p>
      <w:pPr>
        <w:pStyle w:val="Heading2"/>
        <w:spacing w:after="140" w:before="300"/>
      </w:pPr>
      <w:r>
        <w:rPr>
          <w:rFonts w:ascii="Arial" w:cs="Arial" w:eastAsia="Arial" w:hAnsi="Arial"/>
          <w:b/>
          <w:bCs/>
          <w:color w:val="2E5496"/>
          <w:sz w:val="25"/>
          <w:szCs w:val="25"/>
        </w:rPr>
        <w:t xml:space="preserve">Framework versions are recorded, not pinned</w:t>
      </w:r>
    </w:p>
    <w:p>
      <w:pPr>
        <w:spacing w:after="140" w:before="60" w:line="280"/>
        <w:jc w:val="both"/>
      </w:pPr>
      <w:r>
        <w:rPr>
          <w:rFonts w:ascii="Arial" w:cs="Arial" w:eastAsia="Arial" w:hAnsi="Arial"/>
          <w:color w:val="262626"/>
          <w:sz w:val="21"/>
          <w:szCs w:val="21"/>
        </w:rPr>
        <w:t xml:space="preserve">An evaluation pins a methodology version and resolves against it forever, because an evaluation is a historical event that must stay defensible years later. A required profile is not: it is a live declaration of what a job needs today, and it resolves against the current framework. Pinning profiles would scatter the estate across framework versions and destroy the comparability that makes one shared gap worth computing at all.</w:t>
      </w:r>
    </w:p>
    <w:p>
      <w:pPr>
        <w:spacing w:after="140" w:before="60" w:line="280"/>
        <w:jc w:val="both"/>
      </w:pPr>
      <w:r>
        <w:rPr>
          <w:rFonts w:ascii="Arial" w:cs="Arial" w:eastAsia="Arial" w:hAnsi="Arial"/>
          <w:color w:val="262626"/>
          <w:sz w:val="21"/>
          <w:szCs w:val="21"/>
        </w:rPr>
        <w:t xml:space="preserve">The version a profile was authored against is nonetheless recorded, as information rather than as a resolution rule. It answers which profiles predate a rewording, and it cannot be recovered later if it was never stored. The corollary is a content discipline rather than a system rule: a revision that clarifies a descriptor is a new version, and a revision that raises what a level demands is a new competency.</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11. Identity and access</w:t>
      </w:r>
    </w:p>
    <w:p>
      <w:pPr>
        <w:spacing w:after="140" w:before="60" w:line="280"/>
        <w:jc w:val="both"/>
      </w:pPr>
      <w:r>
        <w:rPr>
          <w:rFonts w:ascii="Arial" w:cs="Arial" w:eastAsia="Arial" w:hAnsi="Arial"/>
          <w:b/>
          <w:bCs/>
          <w:color w:val="1F3864"/>
          <w:sz w:val="21"/>
          <w:szCs w:val="21"/>
        </w:rPr>
        <w:t xml:space="preserve">Holds:</w:t>
      </w:r>
      <w:r>
        <w:rPr>
          <w:rFonts w:ascii="Arial" w:cs="Arial" w:eastAsia="Arial" w:hAnsi="Arial"/>
          <w:color w:val="262626"/>
          <w:sz w:val="21"/>
          <w:szCs w:val="21"/>
        </w:rPr>
        <w:t xml:space="preserve"> organization user accounts; roles and the permissions granted to them; the assignment of accounts to roles.</w:t>
      </w:r>
    </w:p>
    <w:p>
      <w:pPr>
        <w:spacing w:after="140" w:before="60" w:line="280"/>
        <w:jc w:val="both"/>
      </w:pPr>
      <w:r>
        <w:rPr>
          <w:rFonts w:ascii="Arial" w:cs="Arial" w:eastAsia="Arial" w:hAnsi="Arial"/>
          <w:color w:val="262626"/>
          <w:sz w:val="21"/>
          <w:szCs w:val="21"/>
        </w:rPr>
        <w:t xml:space="preserve">Two identity systems exist in the platform and they are deliberately unlinked. Platform identity lives in the control plane and answers who may reach a tenant at all — our own staff, consultants, and the client owner who registered the organization. Organization identity lives here and answers who may do what inside one organization. The same human may hold one of each; nothing joins them, and nothing needs to.</w:t>
      </w:r>
    </w:p>
    <w:p>
      <w:pPr>
        <w:pStyle w:val="Heading2"/>
        <w:spacing w:after="140" w:before="300"/>
      </w:pPr>
      <w:r>
        <w:rPr>
          <w:rFonts w:ascii="Arial" w:cs="Arial" w:eastAsia="Arial" w:hAnsi="Arial"/>
          <w:b/>
          <w:bCs/>
          <w:color w:val="2E5496"/>
          <w:sz w:val="25"/>
          <w:szCs w:val="25"/>
        </w:rPr>
        <w:t xml:space="preserve">Accounts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An account is not an employee.</w:t>
      </w:r>
      <w:r>
        <w:rPr>
          <w:rFonts w:ascii="Arial" w:cs="Arial" w:eastAsia="Arial" w:hAnsi="Arial"/>
          <w:color w:val="262626"/>
          <w:sz w:val="21"/>
          <w:szCs w:val="21"/>
        </w:rPr>
        <w:t xml:space="preserve"> Accounts are tenant data, held separately from the roster, and may optionally point at an Employee. Not every employee has an account — most of a large workforce will never log in — and not every account is an employee, because a consultant or an administrator may hold one without appearing anywhere on the payroll.</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account carries its own email.</w:t>
      </w:r>
      <w:r>
        <w:rPr>
          <w:rFonts w:ascii="Arial" w:cs="Arial" w:eastAsia="Arial" w:hAnsi="Arial"/>
          <w:color w:val="262626"/>
          <w:sz w:val="21"/>
          <w:szCs w:val="21"/>
        </w:rPr>
        <w:t xml:space="preserve"> The roster holds no contact details by design, so an account’s email is account data and not a roster field. Neither reads the other.</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actor is always the account.</w:t>
      </w:r>
      <w:r>
        <w:rPr>
          <w:rFonts w:ascii="Arial" w:cs="Arial" w:eastAsia="Arial" w:hAnsi="Arial"/>
          <w:color w:val="262626"/>
          <w:sz w:val="21"/>
          <w:szCs w:val="21"/>
        </w:rPr>
        <w:t xml:space="preserve"> Anything recording who did something names the account. Where the account points at an employee, that employee is context resolved from it and never the actor itself. A rule that resolved every action to an employee would fail for precisely the actors that matter most early 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separated employee’s account is closed.</w:t>
      </w:r>
      <w:r>
        <w:rPr>
          <w:rFonts w:ascii="Arial" w:cs="Arial" w:eastAsia="Arial" w:hAnsi="Arial"/>
          <w:color w:val="262626"/>
          <w:sz w:val="21"/>
          <w:szCs w:val="21"/>
        </w:rPr>
        <w:t xml:space="preserve"> The employee record is retained under the closure rule of Section 3.4 and the account stops working. These are two events on two records, and neither cascades into the other.</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Consultant access is an account the customer creates,</w:t>
      </w:r>
      <w:r>
        <w:rPr>
          <w:rFonts w:ascii="Arial" w:cs="Arial" w:eastAsia="Arial" w:hAnsi="Arial"/>
          <w:color w:val="262626"/>
          <w:sz w:val="21"/>
          <w:szCs w:val="21"/>
        </w:rPr>
        <w:t xml:space="preserve"> one per named consultant and never shared, disabled by the customer when the engagement ends. One per person because the account that evaluated a job is recorded on the evaluation; a shared login would make that traceability decorative.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Credentials may be verified externally.</w:t>
      </w:r>
      <w:r>
        <w:rPr>
          <w:rFonts w:ascii="Arial" w:cs="Arial" w:eastAsia="Arial" w:hAnsi="Arial"/>
          <w:color w:val="262626"/>
          <w:sz w:val="21"/>
          <w:szCs w:val="21"/>
        </w:rPr>
        <w:t xml:space="preserve"> An account may authenticate against the organization’s own directory through a named adapter, in which case the account holds a directory identifier and the credential lives there. The account, its roles, and its audit identity are unchanged. Authorization is never delegated: the directory says who someone is, the tenant says what they may do.</w:t>
      </w:r>
    </w:p>
    <w:p>
      <w:pPr>
        <w:pStyle w:val="Heading2"/>
        <w:spacing w:after="140" w:before="300"/>
      </w:pPr>
      <w:r>
        <w:rPr>
          <w:rFonts w:ascii="Arial" w:cs="Arial" w:eastAsia="Arial" w:hAnsi="Arial"/>
          <w:b/>
          <w:bCs/>
          <w:color w:val="2E5496"/>
          <w:sz w:val="25"/>
          <w:szCs w:val="25"/>
        </w:rPr>
        <w:t xml:space="preserve">Roles and permissions</w:t>
      </w:r>
    </w:p>
    <w:p>
      <w:pPr>
        <w:spacing w:after="140" w:before="60" w:line="280"/>
        <w:jc w:val="both"/>
      </w:pPr>
      <w:r>
        <w:rPr>
          <w:rFonts w:ascii="Arial" w:cs="Arial" w:eastAsia="Arial" w:hAnsi="Arial"/>
          <w:color w:val="262626"/>
          <w:sz w:val="21"/>
          <w:szCs w:val="21"/>
        </w:rPr>
        <w:t xml:space="preserve">Every product enforces access through one permission model, and the core is where it lives. It passes the portfolio test plainly: every product needs it, none can own it, and two products carrying separate models would give two answers to one question about who may look at a salary.</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Permissions are granted to roles, and roles are configured by the customer.</w:t>
      </w:r>
      <w:r>
        <w:rPr>
          <w:rFonts w:ascii="Arial" w:cs="Arial" w:eastAsia="Arial" w:hAnsi="Arial"/>
          <w:color w:val="262626"/>
          <w:sz w:val="21"/>
          <w:szCs w:val="21"/>
        </w:rPr>
        <w:t xml:space="preserve"> A tenant administrator defines roles and grants permissions to them in settings, so an organization that calls its HR function something else, or splits it across two roles, is representable without a code change.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Admin role is seeded and system-owned.</w:t>
      </w:r>
      <w:r>
        <w:rPr>
          <w:rFonts w:ascii="Arial" w:cs="Arial" w:eastAsia="Arial" w:hAnsi="Arial"/>
          <w:color w:val="262626"/>
          <w:sz w:val="21"/>
          <w:szCs w:val="21"/>
        </w:rPr>
        <w:t xml:space="preserve"> It exists from provisioning with the full tenant permission set. Its permission set cannot be edited and the role cannot be deleted, because a tenant able to strip its own last administrator is unrecoverable without database surgery. Its display label is editable, so the naming freedom above still holds.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control plane says who may reach a tenant; the tenant database says what they may do inside it.</w:t>
      </w:r>
      <w:r>
        <w:rPr>
          <w:rFonts w:ascii="Arial" w:cs="Arial" w:eastAsia="Arial" w:hAnsi="Arial"/>
          <w:color w:val="262626"/>
          <w:sz w:val="21"/>
          <w:szCs w:val="21"/>
        </w:rPr>
        <w:t xml:space="preserve"> Access grants for platform users are a control-plane concern and stay there. Roles and their permissions are per-organization configuration and are tenant data. Neither side duplicates the other.</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The sensitive class of Section 3.5 is enforced here,</w:t>
      </w:r>
      <w:r>
        <w:rPr>
          <w:rFonts w:ascii="Arial" w:cs="Arial" w:eastAsia="Arial" w:hAnsi="Arial"/>
          <w:color w:val="262626"/>
          <w:sz w:val="21"/>
          <w:szCs w:val="21"/>
        </w:rPr>
        <w:t xml:space="preserve"> not by convention and not separately per product. Pay amounts, compa-ratio, held profiles, assessment results, and burnout signals are gated together, so a role that can see one has been deliberately granted the rest rather than acquiring them by accident.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A product may narrow, never widen.</w:t>
      </w:r>
      <w:r>
        <w:rPr>
          <w:rFonts w:ascii="Arial" w:cs="Arial" w:eastAsia="Arial" w:hAnsi="Arial"/>
          <w:color w:val="262626"/>
          <w:sz w:val="21"/>
          <w:szCs w:val="21"/>
        </w:rPr>
        <w:t xml:space="preserve"> A product can require more than the tenant’s model grants for a particular view, but no product may expose a record the model would have withheld.</w:t>
      </w:r>
    </w:p>
    <w:p>
      <w:pPr>
        <w:pStyle w:val="Heading2"/>
        <w:spacing w:after="140" w:before="300"/>
      </w:pPr>
      <w:r>
        <w:rPr>
          <w:rFonts w:ascii="Arial" w:cs="Arial" w:eastAsia="Arial" w:hAnsi="Arial"/>
          <w:b/>
          <w:bCs/>
          <w:color w:val="2E5496"/>
          <w:sz w:val="25"/>
          <w:szCs w:val="25"/>
        </w:rPr>
        <w:t xml:space="preserve">What sits on the other side of the boundary</w:t>
      </w:r>
    </w:p>
    <w:p>
      <w:pPr>
        <w:spacing w:after="140" w:before="60" w:line="280"/>
        <w:jc w:val="both"/>
      </w:pPr>
      <w:r>
        <w:rPr>
          <w:rFonts w:ascii="Arial" w:cs="Arial" w:eastAsia="Arial" w:hAnsi="Arial"/>
          <w:color w:val="262626"/>
          <w:sz w:val="21"/>
          <w:szCs w:val="21"/>
        </w:rPr>
        <w:t xml:space="preserve">Registration, approval, provisioning, and the tenant access grants held by platform users are control-plane concerns and are specified separately. One of them touches this section: the organization code used to route a login to the right tenant database is control-plane-owned and is not one of the customer-facing codes of Section 3.3, because a routing key cannot be freely renamed the way a display label can.</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12. The contract surface</w:t>
      </w:r>
    </w:p>
    <w:p>
      <w:pPr>
        <w:spacing w:after="140" w:before="60" w:line="280"/>
        <w:jc w:val="both"/>
      </w:pPr>
      <w:r>
        <w:rPr>
          <w:rFonts w:ascii="Arial" w:cs="Arial" w:eastAsia="Arial" w:hAnsi="Arial"/>
          <w:color w:val="262626"/>
          <w:sz w:val="21"/>
          <w:szCs w:val="21"/>
        </w:rPr>
        <w:t xml:space="preserve">What products may assume, what they may write, and what the core tells them. This section is the part of the document a product scope references directly.</w:t>
      </w:r>
    </w:p>
    <w:p>
      <w:pPr>
        <w:pStyle w:val="Heading2"/>
        <w:spacing w:after="140" w:before="300"/>
      </w:pPr>
      <w:r>
        <w:rPr>
          <w:rFonts w:ascii="Arial" w:cs="Arial" w:eastAsia="Arial" w:hAnsi="Arial"/>
          <w:b/>
          <w:bCs/>
          <w:color w:val="2E5496"/>
          <w:sz w:val="25"/>
          <w:szCs w:val="25"/>
        </w:rPr>
        <w:t xml:space="preserve">12.1  Read contract</w:t>
      </w:r>
    </w:p>
    <w:p>
      <w:pPr>
        <w:spacing w:after="140" w:before="60" w:line="280"/>
        <w:jc w:val="both"/>
      </w:pPr>
      <w:r>
        <w:rPr>
          <w:rFonts w:ascii="Arial" w:cs="Arial" w:eastAsia="Arial" w:hAnsi="Arial"/>
          <w:color w:val="262626"/>
          <w:sz w:val="21"/>
          <w:szCs w:val="21"/>
        </w:rPr>
        <w:t xml:space="preserve">Every product may read every core area, subject to the tenant's permission model. There is no per-product read partition, and building one would break the compute-once property that justifies the spine and the shared roster. Reads are never gated on entitlement: core data is always available because the customer entered it.</w:t>
      </w:r>
    </w:p>
    <w:p>
      <w:pPr>
        <w:pStyle w:val="Heading2"/>
        <w:spacing w:after="140" w:before="300"/>
      </w:pPr>
      <w:r>
        <w:rPr>
          <w:rFonts w:ascii="Arial" w:cs="Arial" w:eastAsia="Arial" w:hAnsi="Arial"/>
          <w:b/>
          <w:bCs/>
          <w:color w:val="2E5496"/>
          <w:sz w:val="25"/>
          <w:szCs w:val="25"/>
        </w:rPr>
        <w:t xml:space="preserve">12.2  Write contract</w:t>
      </w:r>
    </w:p>
    <w:p>
      <w:pPr>
        <w:spacing w:after="140" w:before="60" w:line="280"/>
        <w:jc w:val="both"/>
      </w:pPr>
      <w:r>
        <w:rPr>
          <w:rFonts w:ascii="Arial" w:cs="Arial" w:eastAsia="Arial" w:hAnsi="Arial"/>
          <w:color w:val="262626"/>
          <w:sz w:val="21"/>
          <w:szCs w:val="21"/>
        </w:rPr>
        <w:t xml:space="preserve">Writes are restricted, and each write carries the writing product’s own provenance value where the record has one. Core UI below means direct entry through the free foundation itself — a person typing or importing a fact the organization already knows — as distinct from a product writing a value it derived. It is always available, in every tenant, whatever was bought.</w:t>
      </w:r>
    </w:p>
    <w:tbl>
      <w:tblPr>
        <w:tblW w:type="dxa" w:w="9638"/>
        <w:tblBorders>
          <w:top w:val="single" w:color="BFC9DA" w:sz="4"/>
          <w:left w:val="single" w:color="BFC9DA" w:sz="4"/>
          <w:bottom w:val="single" w:color="BFC9DA" w:sz="4"/>
          <w:right w:val="single" w:color="BFC9DA" w:sz="4"/>
          <w:insideH w:val="single" w:color="BFC9DA" w:sz="3"/>
          <w:insideV w:val="single" w:color="BFC9DA" w:sz="3"/>
        </w:tblBorders>
      </w:tblPr>
      <w:tblGrid>
        <w:gridCol w:w="3181"/>
        <w:gridCol w:w="3181"/>
        <w:gridCol w:w="3276"/>
      </w:tblGrid>
      <w:tr>
        <w:trPr>
          <w:tblHeader/>
        </w:trPr>
        <w:tc>
          <w:tcPr>
            <w:tcW w:type="dxa" w:w="3181"/>
            <w:shd w:fill="1F3864" w:color="auto" w:val="clear"/>
            <w:tcMar>
              <w:top w:type="dxa" w:w="60"/>
              <w:left w:type="dxa" w:w="100"/>
              <w:bottom w:type="dxa" w:w="60"/>
              <w:right w:type="dxa" w:w="100"/>
            </w:tcMar>
          </w:tcPr>
          <w:p>
            <w:pPr>
              <w:spacing w:after="50" w:before="50" w:line="250"/>
              <w:jc w:val="left"/>
            </w:pPr>
            <w:r>
              <w:rPr>
                <w:rFonts w:ascii="Arial" w:cs="Arial" w:eastAsia="Arial" w:hAnsi="Arial"/>
                <w:color w:val="FFFFFF"/>
                <w:sz w:val="19"/>
                <w:szCs w:val="19"/>
              </w:rPr>
              <w:t xml:space="preserve">Core area</w:t>
            </w:r>
          </w:p>
        </w:tc>
        <w:tc>
          <w:tcPr>
            <w:tcW w:type="dxa" w:w="3181"/>
            <w:shd w:fill="1F3864" w:color="auto" w:val="clear"/>
            <w:tcMar>
              <w:top w:type="dxa" w:w="60"/>
              <w:left w:type="dxa" w:w="100"/>
              <w:bottom w:type="dxa" w:w="60"/>
              <w:right w:type="dxa" w:w="100"/>
            </w:tcMar>
          </w:tcPr>
          <w:p>
            <w:pPr>
              <w:spacing w:after="50" w:before="50" w:line="250"/>
              <w:jc w:val="left"/>
            </w:pPr>
            <w:r>
              <w:rPr>
                <w:rFonts w:ascii="Arial" w:cs="Arial" w:eastAsia="Arial" w:hAnsi="Arial"/>
                <w:color w:val="FFFFFF"/>
                <w:sz w:val="19"/>
                <w:szCs w:val="19"/>
              </w:rPr>
              <w:t xml:space="preserve">May be written by</w:t>
            </w:r>
          </w:p>
        </w:tc>
        <w:tc>
          <w:tcPr>
            <w:tcW w:type="dxa" w:w="3276"/>
            <w:shd w:fill="1F3864" w:color="auto" w:val="clear"/>
            <w:tcMar>
              <w:top w:type="dxa" w:w="60"/>
              <w:left w:type="dxa" w:w="100"/>
              <w:bottom w:type="dxa" w:w="60"/>
              <w:right w:type="dxa" w:w="100"/>
            </w:tcMar>
          </w:tcPr>
          <w:p>
            <w:pPr>
              <w:spacing w:after="50" w:before="50" w:line="250"/>
              <w:jc w:val="left"/>
            </w:pPr>
            <w:r>
              <w:rPr>
                <w:rFonts w:ascii="Arial" w:cs="Arial" w:eastAsia="Arial" w:hAnsi="Arial"/>
                <w:color w:val="FFFFFF"/>
                <w:sz w:val="19"/>
                <w:szCs w:val="19"/>
              </w:rPr>
              <w:t xml:space="preserve">Provenance written</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Organization</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Structure — units, jobs, levels, families, locations</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Ladder — grade list</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Ladder — job-to-grade assignment</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 · Job Evaluation</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ManuallyAssigned · Evaluated</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Establishment — positions (job, unit), occupancy</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 · Personnel</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Roster — identity, status</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 · Personnel · HRIS adapter</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Roster — position assignment, primary location</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 · Personnel</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Pay — element catalogue</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Pay — per-employee amounts</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 · Personnel · Compensation · Payroll · adapter</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Manual · Contract · Policy · PayrollRun · Import</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Pay — salary bands</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 · Compensation</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ManuallyEntered · Designed</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Competency — framework</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Provisioning · control-plane grant · 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Seeded · Granted · TenantAuthored</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Competency — required profiles and templates</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Competency — held profiles</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Assessment · Performance · Core UI · certification</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Assessed · PerformanceCycle · SelfDeclared · CertificationDerived</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Competency — gap</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computed</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Identity — accounts, role assignment</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r>
        <w:trPr>
          <w:tblHeader w:val="false"/>
        </w:trPr>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Identity — roles and permissions</w:t>
            </w:r>
          </w:p>
        </w:tc>
        <w:tc>
          <w:tcPr>
            <w:tcW w:type="dxa" w:w="3181"/>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Core UI</w:t>
            </w:r>
          </w:p>
        </w:tc>
        <w:tc>
          <w:tcPr>
            <w:tcW w:type="dxa" w:w="327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w:t>
            </w:r>
          </w:p>
        </w:tc>
      </w:tr>
    </w:tbl>
    <w:p>
      <w:pPr>
        <w:pStyle w:val="Heading2"/>
        <w:spacing w:after="140" w:before="300"/>
      </w:pPr>
      <w:r>
        <w:rPr>
          <w:rFonts w:ascii="Arial" w:cs="Arial" w:eastAsia="Arial" w:hAnsi="Arial"/>
          <w:b/>
          <w:bCs/>
          <w:color w:val="2E5496"/>
          <w:sz w:val="25"/>
          <w:szCs w:val="25"/>
        </w:rPr>
        <w:t xml:space="preserve">12.3  Events the core publishes</w:t>
      </w:r>
    </w:p>
    <w:p>
      <w:pPr>
        <w:spacing w:after="140" w:before="60" w:line="280"/>
        <w:jc w:val="both"/>
      </w:pPr>
      <w:r>
        <w:rPr>
          <w:rFonts w:ascii="Arial" w:cs="Arial" w:eastAsia="Arial" w:hAnsi="Arial"/>
          <w:b/>
          <w:bCs/>
          <w:color w:val="1F3864"/>
          <w:sz w:val="21"/>
          <w:szCs w:val="21"/>
        </w:rPr>
        <w:t xml:space="preserve">The core publishes and never subscribes to a product.</w:t>
      </w:r>
      <w:r>
        <w:rPr>
          <w:rFonts w:ascii="Arial" w:cs="Arial" w:eastAsia="Arial" w:hAnsi="Arial"/>
          <w:color w:val="262626"/>
          <w:sz w:val="21"/>
          <w:szCs w:val="21"/>
        </w:rPr>
        <w:t xml:space="preserve"> A one-way edge keeps the core independent of what the tenant bought, and means an uninstalled product simply has no subscriber.</w:t>
      </w:r>
    </w:p>
    <w:tbl>
      <w:tblPr>
        <w:tblW w:type="dxa" w:w="9638"/>
        <w:tblBorders>
          <w:top w:val="single" w:color="BFC9DA" w:sz="4"/>
          <w:left w:val="single" w:color="BFC9DA" w:sz="4"/>
          <w:bottom w:val="single" w:color="BFC9DA" w:sz="4"/>
          <w:right w:val="single" w:color="BFC9DA" w:sz="4"/>
          <w:insideH w:val="single" w:color="BFC9DA" w:sz="3"/>
          <w:insideV w:val="single" w:color="BFC9DA" w:sz="3"/>
        </w:tblBorders>
      </w:tblPr>
      <w:tblGrid>
        <w:gridCol w:w="2506"/>
        <w:gridCol w:w="7132"/>
      </w:tblGrid>
      <w:tr>
        <w:trPr>
          <w:tblHeader/>
        </w:trPr>
        <w:tc>
          <w:tcPr>
            <w:tcW w:type="dxa" w:w="2506"/>
            <w:shd w:fill="1F3864" w:color="auto" w:val="clear"/>
            <w:tcMar>
              <w:top w:type="dxa" w:w="60"/>
              <w:left w:type="dxa" w:w="100"/>
              <w:bottom w:type="dxa" w:w="60"/>
              <w:right w:type="dxa" w:w="100"/>
            </w:tcMar>
          </w:tcPr>
          <w:p>
            <w:pPr>
              <w:spacing w:after="50" w:before="50" w:line="250"/>
              <w:jc w:val="left"/>
            </w:pPr>
            <w:r>
              <w:rPr>
                <w:rFonts w:ascii="Arial" w:cs="Arial" w:eastAsia="Arial" w:hAnsi="Arial"/>
                <w:color w:val="FFFFFF"/>
                <w:sz w:val="19"/>
                <w:szCs w:val="19"/>
              </w:rPr>
              <w:t xml:space="preserve">Area</w:t>
            </w:r>
          </w:p>
        </w:tc>
        <w:tc>
          <w:tcPr>
            <w:tcW w:type="dxa" w:w="7132"/>
            <w:shd w:fill="1F3864" w:color="auto" w:val="clear"/>
            <w:tcMar>
              <w:top w:type="dxa" w:w="60"/>
              <w:left w:type="dxa" w:w="100"/>
              <w:bottom w:type="dxa" w:w="60"/>
              <w:right w:type="dxa" w:w="100"/>
            </w:tcMar>
          </w:tcPr>
          <w:p>
            <w:pPr>
              <w:spacing w:after="50" w:before="50" w:line="250"/>
              <w:jc w:val="left"/>
            </w:pPr>
            <w:r>
              <w:rPr>
                <w:rFonts w:ascii="Arial" w:cs="Arial" w:eastAsia="Arial" w:hAnsi="Arial"/>
                <w:color w:val="FFFFFF"/>
                <w:sz w:val="19"/>
                <w:szCs w:val="19"/>
              </w:rPr>
              <w:t xml:space="preserve">Events</w:t>
            </w:r>
          </w:p>
        </w:tc>
      </w:tr>
      <w:tr>
        <w:trPr>
          <w:tblHeader w:val="false"/>
        </w:trPr>
        <w:tc>
          <w:tcPr>
            <w:tcW w:type="dxa" w:w="250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Structure</w:t>
            </w:r>
          </w:p>
        </w:tc>
        <w:tc>
          <w:tcPr>
            <w:tcW w:type="dxa" w:w="7132"/>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OrgUnitClosed · JobCreated · JobFamilyChanged</w:t>
            </w:r>
          </w:p>
        </w:tc>
      </w:tr>
      <w:tr>
        <w:trPr>
          <w:tblHeader w:val="false"/>
        </w:trPr>
        <w:tc>
          <w:tcPr>
            <w:tcW w:type="dxa" w:w="250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Ladder</w:t>
            </w:r>
          </w:p>
        </w:tc>
        <w:tc>
          <w:tcPr>
            <w:tcW w:type="dxa" w:w="7132"/>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GradeCreated · JobGradeAssigned</w:t>
            </w:r>
          </w:p>
        </w:tc>
      </w:tr>
      <w:tr>
        <w:trPr>
          <w:tblHeader w:val="false"/>
        </w:trPr>
        <w:tc>
          <w:tcPr>
            <w:tcW w:type="dxa" w:w="250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Establishment</w:t>
            </w:r>
          </w:p>
        </w:tc>
        <w:tc>
          <w:tcPr>
            <w:tcW w:type="dxa" w:w="7132"/>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PositionApproved · PositionOccupied · PositionVacated</w:t>
            </w:r>
          </w:p>
        </w:tc>
      </w:tr>
      <w:tr>
        <w:trPr>
          <w:tblHeader w:val="false"/>
        </w:trPr>
        <w:tc>
          <w:tcPr>
            <w:tcW w:type="dxa" w:w="250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Roster</w:t>
            </w:r>
          </w:p>
        </w:tc>
        <w:tc>
          <w:tcPr>
            <w:tcW w:type="dxa" w:w="7132"/>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EmployeeHired · EmployeeAssignmentChanged · EmployeeSeparated</w:t>
            </w:r>
          </w:p>
        </w:tc>
      </w:tr>
      <w:tr>
        <w:trPr>
          <w:tblHeader w:val="false"/>
        </w:trPr>
        <w:tc>
          <w:tcPr>
            <w:tcW w:type="dxa" w:w="250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Pay</w:t>
            </w:r>
          </w:p>
        </w:tc>
        <w:tc>
          <w:tcPr>
            <w:tcW w:type="dxa" w:w="7132"/>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PayElementAmountChanged · BandPublished</w:t>
            </w:r>
          </w:p>
        </w:tc>
      </w:tr>
      <w:tr>
        <w:trPr>
          <w:tblHeader w:val="false"/>
        </w:trPr>
        <w:tc>
          <w:tcPr>
            <w:tcW w:type="dxa" w:w="2506"/>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Competency</w:t>
            </w:r>
          </w:p>
        </w:tc>
        <w:tc>
          <w:tcPr>
            <w:tcW w:type="dxa" w:w="7132"/>
            <w:shd w:fill="FFFFFF" w:color="auto" w:val="clear"/>
            <w:tcMar>
              <w:top w:type="dxa" w:w="60"/>
              <w:left w:type="dxa" w:w="100"/>
              <w:bottom w:type="dxa" w:w="60"/>
              <w:right w:type="dxa" w:w="100"/>
            </w:tcMar>
          </w:tcPr>
          <w:p>
            <w:pPr>
              <w:spacing w:after="50" w:before="50" w:line="250"/>
              <w:jc w:val="left"/>
            </w:pPr>
            <w:r>
              <w:rPr>
                <w:rFonts w:ascii="Arial" w:cs="Arial" w:eastAsia="Arial" w:hAnsi="Arial"/>
                <w:color w:val="262626"/>
                <w:sz w:val="19"/>
                <w:szCs w:val="19"/>
              </w:rPr>
              <w:t xml:space="preserve">RequiredProfileChanged · HeldProfileChanged · CompetencyGapChanged</w:t>
            </w:r>
          </w:p>
        </w:tc>
      </w:tr>
    </w:tbl>
    <w:p>
      <w:pPr>
        <w:spacing w:after="160"/>
      </w:pPr>
    </w:p>
    <w:p>
      <w:pPr>
        <w:spacing w:after="140" w:before="60" w:line="280"/>
        <w:jc w:val="both"/>
      </w:pPr>
      <w:r>
        <w:rPr>
          <w:rFonts w:ascii="Arial" w:cs="Arial" w:eastAsia="Arial" w:hAnsi="Arial"/>
          <w:b/>
          <w:bCs/>
          <w:color w:val="1F3864"/>
          <w:sz w:val="21"/>
          <w:szCs w:val="21"/>
        </w:rPr>
        <w:t xml:space="preserve">An event carries identifiers and the changed fact, never a payload a subscriber could assemble by reading the core.</w:t>
      </w:r>
      <w:r>
        <w:rPr>
          <w:rFonts w:ascii="Arial" w:cs="Arial" w:eastAsia="Arial" w:hAnsi="Arial"/>
          <w:color w:val="262626"/>
          <w:sz w:val="21"/>
          <w:szCs w:val="21"/>
        </w:rPr>
        <w:t xml:space="preserve"> Fat events drift from the records they describe, and a subscriber that trusts a stale payload is harder to debug than one that reads and finds nothing.</w:t>
      </w:r>
    </w:p>
    <w:p>
      <w:pPr>
        <w:pStyle w:val="Heading2"/>
        <w:spacing w:after="140" w:before="300"/>
      </w:pPr>
      <w:r>
        <w:rPr>
          <w:rFonts w:ascii="Arial" w:cs="Arial" w:eastAsia="Arial" w:hAnsi="Arial"/>
          <w:b/>
          <w:bCs/>
          <w:color w:val="2E5496"/>
          <w:sz w:val="25"/>
          <w:szCs w:val="25"/>
        </w:rPr>
        <w:t xml:space="preserve">12.4  Entitlement</w:t>
      </w:r>
    </w:p>
    <w:p>
      <w:pPr>
        <w:spacing w:after="140" w:before="60" w:line="280"/>
        <w:jc w:val="both"/>
      </w:pPr>
      <w:r>
        <w:rPr>
          <w:rFonts w:ascii="Arial" w:cs="Arial" w:eastAsia="Arial" w:hAnsi="Arial"/>
          <w:color w:val="262626"/>
          <w:sz w:val="21"/>
          <w:szCs w:val="21"/>
        </w:rPr>
        <w:t xml:space="preserve">A single entitlement service answers whether a tenant has product X, wired at module registration and initially returning true for everything. It is built now, before there is anything to entitle, because retrofitting it would mean auditing every endpoint. The core never consults it.</w:t>
      </w:r>
    </w:p>
    <w:p>
      <w:pPr>
        <w:pStyle w:val="Heading2"/>
        <w:spacing w:after="140" w:before="300"/>
      </w:pPr>
      <w:r>
        <w:rPr>
          <w:rFonts w:ascii="Arial" w:cs="Arial" w:eastAsia="Arial" w:hAnsi="Arial"/>
          <w:b/>
          <w:bCs/>
          <w:color w:val="2E5496"/>
          <w:sz w:val="25"/>
          <w:szCs w:val="25"/>
        </w:rPr>
        <w:t xml:space="preserve">12.5  Adapters</w:t>
      </w:r>
    </w:p>
    <w:p>
      <w:pPr>
        <w:spacing w:after="140" w:before="60" w:line="280"/>
        <w:jc w:val="both"/>
      </w:pPr>
      <w:r>
        <w:rPr>
          <w:rFonts w:ascii="Arial" w:cs="Arial" w:eastAsia="Arial" w:hAnsi="Arial"/>
          <w:color w:val="262626"/>
          <w:sz w:val="21"/>
          <w:szCs w:val="21"/>
        </w:rPr>
        <w:t xml:space="preserve">Core areas are importable through named adapter contracts rather than a generic CSV path. An adapter sits at our boundary and translates the counterpart's format into ours, so an external schema never reaches a core entity. Adapter priority follows what a customer is least likely to give up: time and attendance first, then payroll export, then HRIS employee import, then project tools.</w:t>
      </w:r>
    </w:p>
    <w:p>
      <w:pPr>
        <w:spacing w:after="140" w:before="60" w:line="280"/>
        <w:jc w:val="both"/>
      </w:pPr>
      <w:r>
        <w:rPr>
          <w:rFonts w:ascii="Arial" w:cs="Arial" w:eastAsia="Arial" w:hAnsi="Arial"/>
          <w:color w:val="262626"/>
          <w:sz w:val="21"/>
          <w:szCs w:val="21"/>
        </w:rPr>
        <w:t xml:space="preserve">The manual fallback is always present and always complete. An adapter accelerates entry; it is never the only way a fact can arrive.</w:t>
      </w:r>
    </w:p>
    <w:p>
      <w:pPr>
        <w:pStyle w:val="Heading1"/>
        <w:pageBreakBefore/>
        <w:pBdr>
          <w:bottom w:val="single" w:color="BFC9DA" w:sz="8" w:space="6"/>
        </w:pBdr>
        <w:spacing w:after="200" w:before="360"/>
      </w:pPr>
      <w:r>
        <w:rPr>
          <w:rFonts w:ascii="Arial" w:cs="Arial" w:eastAsia="Arial" w:hAnsi="Arial"/>
          <w:b/>
          <w:bCs/>
          <w:color w:val="1F3864"/>
          <w:sz w:val="32"/>
          <w:szCs w:val="32"/>
        </w:rPr>
        <w:t xml:space="preserve">13. What the core does not do</w:t>
      </w:r>
    </w:p>
    <w:p>
      <w:pPr>
        <w:spacing w:after="140" w:before="60" w:line="280"/>
        <w:jc w:val="both"/>
      </w:pPr>
      <w:r>
        <w:rPr>
          <w:rFonts w:ascii="Arial" w:cs="Arial" w:eastAsia="Arial" w:hAnsi="Arial"/>
          <w:color w:val="262626"/>
          <w:sz w:val="21"/>
          <w:szCs w:val="21"/>
        </w:rPr>
        <w:t xml:space="preserve">Stated explicitly, because the pressure on a shared foundation is always toward absorbing whatever is inconvenient elsewhere.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workflows, approvals, or requests.</w:t>
      </w:r>
      <w:r>
        <w:rPr>
          <w:rFonts w:ascii="Arial" w:cs="Arial" w:eastAsia="Arial" w:hAnsi="Arial"/>
          <w:color w:val="262626"/>
          <w:sz w:val="21"/>
          <w:szCs w:val="21"/>
        </w:rPr>
        <w:t xml:space="preserve"> The core records approved results, not the process that approved them.</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derivations.</w:t>
      </w:r>
      <w:r>
        <w:rPr>
          <w:rFonts w:ascii="Arial" w:cs="Arial" w:eastAsia="Arial" w:hAnsi="Arial"/>
          <w:color w:val="262626"/>
          <w:sz w:val="21"/>
          <w:szCs w:val="21"/>
        </w:rPr>
        <w:t xml:space="preserve"> No evaluation score, no recommended grade, no designed band, no merit percentage, no readiness rating. The single exception is the competency gap, and Section 10 gives the reason it is an exception.</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personal data beyond structural placement.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allowance policy rules and no fiscal treatment.</w:t>
      </w:r>
      <w:r>
        <w:rPr>
          <w:rFonts w:ascii="Arial" w:cs="Arial" w:eastAsia="Arial" w:hAnsi="Arial"/>
          <w:color w:val="262626"/>
          <w:sz w:val="21"/>
          <w:szCs w:val="21"/>
        </w:rPr>
        <w:t xml:space="preserve"> The core holds the element; Compensation and Payroll hold their own views of it.</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market data.</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synthesized signals.</w:t>
      </w:r>
      <w:r>
        <w:rPr>
          <w:rFonts w:ascii="Arial" w:cs="Arial" w:eastAsia="Arial" w:hAnsi="Arial"/>
          <w:color w:val="262626"/>
          <w:sz w:val="21"/>
          <w:szCs w:val="21"/>
        </w:rPr>
        <w:t xml:space="preserve"> Burnout, health indicator, utilization, and ROI are Insights'.</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Nothing above the organization.</w:t>
      </w:r>
      <w:r>
        <w:rPr>
          <w:rFonts w:ascii="Arial" w:cs="Arial" w:eastAsia="Arial" w:hAnsi="Arial"/>
          <w:color w:val="262626"/>
          <w:sz w:val="21"/>
          <w:szCs w:val="21"/>
        </w:rPr>
        <w:t xml:space="preserve"> Groups, holdings, and ministries are control-plane concerns and never appear in a tenant database.</w:t>
      </w:r>
    </w:p>
    <w:p>
      <w:pPr>
        <w:pStyle w:val="ListParagraph"/>
        <w:numPr>
          <w:ilvl w:val="0"/>
          <w:numId w:val="1"/>
        </w:numPr>
        <w:spacing w:after="100" w:before="40" w:line="280"/>
        <w:ind w:left="431" w:hanging="259"/>
        <w:jc w:val="both"/>
      </w:pPr>
      <w:r>
        <w:rPr>
          <w:rFonts w:ascii="Arial" w:cs="Arial" w:eastAsia="Arial" w:hAnsi="Arial"/>
          <w:b/>
          <w:bCs/>
          <w:color w:val="1F3864"/>
          <w:sz w:val="21"/>
          <w:szCs w:val="21"/>
        </w:rPr>
        <w:t xml:space="preserve">No product-specific extension fields.</w:t>
      </w:r>
      <w:r>
        <w:rPr>
          <w:rFonts w:ascii="Arial" w:cs="Arial" w:eastAsia="Arial" w:hAnsi="Arial"/>
          <w:color w:val="262626"/>
          <w:sz w:val="21"/>
          <w:szCs w:val="21"/>
        </w:rPr>
        <w:t xml:space="preserve"> A product needing a field it cannot justify against the four boundary tests holds that field in its own module.</w:t>
      </w:r>
    </w:p>
    <w:sectPr>
      <w:footerReference w:type="default" r:id="rId7"/>
      <w:pgSz w:w="11906" w:h="16838" w:orient="portrait"/>
      <w:pgMar w:top="1250" w:right="1134" w:bottom="1100" w:left="1134" w:header="708" w:footer="5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People Rise — Core Specification     ·     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     Working document,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Arial" w:cs="Arial" w:eastAsia="Arial" w:hAnsi="Arial"/>
        <w:b/>
        <w:bCs/>
        <w:color w:val="2E5496"/>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b165c38455031c5cc243748d7e783c9f52a5d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Rise — Core Specification</dc:title>
  <dc:creator>Mahmoud Rayan</dc:creator>
  <cp:lastModifiedBy>Un-named</cp:lastModifiedBy>
  <cp:revision>1</cp:revision>
  <dcterms:created xsi:type="dcterms:W3CDTF">2026-08-15T13:59:55.933Z</dcterms:created>
  <dcterms:modified xsi:type="dcterms:W3CDTF">2026-08-15T13:59:55.933Z</dcterms:modified>
</cp:coreProperties>
</file>

<file path=docProps/custom.xml><?xml version="1.0" encoding="utf-8"?>
<Properties xmlns="http://schemas.openxmlformats.org/officeDocument/2006/custom-properties" xmlns:vt="http://schemas.openxmlformats.org/officeDocument/2006/docPropsVTypes"/>
</file>