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rPr>
          <w:b/>
          <w:bCs/>
          <w:color w:val="1F3A5F"/>
          <w:sz w:val="60"/>
          <w:szCs w:val="60"/>
        </w:rPr>
        <w:t xml:space="preserve">Phase 1 — Detailed Design</w:t>
      </w:r>
    </w:p>
    <w:p>
      <w:pPr>
        <w:spacing w:after="120"/>
      </w:pPr>
      <w:r>
        <w:rPr>
          <w:color w:val="2E75B6"/>
          <w:sz w:val="30"/>
          <w:szCs w:val="30"/>
        </w:rPr>
        <w:t xml:space="preserve">Job &amp; Reward Design: workflows, concepts, data model</w:t>
      </w:r>
    </w:p>
    <w:p>
      <w:pPr>
        <w:pBdr>
          <w:bottom w:val="single" w:color="2E75B6" w:sz="12" w:space="4"/>
        </w:pBdr>
        <w:spacing w:after="240"/>
      </w:pPr>
    </w:p>
    <w:p>
      <w:pPr>
        <w:spacing w:after="60"/>
      </w:pPr>
      <w:r>
        <w:rPr>
          <w:i/>
          <w:iCs/>
          <w:color w:val="595959"/>
          <w:sz w:val="22"/>
          <w:szCs w:val="22"/>
        </w:rPr>
        <w:t xml:space="preserve">Companion to the Product Scope and the Build Approach</w:t>
      </w:r>
    </w:p>
    <w:p>
      <w:r>
        <w:rPr>
          <w:i/>
          <w:iCs/>
          <w:color w:val="595959"/>
          <w:sz w:val="18"/>
          <w:szCs w:val="18"/>
        </w:rPr>
        <w:t xml:space="preserve">Working document — confidential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tabs>
          <w:tab w:val="right" w:pos="9360"/>
        </w:tabs>
        <w:spacing w:after="100"/>
      </w:pPr>
      <w:r>
        <w:rPr>
          <w:sz w:val="22"/>
          <w:szCs w:val="22"/>
        </w:rPr>
        <w:t xml:space="preserve">1.  Scope — what's in and out of Phase 1</w:t>
      </w:r>
      <w:r>
        <w:rPr>
          <w:sz w:val="22"/>
          <w:szCs w:val="22"/>
        </w:rPr>
        <w:t xml:space="preserve">	3</w:t>
      </w:r>
    </w:p>
    <w:p>
      <w:pPr>
        <w:tabs>
          <w:tab w:val="right" w:pos="9360"/>
        </w:tabs>
        <w:spacing w:after="100"/>
      </w:pPr>
      <w:r>
        <w:rPr>
          <w:sz w:val="22"/>
          <w:szCs w:val="22"/>
        </w:rPr>
        <w:t xml:space="preserve">2.  Core concepts</w:t>
      </w:r>
      <w:r>
        <w:rPr>
          <w:sz w:val="22"/>
          <w:szCs w:val="22"/>
        </w:rPr>
        <w:t xml:space="preserve">	3</w:t>
      </w:r>
    </w:p>
    <w:p>
      <w:pPr>
        <w:tabs>
          <w:tab w:val="right" w:pos="9360"/>
        </w:tabs>
        <w:spacing w:after="100"/>
      </w:pPr>
      <w:r>
        <w:rPr>
          <w:sz w:val="22"/>
          <w:szCs w:val="22"/>
        </w:rPr>
        <w:t xml:space="preserve">3.  The pipeline</w:t>
      </w:r>
      <w:r>
        <w:rPr>
          <w:sz w:val="22"/>
          <w:szCs w:val="22"/>
        </w:rPr>
        <w:t xml:space="preserve">	4</w:t>
      </w:r>
    </w:p>
    <w:p>
      <w:pPr>
        <w:tabs>
          <w:tab w:val="right" w:pos="9360"/>
        </w:tabs>
        <w:spacing w:after="100"/>
      </w:pPr>
      <w:r>
        <w:rPr>
          <w:sz w:val="22"/>
          <w:szCs w:val="22"/>
        </w:rPr>
        <w:t xml:space="preserve">4.  Job Evaluation — workflow</w:t>
      </w:r>
      <w:r>
        <w:rPr>
          <w:sz w:val="22"/>
          <w:szCs w:val="22"/>
        </w:rPr>
        <w:t xml:space="preserve">	4</w:t>
      </w:r>
    </w:p>
    <w:p>
      <w:pPr>
        <w:tabs>
          <w:tab w:val="right" w:pos="9360"/>
        </w:tabs>
        <w:spacing w:after="100"/>
      </w:pPr>
      <w:r>
        <w:rPr>
          <w:sz w:val="22"/>
          <w:szCs w:val="22"/>
        </w:rPr>
        <w:t xml:space="preserve">5.  Grading Structure — workflow</w:t>
      </w:r>
      <w:r>
        <w:rPr>
          <w:sz w:val="22"/>
          <w:szCs w:val="22"/>
        </w:rPr>
        <w:t xml:space="preserve">	6</w:t>
      </w:r>
    </w:p>
    <w:p>
      <w:pPr>
        <w:tabs>
          <w:tab w:val="right" w:pos="9360"/>
        </w:tabs>
        <w:spacing w:after="100"/>
      </w:pPr>
      <w:r>
        <w:rPr>
          <w:sz w:val="22"/>
          <w:szCs w:val="22"/>
        </w:rPr>
        <w:t xml:space="preserve">6.  Salary Builder — workflow</w:t>
      </w:r>
      <w:r>
        <w:rPr>
          <w:sz w:val="22"/>
          <w:szCs w:val="22"/>
        </w:rPr>
        <w:t xml:space="preserve">	7</w:t>
      </w:r>
    </w:p>
    <w:p>
      <w:pPr>
        <w:tabs>
          <w:tab w:val="right" w:pos="9360"/>
        </w:tabs>
        <w:spacing w:after="100"/>
      </w:pPr>
      <w:r>
        <w:rPr>
          <w:sz w:val="22"/>
          <w:szCs w:val="22"/>
        </w:rPr>
        <w:t xml:space="preserve">7.  Data model</w:t>
      </w:r>
      <w:r>
        <w:rPr>
          <w:sz w:val="22"/>
          <w:szCs w:val="22"/>
        </w:rPr>
        <w:t xml:space="preserve">	8</w:t>
      </w:r>
    </w:p>
    <w:p>
      <w:pPr>
        <w:tabs>
          <w:tab w:val="right" w:pos="9360"/>
        </w:tabs>
        <w:spacing w:after="100"/>
      </w:pPr>
      <w:r>
        <w:rPr>
          <w:sz w:val="22"/>
          <w:szCs w:val="22"/>
        </w:rPr>
        <w:t xml:space="preserve">8.  Calibration back-test (the gate)</w:t>
      </w:r>
      <w:r>
        <w:rPr>
          <w:sz w:val="22"/>
          <w:szCs w:val="22"/>
        </w:rPr>
        <w:t xml:space="preserve">	9</w:t>
      </w:r>
    </w:p>
    <w:p>
      <w:pPr>
        <w:tabs>
          <w:tab w:val="right" w:pos="9360"/>
        </w:tabs>
        <w:spacing w:after="100"/>
      </w:pPr>
      <w:r>
        <w:rPr>
          <w:sz w:val="22"/>
          <w:szCs w:val="22"/>
        </w:rPr>
        <w:t xml:space="preserve">9.  El-Delta defaults &amp; open items</w:t>
      </w:r>
      <w:r>
        <w:rPr>
          <w:sz w:val="22"/>
          <w:szCs w:val="22"/>
        </w:rPr>
        <w:t xml:space="preserve">	9</w:t>
      </w:r>
    </w:p>
    <w:p>
      <w:r>
        <w:br w:type="page"/>
      </w:r>
    </w:p>
    <w:p>
      <w:pPr>
        <w:pStyle w:val="Heading1"/>
      </w:pPr>
      <w:r>
        <w:t xml:space="preserve">1. Scope — What's In and Out of Phase 1</w:t>
      </w:r>
    </w:p>
    <w:p>
      <w:pPr>
        <w:spacing w:after="140" w:line="276"/>
      </w:pPr>
      <w:r>
        <w:t xml:space="preserve">Phase 1 is the </w:t>
      </w:r>
      <w:r>
        <w:rPr>
          <w:b/>
          <w:bCs/>
        </w:rPr>
        <w:t xml:space="preserve">Job &amp; Reward Design trio</w:t>
      </w:r>
      <w:r>
        <w:t xml:space="preserve">: Job Evaluation → Grading Structure → Salary Builder. It is </w:t>
      </w:r>
      <w:r>
        <w:rPr>
          <w:b/>
          <w:bCs/>
        </w:rPr>
        <w:t xml:space="preserve">consulting-led</w:t>
      </w:r>
      <w:r>
        <w:t xml:space="preserve"> and </w:t>
      </w:r>
      <w:r>
        <w:rPr>
          <w:b/>
          <w:bCs/>
        </w:rPr>
        <w:t xml:space="preserve">design-time</w:t>
      </w:r>
      <w:r>
        <w:t xml:space="preserve">: its core deliverable — a defensible grade and salary structure — needs no employee data. That is what lets it sell as a consulting engagement without a Payroll product underneath it.</w:t>
      </w:r>
    </w:p>
    <w:p>
      <w:pPr>
        <w:spacing w:after="140" w:line="276"/>
      </w:pPr>
      <w:r>
        <w:rPr>
          <w:b/>
          <w:bCs/>
        </w:rPr>
        <w:t xml:space="preserve">In scope: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Configurable, versioned job-evaluation engine (point-factor preset) with an audit trail.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Grading structure: grades, the level × family grid, and where career-path / promotion-progression rules attach.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Salary structure: market-data import, positioning per family, bands at 67% spread, 25% overlap.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Standalone design output, plus an integrated analysis layer (compa-ratio, internal equity) when real salaries are imported.</w:t>
      </w:r>
    </w:p>
    <w:p>
      <w:pPr>
        <w:spacing w:after="140" w:line="276"/>
      </w:pPr>
      <w:r>
        <w:rPr>
          <w:b/>
          <w:bCs/>
        </w:rPr>
        <w:t xml:space="preserve">Out of scope (later phases), but the foundation is laid now: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Promotion workflow — </w:t>
      </w:r>
      <w:r>
        <w:t xml:space="preserve">Phase 2/3. It needs performance ratings (Performance product) and operational personnel data. Phase 1 only builds the grades, establishment, and bands it will later run on.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Live payroll integration — </w:t>
      </w:r>
      <w:r>
        <w:t xml:space="preserve">Phase 1 uses a point-in-time salary snapshot via CSV, not a live feed.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Performance, Goals, Analytics — </w:t>
      </w:r>
      <w:r>
        <w:t xml:space="preserve">downstream consumers; not built now, but not precluded (events and shared spines are planned for).</w:t>
      </w:r>
    </w:p>
    <w:p>
      <w:pPr>
        <w:pStyle w:val="Heading1"/>
      </w:pPr>
      <w:r>
        <w:t xml:space="preserve">2. Core Concepts</w:t>
      </w:r>
    </w:p>
    <w:p>
      <w:pPr>
        <w:spacing w:after="140" w:line="276"/>
      </w:pPr>
      <w:r>
        <w:t xml:space="preserve">The load-bearing ideas the workflows and data model rest on. Get these right and the rest follows.</w:t>
      </w:r>
    </w:p>
    <w:p>
      <w:pPr>
        <w:pStyle w:val="Heading2"/>
      </w:pPr>
      <w:r>
        <w:t xml:space="preserve">Job vs. Position vs. Employee</w:t>
      </w:r>
    </w:p>
    <w:p>
      <w:pPr>
        <w:spacing w:after="140" w:line="276"/>
      </w:pPr>
      <w:r>
        <w:t xml:space="preserve">Three separate things, never merged: a </w:t>
      </w:r>
      <w:r>
        <w:rPr>
          <w:b/>
          <w:bCs/>
        </w:rPr>
        <w:t xml:space="preserve">Job</w:t>
      </w:r>
      <w:r>
        <w:t xml:space="preserve"> is a role definition (“Senior Accountant”) — the thing you </w:t>
      </w:r>
      <w:r>
        <w:rPr>
          <w:b/>
          <w:bCs/>
        </w:rPr>
        <w:t xml:space="preserve">evaluate</w:t>
      </w:r>
      <w:r>
        <w:t xml:space="preserve">; a </w:t>
      </w:r>
      <w:r>
        <w:rPr>
          <w:b/>
          <w:bCs/>
        </w:rPr>
        <w:t xml:space="preserve">Position</w:t>
      </w:r>
      <w:r>
        <w:t xml:space="preserve"> is a specific seat (“…Cairo Finance, slot 3”) — the thing the establishment </w:t>
      </w:r>
      <w:r>
        <w:rPr>
          <w:b/>
          <w:bCs/>
        </w:rPr>
        <w:t xml:space="preserve">counts</w:t>
      </w:r>
      <w:r>
        <w:t xml:space="preserve">; an </w:t>
      </w:r>
      <w:r>
        <w:rPr>
          <w:b/>
          <w:bCs/>
        </w:rPr>
        <w:t xml:space="preserve">Employee</w:t>
      </w:r>
      <w:r>
        <w:t xml:space="preserve"> is a person — the one you </w:t>
      </w:r>
      <w:r>
        <w:rPr>
          <w:b/>
          <w:bCs/>
        </w:rPr>
        <w:t xml:space="preserve">pay</w:t>
      </w:r>
      <w:r>
        <w:t xml:space="preserve">. You evaluate jobs, count positions, pay employees. Position-control (the open-box promotion gate) only works if these stay distinct.</w:t>
      </w:r>
    </w:p>
    <w:p>
      <w:pPr>
        <w:pStyle w:val="Heading2"/>
      </w:pPr>
      <w:r>
        <w:t xml:space="preserve">Methodology as data, and versioning</w:t>
      </w:r>
    </w:p>
    <w:p>
      <w:pPr>
        <w:spacing w:after="140" w:line="276"/>
      </w:pPr>
      <w:r>
        <w:t xml:space="preserve">The evaluation methodology — factors, the questionnaire, answer points, score-to-grade thresholds — is </w:t>
      </w:r>
      <w:r>
        <w:rPr>
          <w:b/>
          <w:bCs/>
        </w:rPr>
        <w:t xml:space="preserve">configuration data, not code</w:t>
      </w:r>
      <w:r>
        <w:t xml:space="preserve">. “Point-factor” is a seeded set of these rows; one engine runs them. The methodology is </w:t>
      </w:r>
      <w:r>
        <w:rPr>
          <w:b/>
          <w:bCs/>
        </w:rPr>
        <w:t xml:space="preserve">versioned</w:t>
      </w:r>
      <w:r>
        <w:t xml:space="preserve">: every evaluation pins the exact version it used, so re-tuning the weights publishes a v2 and leaves already-evaluated jobs pointing safely at v1. Nothing is silently re-graded.</w:t>
      </w:r>
    </w:p>
    <w:p>
      <w:pPr>
        <w:pStyle w:val="Heading2"/>
      </w:pPr>
      <w:r>
        <w:t xml:space="preserve">The audit trail</w:t>
      </w:r>
    </w:p>
    <w:p>
      <w:pPr>
        <w:spacing w:after="140" w:line="276"/>
      </w:pPr>
      <w:r>
        <w:t xml:space="preserve">Every answer chosen in an evaluation is stored as an immutable row carrying the points it was worth. Corrections happen by creating a </w:t>
      </w:r>
      <w:r>
        <w:rPr>
          <w:b/>
          <w:bCs/>
        </w:rPr>
        <w:t xml:space="preserve">new</w:t>
      </w:r>
      <w:r>
        <w:t xml:space="preserve"> evaluation, never by editing history. Those rows are the audit trail: a grade traces back to the exact answers a named evaluator picked under a specific methodology version — the defensibility that is the actual product in a consulting engagement.</w:t>
      </w:r>
    </w:p>
    <w:p>
      <w:pPr>
        <w:pStyle w:val="Heading2"/>
      </w:pPr>
      <w:r>
        <w:t xml:space="preserve">Standalone vs. integrated</w:t>
      </w:r>
    </w:p>
    <w:p>
      <w:pPr>
        <w:spacing w:after="140" w:line="276"/>
      </w:pPr>
      <w:r>
        <w:t xml:space="preserve">Each product has honest standalone value and gets richer when siblings are present. Job Evaluation alone proposes generic grades; with Grading Structure it maps onto El-Delta's real grades. Salary Builder alone designs bands; with real salaries imported it computes compa-ratio and equity. The rule: </w:t>
      </w:r>
      <w:r>
        <w:rPr>
          <w:b/>
          <w:bCs/>
        </w:rPr>
        <w:t xml:space="preserve">own your data, pull from siblings if present, fall back gracefully if not.</w:t>
      </w:r>
    </w:p>
    <w:p>
      <w:pPr>
        <w:pStyle w:val="Heading2"/>
      </w:pPr>
      <w:r>
        <w:t xml:space="preserve">Families are nullable, added in the design phase</w:t>
      </w:r>
    </w:p>
    <w:p>
      <w:pPr>
        <w:spacing w:after="140" w:line="276"/>
      </w:pPr>
      <w:r>
        <w:t xml:space="preserve">A job needs only a </w:t>
      </w:r>
      <w:r>
        <w:rPr>
          <w:b/>
          <w:bCs/>
        </w:rPr>
        <w:t xml:space="preserve">level</w:t>
      </w:r>
      <w:r>
        <w:t xml:space="preserve"> to be evaluated and scored; its </w:t>
      </w:r>
      <w:r>
        <w:rPr>
          <w:b/>
          <w:bCs/>
        </w:rPr>
        <w:t xml:space="preserve">family</w:t>
      </w:r>
      <w:r>
        <w:t xml:space="preserve"> is optional and assigned later when families are defined. So El-Delta can start with its five levels and no families, run evaluations, and place jobs on the horizontal axis once families exist. Family is nullable and editable everywhere — no feature may assume it is set.</w:t>
      </w:r>
    </w:p>
    <w:p>
      <w:pPr>
        <w:pStyle w:val="Heading2"/>
      </w:pPr>
      <w:r>
        <w:t xml:space="preserve">End-to-end traceability</w:t>
      </w:r>
    </w:p>
    <w:p>
      <w:pPr>
        <w:spacing w:after="140" w:line="276"/>
      </w:pPr>
      <w:r>
        <w:t xml:space="preserve">The chain runs both ways: a salary band → its grade → the score → the specific questionnaire answers → the evaluator and methodology version. “Here is exactly why this job sits in this band” is the through-line of all three products, and the antidote to favoritism concerns in the market.</w:t>
      </w:r>
    </w:p>
    <w:p>
      <w:pPr>
        <w:pStyle w:val="Heading1"/>
      </w:pPr>
      <w:r>
        <w:t xml:space="preserve">3. The Pipeline</w:t>
      </w:r>
    </w:p>
    <w:p>
      <w:pPr>
        <w:spacing w:after="140" w:line="276"/>
      </w:pPr>
      <w:r>
        <w:t xml:space="preserve">The trio is one continuous flow: a job comes in, a defensible salary band comes out. Each product hands its output to the next.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1181100"/>
            <wp:effectExtent t="0" r="0" b="0" l="0"/>
            <wp:docPr id="1" name="Job Evaluation scores jobs, Grading Structure organizes them into grades, Salary Builder prices the grades" descr="Job Evaluation scores jobs, Grading Structure organizes them into grades, Salary Builder prices the grades" title="Job Evaluation scores jobs, Grading Structure organizes them into grades, Salary Builder prices the gra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Score → grades → bands. One pipeline, three sellable products.</w:t>
      </w:r>
    </w:p>
    <w:p>
      <w:pPr>
        <w:pStyle w:val="Heading1"/>
      </w:pPr>
      <w:r>
        <w:t xml:space="preserve">4. Job Evaluation — Workflow</w:t>
      </w:r>
    </w:p>
    <w:p>
      <w:pPr>
        <w:spacing w:after="140" w:line="276"/>
      </w:pPr>
      <w:r>
        <w:t xml:space="preserve">Job Evaluation is first because everything downstream needs the score. It turns a job into a defensible grade recommendation.</w:t>
      </w:r>
    </w:p>
    <w:p>
      <w:pPr>
        <w:spacing w:after="40" w:before="120"/>
        <w:jc w:val="center"/>
      </w:pPr>
      <w:r>
        <w:drawing>
          <wp:inline distT="0" distB="0" distL="0" distR="0">
            <wp:extent cx="4095750" cy="2828925"/>
            <wp:effectExtent t="0" r="0" b="0" l="0"/>
            <wp:docPr id="1" name="Answer questionnaire, map answers to factor points, sum to total, score to grade, recommended grade with audit trail, under a pinned methodology version" descr="Answer questionnaire, map answers to factor points, sum to total, score to grade, recommended grade with audit trail, under a pinned methodology version" title="Answer questionnaire, map answers to factor points, sum to total, score to grade, recommended grade with audit trail, under a pinned methodology ver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Answers → points → total → grade, every step traceable, under a pinned version.</w:t>
      </w:r>
    </w:p>
    <w:p>
      <w:pPr>
        <w:pStyle w:val="Heading2"/>
      </w:pPr>
      <w:r>
        <w:t xml:space="preserve">Setting up the methodology (design-time)</w:t>
      </w:r>
    </w:p>
    <w:p>
      <w:pPr>
        <w:spacing w:after="140" w:line="276"/>
      </w:pPr>
      <w:r>
        <w:t xml:space="preserve">Before any job is scored, the methodology is configured: its </w:t>
      </w:r>
      <w:r>
        <w:rPr>
          <w:b/>
          <w:bCs/>
        </w:rPr>
        <w:t xml:space="preserve">factors</w:t>
      </w:r>
      <w:r>
        <w:t xml:space="preserve"> (Know-How, Problem Solving, Accountability…), a </w:t>
      </w:r>
      <w:r>
        <w:rPr>
          <w:b/>
          <w:bCs/>
        </w:rPr>
        <w:t xml:space="preserve">questionnaire</w:t>
      </w:r>
      <w:r>
        <w:t xml:space="preserve"> of questions per factor, each </w:t>
      </w:r>
      <w:r>
        <w:rPr>
          <w:b/>
          <w:bCs/>
        </w:rPr>
        <w:t xml:space="preserve">answer option</w:t>
      </w:r>
      <w:r>
        <w:t xml:space="preserve"> carrying fixed points, and a </w:t>
      </w:r>
      <w:r>
        <w:rPr>
          <w:b/>
          <w:bCs/>
        </w:rPr>
        <w:t xml:space="preserve">grade-mapping</w:t>
      </w:r>
      <w:r>
        <w:t xml:space="preserve"> table (score ranges → grades). This is the methodology work in milestone M1.</w:t>
      </w:r>
    </w:p>
    <w:p>
      <w:pPr>
        <w:pStyle w:val="Heading2"/>
      </w:pPr>
      <w:r>
        <w:t xml:space="preserve">Who authors the questionnaire</w:t>
      </w:r>
    </w:p>
    <w:p>
      <w:pPr>
        <w:spacing w:after="140" w:line="276"/>
      </w:pPr>
      <w:r>
        <w:t xml:space="preserve">Two senses of “generate.” </w:t>
      </w:r>
      <w:r>
        <w:rPr>
          <w:b/>
          <w:bCs/>
        </w:rPr>
        <w:t xml:space="preserve">Farouk authors the content</w:t>
      </w:r>
      <w:r>
        <w:t xml:space="preserve"> — the questions, answers, and points are HR methodology, set once per methodology version (and a real differentiator). The </w:t>
      </w:r>
      <w:r>
        <w:rPr>
          <w:b/>
          <w:bCs/>
        </w:rPr>
        <w:t xml:space="preserve">system generates the screen</w:t>
      </w:r>
      <w:r>
        <w:t xml:space="preserve">: because the questionnaire is stored as data, the Angular front-end renders the form dynamically from the current version. The consultant then </w:t>
      </w:r>
      <w:r>
        <w:rPr>
          <w:b/>
          <w:bCs/>
        </w:rPr>
        <w:t xml:space="preserve">answers it per job</w:t>
      </w:r>
      <w:r>
        <w:t xml:space="preserve">. Author once, render many. Any AI assistance stays a suggestion Farouk approves, never an autonomous author.</w:t>
      </w:r>
    </w:p>
    <w:p>
      <w:pPr>
        <w:pStyle w:val="Heading2"/>
      </w:pPr>
      <w:r>
        <w:t xml:space="preserve">Scoring</w:t>
      </w:r>
    </w:p>
    <w:p>
      <w:pPr>
        <w:spacing w:after="140" w:line="276"/>
      </w:pPr>
      <w:r>
        <w:t xml:space="preserve">Answers map to points by </w:t>
      </w:r>
      <w:r>
        <w:rPr>
          <w:b/>
          <w:bCs/>
        </w:rPr>
        <w:t xml:space="preserve">simple rule</w:t>
      </w:r>
      <w:r>
        <w:t xml:space="preserve"> (answer X = Y points — the locked decision), the engine sums per-factor subtotals and a total server-side (never trust the browser to compute a grade), and the total falls into a grade range. Scope is four levels (Blue Collar, IC, Supervisory, Managerial); </w:t>
      </w:r>
      <w:r>
        <w:rPr>
          <w:b/>
          <w:bCs/>
        </w:rPr>
        <w:t xml:space="preserve">C-level is excluded</w:t>
      </w:r>
      <w:r>
        <w:t xml:space="preserve"> — executive pay is market/board-benchmarked above the evaluated structure.</w:t>
      </w:r>
    </w:p>
    <w:p>
      <w:pPr>
        <w:pStyle w:val="Heading2"/>
      </w:pPr>
      <w:r>
        <w:t xml:space="preserve">Job titles are aliases; content is identity</w:t>
      </w:r>
    </w:p>
    <w:p>
      <w:pPr>
        <w:spacing w:after="140" w:line="276"/>
      </w:pPr>
      <w:r>
        <w:t xml:space="preserve">Job titles are unreliable across companies and even within one — El-Delta's “Senior Tech Lead” and another firm's “Senior Specialist Team Lead” may be the same work under different names, or not; the title alone tells you nothing. This is why evaluation scores </w:t>
      </w:r>
      <w:r>
        <w:rPr>
          <w:b/>
          <w:bCs/>
        </w:rPr>
        <w:t xml:space="preserve">content, not names</w:t>
      </w:r>
      <w:r>
        <w:t xml:space="preserve">: the point total is a content-based identity that makes two differently-named jobs comparable (the same score means equivalent measured work). Reconciling differently-named jobs across companies to shared </w:t>
      </w:r>
      <w:r>
        <w:rPr>
          <w:b/>
          <w:bCs/>
        </w:rPr>
        <w:t xml:space="preserve">reference jobs</w:t>
      </w:r>
      <w:r>
        <w:t xml:space="preserve"> is the backbone of the future cross-company benchmark, but it is </w:t>
      </w:r>
      <w:r>
        <w:rPr>
          <w:b/>
          <w:bCs/>
        </w:rPr>
        <w:t xml:space="preserve">deferred</w:t>
      </w:r>
      <w:r>
        <w:t xml:space="preserve"> — Phase 1 is single-tenant and needs no reference-job layer. The seam is left open: company titles are aliases over content-defined jobs, the evaluation score is the match key, and a reference-job link is an additive column when the benchmark phase arrives.</w:t>
      </w:r>
    </w:p>
    <w:p>
      <w:pPr>
        <w:pStyle w:val="Heading1"/>
      </w:pPr>
      <w:r>
        <w:t xml:space="preserve">5. Grading Structure — Workflow</w:t>
      </w:r>
    </w:p>
    <w:p>
      <w:pPr>
        <w:spacing w:after="140" w:line="276"/>
      </w:pPr>
      <w:r>
        <w:t xml:space="preserve">Grading Structure takes scored jobs and builds the skeleton: grades, the grid, and the rules that hang off it.</w:t>
      </w:r>
    </w:p>
    <w:p>
      <w:pPr>
        <w:spacing w:after="40" w:before="120"/>
        <w:jc w:val="center"/>
      </w:pPr>
      <w:r>
        <w:drawing>
          <wp:inline distT="0" distB="0" distL="0" distR="0">
            <wp:extent cx="4095750" cy="2828925"/>
            <wp:effectExtent t="0" r="0" b="0" l="0"/>
            <wp:docPr id="1" name="Evaluated jobs get a grade from their score, are placed in a level-by-family grid, then paths and rules are defined, producing the job architecture" descr="Evaluated jobs get a grade from their score, are placed in a level-by-family grid, then paths and rules are defined, producing the job architecture" title="Evaluated jobs get a grade from their score, are placed in a level-by-family grid, then paths and rules are defined, producing the job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Jobs become a populated grid — level × family — with paths and rules attached.</w:t>
      </w:r>
    </w:p>
    <w:p>
      <w:pPr>
        <w:pStyle w:val="Heading2"/>
      </w:pPr>
      <w:r>
        <w:t xml:space="preserve">Grid, paths, and rules</w:t>
      </w:r>
    </w:p>
    <w:p>
      <w:pPr>
        <w:spacing w:after="140" w:line="276"/>
      </w:pPr>
      <w:r>
        <w:t xml:space="preserve">A </w:t>
      </w:r>
      <w:r>
        <w:rPr>
          <w:b/>
          <w:bCs/>
        </w:rPr>
        <w:t xml:space="preserve">grade</w:t>
      </w:r>
      <w:r>
        <w:t xml:space="preserve"> comes from the score (via the mapping the methodology owns — Grading reads it, doesn't redefine it). The job is placed in the grid: its </w:t>
      </w:r>
      <w:r>
        <w:rPr>
          <w:b/>
          <w:bCs/>
        </w:rPr>
        <w:t xml:space="preserve">level</w:t>
      </w:r>
      <w:r>
        <w:t xml:space="preserve"> (one of the five) crossed with its </w:t>
      </w:r>
      <w:r>
        <w:rPr>
          <w:b/>
          <w:bCs/>
        </w:rPr>
        <w:t xml:space="preserve">family</w:t>
      </w:r>
      <w:r>
        <w:t xml:space="preserve">. Career paths are routes through a family's levels, and the </w:t>
      </w:r>
      <w:r>
        <w:rPr>
          <w:b/>
          <w:bCs/>
        </w:rPr>
        <w:t xml:space="preserve">promotion vs. progression</w:t>
      </w:r>
      <w:r>
        <w:t xml:space="preserve"> rules attach here.</w:t>
      </w:r>
    </w:p>
    <w:p>
      <w:pPr>
        <w:pStyle w:val="Heading2"/>
      </w:pPr>
      <w:r>
        <w:t xml:space="preserve">Promotion vs. progression (definitions)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Progression — </w:t>
      </w:r>
      <w:r>
        <w:t xml:space="preserve">movement within a grade (same job, more pay), performance-based annual increase inside the band. A quiet comp event.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Promotion — </w:t>
      </w:r>
      <w:r>
        <w:t xml:space="preserve">movement between grades. Gated by three independent conditions: ≥ 2 years in grade, a rating of Excellent/Very good, and an open box (vacant approved position) in the target grade. Triggers a cascade (new grade → new band → pay adjustment → new competency profile). This is Phase 2/3; Phase 1 only lays its foundation.</w:t>
      </w:r>
    </w:p>
    <w:p>
      <w:pPr>
        <w:pStyle w:val="Heading2"/>
      </w:pPr>
      <w:r>
        <w:t xml:space="preserve">Position-control / establishment</w:t>
      </w:r>
    </w:p>
    <w:p>
      <w:pPr>
        <w:spacing w:after="140" w:line="276"/>
      </w:pPr>
      <w:r>
        <w:t xml:space="preserve">El-Delta runs a position-controlled model: a fixed number of approved seats per grade per unit. The structure needs an </w:t>
      </w:r>
      <w:r>
        <w:rPr>
          <w:b/>
          <w:bCs/>
        </w:rPr>
        <w:t xml:space="preserve">establishment</w:t>
      </w:r>
      <w:r>
        <w:t xml:space="preserve"> view (approved positions, vacant or filled) so a future promotion can check for an open box. This shape maps recognizably onto government/SOE grade ladders.</w:t>
      </w:r>
    </w:p>
    <w:p>
      <w:pPr>
        <w:pStyle w:val="Heading1"/>
      </w:pPr>
      <w:r>
        <w:t xml:space="preserve">6. Salary Builder — Workflow</w:t>
      </w:r>
    </w:p>
    <w:p>
      <w:pPr>
        <w:spacing w:after="140" w:line="276"/>
      </w:pPr>
      <w:r>
        <w:t xml:space="preserve">Salary Builder prices the grades into bands. Everything down to the band is pure design; employee data only enters for the integrated analysis layer.</w:t>
      </w:r>
    </w:p>
    <w:p>
      <w:pPr>
        <w:spacing w:after="40" w:before="120"/>
        <w:jc w:val="center"/>
      </w:pPr>
      <w:r>
        <w:drawing>
          <wp:inline distT="0" distB="0" distL="0" distR="0">
            <wp:extent cx="4095750" cy="3190875"/>
            <wp:effectExtent t="0" r="0" b="0" l="0"/>
            <wp:docPr id="1" name="Import market data, set positioning per family, derive midpoint, apply plus-or-minus 25 percent spread, salary band per grade; integrated adds compa-ratio and equity" descr="Import market data, set positioning per family, derive midpoint, apply plus-or-minus 25 percent spread, salary band per grade; integrated adds compa-ratio and equity" title="Import market data, set positioning per family, derive midpoint, apply plus-or-minus 25 percent spread, salary band per grade; integrated adds compa-ratio and equ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Market data → positioning → midpoint → 67% band (min 75 / max 125). Integrated mode adds compa-ratio and equity.</w:t>
      </w:r>
    </w:p>
    <w:p>
      <w:pPr>
        <w:pStyle w:val="Heading2"/>
      </w:pPr>
      <w:r>
        <w:t xml:space="preserve">Market data</w:t>
      </w:r>
    </w:p>
    <w:p>
      <w:pPr>
        <w:spacing w:after="140" w:line="276"/>
      </w:pPr>
      <w:r>
        <w:t xml:space="preserve">A point-in-time </w:t>
      </w:r>
      <w:r>
        <w:rPr>
          <w:b/>
          <w:bCs/>
        </w:rPr>
        <w:t xml:space="preserve">snapshot</w:t>
      </w:r>
      <w:r>
        <w:t xml:space="preserve"> is imported (the locked sourcing model: customer-import v1 → own benchmark later), tagged with the attributes that make it meaningful — </w:t>
      </w:r>
      <w:r>
        <w:rPr>
          <w:b/>
          <w:bCs/>
        </w:rPr>
        <w:t xml:space="preserve">geography, industry, company size, and recency</w:t>
      </w:r>
      <w:r>
        <w:t xml:space="preserve"> (recency especially, given currency and inflation volatility). Each survey row reports the salary distribution as </w:t>
      </w:r>
      <w:r>
        <w:rPr>
          <w:b/>
          <w:bCs/>
        </w:rPr>
        <w:t xml:space="preserve">percentiles</w:t>
      </w:r>
      <w:r>
        <w:t xml:space="preserve"> — P25, P50 (the median, the typical market rate), P75, and P90 — because pay data is skewed and the median plus quartiles describe it more honestly than an average. The positioning posture is then a choice of which percentile anchors the band: match ≈ target P50, lead ≈ nearer P75, lag ≈ nearer P25.</w:t>
      </w:r>
    </w:p>
    <w:p>
      <w:pPr>
        <w:spacing w:after="140" w:line="276"/>
      </w:pPr>
      <w:r>
        <w:t xml:space="preserve">Market data binds to the </w:t>
      </w:r>
      <w:r>
        <w:rPr>
          <w:b/>
          <w:bCs/>
        </w:rPr>
        <w:t xml:space="preserve">job</w:t>
      </w:r>
      <w:r>
        <w:t xml:space="preserve"> — the unit the market actually prices (“senior accountant” is both a job and a survey line). </w:t>
      </w:r>
      <w:r>
        <w:rPr>
          <w:b/>
          <w:bCs/>
        </w:rPr>
        <w:t xml:space="preserve">Family and level</w:t>
      </w:r>
      <w:r>
        <w:t xml:space="preserve"> are the job's coordinates and serve as a </w:t>
      </w:r>
      <w:r>
        <w:rPr>
          <w:b/>
          <w:bCs/>
        </w:rPr>
        <w:t xml:space="preserve">fallback grain</w:t>
      </w:r>
      <w:r>
        <w:t xml:space="preserve"> when a survey is coarser than your job list (e.g. “finance roles, IC level” that several jobs share); grade is another fallback. A </w:t>
      </w:r>
      <w:r>
        <w:rPr>
          <w:b/>
          <w:bCs/>
        </w:rPr>
        <w:t xml:space="preserve">position</w:t>
      </w:r>
      <w:r>
        <w:t xml:space="preserve"> never carries a market price — it inherits its band through job → grade → band — and only the </w:t>
      </w:r>
      <w:r>
        <w:rPr>
          <w:b/>
          <w:bCs/>
        </w:rPr>
        <w:t xml:space="preserve">employee</w:t>
      </w:r>
      <w:r>
        <w:t xml:space="preserve"> has an actual salary, compared to the band for compa-ratio.</w:t>
      </w:r>
    </w:p>
    <w:p>
      <w:pPr>
        <w:pStyle w:val="Heading2"/>
      </w:pPr>
      <w:r>
        <w:t xml:space="preserve">Bands</w:t>
      </w:r>
    </w:p>
    <w:p>
      <w:pPr>
        <w:spacing w:after="140" w:line="276"/>
      </w:pPr>
      <w:r>
        <w:t xml:space="preserve">Positioning is set </w:t>
      </w:r>
      <w:r>
        <w:rPr>
          <w:b/>
          <w:bCs/>
        </w:rPr>
        <w:t xml:space="preserve">per family</w:t>
      </w:r>
      <w:r>
        <w:t xml:space="preserve"> (match-the-market for El-Delta, varying by family). Each grade's </w:t>
      </w:r>
      <w:r>
        <w:rPr>
          <w:b/>
          <w:bCs/>
        </w:rPr>
        <w:t xml:space="preserve">midpoint</w:t>
      </w:r>
      <w:r>
        <w:t xml:space="preserve"> derives from market × positioning, then the </w:t>
      </w:r>
      <w:r>
        <w:rPr>
          <w:b/>
          <w:bCs/>
        </w:rPr>
        <w:t xml:space="preserve">67% spread</w:t>
      </w:r>
      <w:r>
        <w:t xml:space="preserve"> (max ÷ min = 1.67) gives min 75%, midpoint 100%, max 125% of midpoint; consecutive midpoints step up by the </w:t>
      </w:r>
      <w:r>
        <w:rPr>
          <w:b/>
          <w:bCs/>
        </w:rPr>
        <w:t xml:space="preserve">25% overlap</w:t>
      </w:r>
      <w:r>
        <w:t xml:space="preserve"> (progression). Adjacent grades overlap by design, so a senior person in a lower grade can out-earn a junior in a higher one. Money is stored as exact decimal with an explicit currency — never float.</w:t>
      </w:r>
    </w:p>
    <w:p>
      <w:pPr>
        <w:pStyle w:val="Heading2"/>
      </w:pPr>
      <w:r>
        <w:t xml:space="preserve">Grade overlap &amp; auto-building the structure</w:t>
      </w:r>
    </w:p>
    <w:p>
      <w:pPr>
        <w:spacing w:after="140" w:line="276"/>
      </w:pPr>
      <w:r>
        <w:t xml:space="preserve">Two controls, defined by Farouk's formulas. </w:t>
      </w:r>
      <w:r>
        <w:rPr>
          <w:b/>
          <w:bCs/>
        </w:rPr>
        <w:t xml:space="preserve">Spread = (max / min) − 1</w:t>
      </w:r>
      <w:r>
        <w:t xml:space="preserve"> — the band's width as the ratio of its top to its bottom. </w:t>
      </w:r>
      <w:r>
        <w:rPr>
          <w:b/>
          <w:bCs/>
        </w:rPr>
        <w:t xml:space="preserve">Overlap = (midpoint of current grade / midpoint of previous grade) − 1</w:t>
      </w:r>
      <w:r>
        <w:t xml:space="preserve"> — strictly the midpoint progression between consecutive grades. A naming note: what is labelled “overlap” here is the midpoint progression; whether two bands physically share range depends on it relative to the spread — with arithmetic-mean midpoints, adjacent bands overlap only when progression &lt; spread (equal = they touch; greater = a gap).</w:t>
      </w:r>
    </w:p>
    <w:p>
      <w:pPr>
        <w:spacing w:after="140" w:line="276"/>
      </w:pPr>
      <w:r>
        <w:t xml:space="preserve">One disambiguation the formula fixes: the band we sketched (min 75%, max 125% of midpoint) is a </w:t>
      </w:r>
      <w:r>
        <w:rPr>
          <w:b/>
          <w:bCs/>
        </w:rPr>
        <w:t xml:space="preserve">67% spread</w:t>
      </w:r>
      <w:r>
        <w:t xml:space="preserve"> under this definition (1.25 / 0.75 − 1), not 25%. El-Delta's confirmed defaults are a </w:t>
      </w:r>
      <w:r>
        <w:rPr>
          <w:b/>
          <w:bCs/>
        </w:rPr>
        <w:t xml:space="preserve">67% spread and 25% overlap (progression)</w:t>
      </w:r>
      <w:r>
        <w:t xml:space="preserve"> — a common, defensible “healthy structure” starting point. Because the progression (25%) sits well below the spread (67%), adjacent bands overlap substantially, which is the intended effect. In practice spreads often widen toward senior grades; the uniform default is an editable starting point the consultant can tune per grade.</w:t>
      </w:r>
    </w:p>
    <w:p>
      <w:pPr>
        <w:spacing w:after="140" w:line="276"/>
      </w:pPr>
      <w:r>
        <w:t xml:space="preserve">To accelerate setup — exactly what a consultant wants for a new organization — the system can </w:t>
      </w:r>
      <w:r>
        <w:rPr>
          <w:b/>
          <w:bCs/>
        </w:rPr>
        <w:t xml:space="preserve">auto-build the grade structure from a grade count</w:t>
      </w:r>
      <w:r>
        <w:t xml:space="preserve">. The user says “we have N grades,” supplies a range to span (a lowest and highest anchor, or a starting midpoint plus a progression rate), and the system scaffolds N grades with evenly spaced midpoints, each with its spread and overlap applied per the formulas above. Two design notes: the output is an </w:t>
      </w:r>
      <w:r>
        <w:rPr>
          <w:b/>
          <w:bCs/>
        </w:rPr>
        <w:t xml:space="preserve">editable starting point</w:t>
      </w:r>
      <w:r>
        <w:t xml:space="preserve"> (real structures are never perfectly even, so the user can nudge midpoints and widen individual bands), and it needs the range to be meaningful — which usually comes from the market data or the lowest/highest roles, so auto-build typically runs after some market reference exists. Both controls are additive to the schema (salary_band already carries spread_pct and overlap_pct).</w:t>
      </w:r>
    </w:p>
    <w:p>
      <w:pPr>
        <w:pStyle w:val="Heading2"/>
      </w:pPr>
      <w:r>
        <w:t xml:space="preserve">Compa-ratio &amp; internal equity (integrated only)</w:t>
      </w:r>
    </w:p>
    <w:p>
      <w:pPr>
        <w:spacing w:after="140" w:line="276"/>
      </w:pPr>
      <w:r>
        <w:t xml:space="preserve">Once real salaries are imported, </w:t>
      </w:r>
      <w:r>
        <w:rPr>
          <w:b/>
          <w:bCs/>
        </w:rPr>
        <w:t xml:space="preserve">compa-ratio</w:t>
      </w:r>
      <w:r>
        <w:t xml:space="preserve"> (actual pay ÷ band midpoint; below 75% = below scale) and internal-equity dispersion light up. Internal-equity findings can be legally sensitive (protected classes), so the methodology is defined with HR + legal. This layer needs consented, carefully handled data (PDPL-aware).</w:t>
      </w:r>
    </w:p>
    <w:p>
      <w:pPr>
        <w:pStyle w:val="Heading1"/>
      </w:pPr>
      <w:r>
        <w:t xml:space="preserve">7. Data Model</w:t>
      </w:r>
    </w:p>
    <w:p>
      <w:pPr>
        <w:spacing w:after="140" w:line="276"/>
      </w:pPr>
      <w:r>
        <w:t xml:space="preserve">The Phase 1 schema is 23 tables across three areas (full DDL in </w:t>
      </w:r>
      <w:r>
        <w:rPr>
          <w:b/>
          <w:bCs/>
        </w:rPr>
        <w:t xml:space="preserve">people_rise_phase1_schema.sql</w:t>
      </w:r>
      <w:r>
        <w:t xml:space="preserve">). It assumes DB-per-tenant — there is no tenant_id column; the database boundary is the tenant boundary. UUID keys, exact decimal money, versioned methodology, and an immutable evaluation-answer table are the load-bearing choices.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Structure: </w:t>
      </w:r>
      <w:r>
        <w:t xml:space="preserve">org_unit, level, job_family, grade, job, job_position, employee, employee_assignment.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Evaluation: </w:t>
      </w:r>
      <w:r>
        <w:t xml:space="preserve">methodology, methodology_version, factor, question, answer_option, grade_mapping, evaluation, evaluation_answer (immutable), evaluation_factor_score.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Salary: </w:t>
      </w:r>
      <w:r>
        <w:t xml:space="preserve">market_data_snapshot, market_data_point, band_positioning_policy, salary_band, salary_import_batch, employee_compensation.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2390775"/>
            <wp:effectExtent t="0" r="0" b="0" l="0"/>
            <wp:docPr id="1" name="Entity-relationship diagram of the 23 Phase 1 tables across structure, evaluation, and salary areas" descr="Entity-relationship diagram of the 23 Phase 1 tables across structure, evaluation, and salary areas" title="Entity-relationship diagram of the 23 Phase 1 tables across structure, evaluation, and salary are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Phase 1 ERD — structure (left), evaluation (right), reward (centre). Full DDL in the .sql file.</w:t>
      </w:r>
    </w:p>
    <w:p>
      <w:pPr>
        <w:pStyle w:val="Heading1"/>
      </w:pPr>
      <w:r>
        <w:t xml:space="preserve">8. Calibration Back-test (the Gate)</w:t>
      </w:r>
    </w:p>
    <w:p>
      <w:pPr>
        <w:spacing w:after="140" w:line="276"/>
      </w:pPr>
      <w:r>
        <w:t xml:space="preserve">Before any UI is built, the methodology must be proven. Once the engine can score jobs (seeded data or a rough screen), run </w:t>
      </w:r>
      <w:r>
        <w:rPr>
          <w:b/>
          <w:bCs/>
        </w:rPr>
        <w:t xml:space="preserve">6–10 real El-Delta jobs</w:t>
      </w:r>
      <w:r>
        <w:t xml:space="preserve"> of agreed relative seniority through it and confirm the rankings match expectations. If the CFO's role doesn't out-score a department manager, tune the weights, publish a v2, and re-test. This is a </w:t>
      </w:r>
      <w:r>
        <w:rPr>
          <w:b/>
          <w:bCs/>
        </w:rPr>
        <w:t xml:space="preserve">go/no-go gate</w:t>
      </w:r>
      <w:r>
        <w:t xml:space="preserve">: in a consulting-led model, a system that produces grades people can't defend burns trust fast, so proving the model is the first real milestone — ahead of UI polish.</w:t>
      </w:r>
    </w:p>
    <w:p>
      <w:pPr>
        <w:pStyle w:val="Heading1"/>
      </w:pPr>
      <w:r>
        <w:t xml:space="preserve">9. El-Delta Defaults &amp; Open Items</w:t>
      </w:r>
    </w:p>
    <w:p>
      <w:pPr>
        <w:spacing w:after="140" w:line="276"/>
      </w:pPr>
      <w:r>
        <w:t xml:space="preserve">Phase-1-relevant defaults, confirmed with Farouk (full list in the Product Scope, Section 2):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Point-factor methodology; simple-rule questionnaire, HR-owned; four-level scope, C-level excluded.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Five levels (Blue Collar → IC → Supervisory → Managerial → C-level); one role per level; no existing families or competency framework (built from scratch, uniform 1–5).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Bands 67% spread + 25% overlap (progression), match-the-market varying by family; compa-ratio at midpoint = 100%, below 75% = below scale.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Position-control / establishment model; market data via point-in-time snapshot.</w:t>
      </w:r>
    </w:p>
    <w:p>
      <w:pPr>
        <w:spacing w:after="140" w:line="276"/>
      </w:pPr>
      <w:r>
        <w:rPr>
          <w:b/>
          <w:bCs/>
        </w:rPr>
        <w:t xml:space="preserve">Open for the design phase: </w:t>
      </w:r>
      <w:r>
        <w:t xml:space="preserve">Farouk's factor definitions and point values plus the calibration back-test; defining the job families and placing roles into the grid; confirming one questionnaire per methodology (recommended for comparability).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— Working document,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360"/>
      </w:tabs>
    </w:pPr>
    <w:r>
      <w:rPr>
        <w:b/>
        <w:bCs/>
        <w:color w:val="1F3A5F"/>
        <w:sz w:val="16"/>
        <w:szCs w:val="16"/>
      </w:rPr>
      <w:t xml:space="preserve">People Rise</w:t>
    </w:r>
    <w:r>
      <w:rPr>
        <w:color w:val="595959"/>
        <w:sz w:val="16"/>
        <w:szCs w:val="16"/>
      </w:rPr>
      <w:t xml:space="preserve">	Phase 1 — Detailed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95a2abc6c5317031582a36dd58f3b3cc95e1c34.png"/><Relationship Id="rId10" Type="http://schemas.openxmlformats.org/officeDocument/2006/relationships/image" Target="media/c07db799ed5afdb72b7a5c5c8d99354beeb2cb82.png"/><Relationship Id="rId11" Type="http://schemas.openxmlformats.org/officeDocument/2006/relationships/image" Target="media/ab1bed2e68a89e2acb8e6c517670357952e7d0cc.png"/><Relationship Id="rId12" Type="http://schemas.openxmlformats.org/officeDocument/2006/relationships/image" Target="media/d50e0708c6d555e9fc9cd48ded61c9e26d225e67.png"/><Relationship Id="rId13" Type="http://schemas.openxmlformats.org/officeDocument/2006/relationships/image" Target="media/eb17e984bbd8f30c49ac1429ca2b5fec231590a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People Rise — Phase 1 Detailed Design</dc:title>
  <dc:creator>People Rise</dc:creator>
  <cp:lastModifiedBy>Un-named</cp:lastModifiedBy>
  <cp:revision>1</cp:revision>
  <dcterms:created xsi:type="dcterms:W3CDTF">2026-06-24T19:53:19.308Z</dcterms:created>
  <dcterms:modified xsi:type="dcterms:W3CDTF">2026-06-24T19:53:19.308Z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