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olor w:val="1F3864"/>
          <w:sz w:val="64"/>
          <w:szCs w:val="64"/>
        </w:rPr>
        <w:t xml:space="preserve">People Rise</w:t>
      </w:r>
    </w:p>
    <w:p>
      <w:pPr>
        <w:spacing w:after="0" w:before="120"/>
      </w:pPr>
      <w:r>
        <w:rPr>
          <w:rFonts w:ascii="Arial" w:cs="Arial" w:eastAsia="Arial" w:hAnsi="Arial"/>
          <w:color w:val="2E5C8A"/>
          <w:sz w:val="34"/>
          <w:szCs w:val="34"/>
        </w:rPr>
        <w:t xml:space="preserve">Decision Log</w:t>
      </w:r>
    </w:p>
    <w:p>
      <w:pPr>
        <w:pBdr>
          <w:bottom w:val="single" w:color="BFC9D9" w:sz="12" w:space="8"/>
        </w:pBdr>
        <w:spacing w:after="260" w:before="200"/>
      </w:pPr>
      <w:r>
        <w:rPr>
          <w:rFonts w:ascii="Arial" w:cs="Arial" w:eastAsia="Arial" w:hAnsi="Arial"/>
          <w:i/>
          <w:iCs/>
          <w:color w:val="44546A"/>
          <w:sz w:val="22"/>
          <w:szCs w:val="22"/>
        </w:rPr>
        <w:t xml:space="preserve">Why the architecture is the way it is</w:t>
      </w:r>
    </w:p>
    <w:p>
      <w:pPr>
        <w:spacing w:after="90"/>
      </w:pPr>
      <w:r>
        <w:rPr>
          <w:rFonts w:ascii="Arial" w:cs="Arial" w:eastAsia="Arial" w:hAnsi="Arial"/>
          <w:b/>
          <w:bCs/>
          <w:sz w:val="20"/>
          <w:szCs w:val="20"/>
        </w:rPr>
        <w:t xml:space="preserve">Owners:  </w:t>
      </w:r>
      <w:r>
        <w:rPr>
          <w:rFonts w:ascii="Arial" w:cs="Arial" w:eastAsia="Arial" w:hAnsi="Arial"/>
          <w:sz w:val="20"/>
          <w:szCs w:val="20"/>
        </w:rPr>
        <w:t xml:space="preserve">Mahmoud Rayan — technical / product     •     Farouk — HR methodology</w:t>
      </w:r>
    </w:p>
    <w:p>
      <w:pPr>
        <w:spacing w:after="300"/>
      </w:pPr>
      <w:r>
        <w:rPr>
          <w:rFonts w:ascii="Arial" w:cs="Arial" w:eastAsia="Arial" w:hAnsi="Arial"/>
          <w:b/>
          <w:bCs/>
          <w:sz w:val="20"/>
          <w:szCs w:val="20"/>
        </w:rPr>
        <w:t xml:space="preserve">Companion to:  </w:t>
      </w:r>
      <w:r>
        <w:rPr>
          <w:rFonts w:ascii="Arial" w:cs="Arial" w:eastAsia="Arial" w:hAnsi="Arial"/>
          <w:sz w:val="20"/>
          <w:szCs w:val="20"/>
        </w:rPr>
        <w:t xml:space="preserve">Product Portfolio &amp; Strategy · the Core Specification · each product scope · the Build Approach</w:t>
      </w:r>
    </w:p>
    <w:p>
      <w:pPr>
        <w:pBdr>
          <w:left w:val="single" w:color="2E5C8A" w:sz="18" w:space="10"/>
        </w:pBdr>
        <w:shd w:fill="EDF1F7" w:val="clear"/>
        <w:spacing w:after="140" w:before="160"/>
        <w:ind w:left="220" w:right="220"/>
      </w:pPr>
      <w:r>
        <w:rPr>
          <w:rFonts w:ascii="Arial" w:cs="Arial" w:eastAsia="Arial" w:hAnsi="Arial"/>
          <w:b/>
          <w:bCs/>
          <w:sz w:val="19"/>
          <w:szCs w:val="19"/>
        </w:rPr>
        <w:t xml:space="preserve">What this document is for. </w:t>
      </w:r>
      <w:r>
        <w:rPr>
          <w:rFonts w:ascii="Arial" w:cs="Arial" w:eastAsia="Arial" w:hAnsi="Arial"/>
          <w:sz w:val="19"/>
          <w:szCs w:val="19"/>
        </w:rPr>
        <w:t xml:space="preserve">The other documents state what is true. This one states what was considered and rejected, and why. It exists so that a settled question is not reopened as though it were new, and so that a decision can be judged fairly when circumstances change — a rule followed after it stops fitting is as costly as one broken without knowing what it protected. Where an entry carries a "revisit if" line, that is the condition under which the decision genuinely deserves another look.</w:t>
      </w:r>
    </w:p>
    <w:p>
      <w:pPr>
        <w:spacing w:before="700"/>
      </w:pPr>
      <w:r>
        <w:rPr>
          <w:rFonts w:ascii="Arial" w:cs="Arial" w:eastAsia="Arial" w:hAnsi="Arial"/>
          <w:i/>
          <w:iCs/>
          <w:color w:val="44546A"/>
          <w:sz w:val="18"/>
          <w:szCs w:val="18"/>
        </w:rPr>
        <w:t xml:space="preserve">Working document — confidential</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Contents</w:t>
      </w:r>
    </w:p>
    <w:p>
      <w:pPr>
        <w:spacing w:after="120"/>
      </w:pPr>
    </w:p>
    <w:p>
      <w:pPr>
        <w:tabs>
          <w:tab w:val="right" w:pos="9026" w:leader="dot"/>
        </w:tabs>
        <w:spacing w:after="130" w:line="264"/>
      </w:pPr>
      <w:r>
        <w:rPr>
          <w:rFonts w:ascii="Arial" w:cs="Arial" w:eastAsia="Arial" w:hAnsi="Arial"/>
          <w:b w:val="false"/>
          <w:bCs w:val="false"/>
          <w:color w:val="1A1A1A"/>
          <w:sz w:val="20"/>
          <w:szCs w:val="20"/>
        </w:rPr>
        <w:t xml:space="preserve">1.  Platform &amp; packaging</w:t>
      </w:r>
      <w:r>
        <w:rPr>
          <w:rFonts w:ascii="Arial" w:cs="Arial" w:eastAsia="Arial" w:hAnsi="Arial"/>
          <w:b w:val="false"/>
          <w:bCs w:val="false"/>
          <w:color w:val="1A1A1A"/>
          <w:sz w:val="20"/>
          <w:szCs w:val="20"/>
        </w:rPr>
        <w:t xml:space="preserve">	3</w:t>
      </w:r>
    </w:p>
    <w:p>
      <w:pPr>
        <w:tabs>
          <w:tab w:val="right" w:pos="9026" w:leader="dot"/>
        </w:tabs>
        <w:spacing w:after="130" w:line="264"/>
      </w:pPr>
      <w:r>
        <w:rPr>
          <w:rFonts w:ascii="Arial" w:cs="Arial" w:eastAsia="Arial" w:hAnsi="Arial"/>
          <w:b w:val="false"/>
          <w:bCs w:val="false"/>
          <w:color w:val="1A1A1A"/>
          <w:sz w:val="20"/>
          <w:szCs w:val="20"/>
        </w:rPr>
        <w:t xml:space="preserve">2.  Tenancy &amp; operating model</w:t>
      </w:r>
      <w:r>
        <w:rPr>
          <w:rFonts w:ascii="Arial" w:cs="Arial" w:eastAsia="Arial" w:hAnsi="Arial"/>
          <w:b w:val="false"/>
          <w:bCs w:val="false"/>
          <w:color w:val="1A1A1A"/>
          <w:sz w:val="20"/>
          <w:szCs w:val="20"/>
        </w:rPr>
        <w:t xml:space="preserve">	4</w:t>
      </w:r>
    </w:p>
    <w:p>
      <w:pPr>
        <w:tabs>
          <w:tab w:val="right" w:pos="9026" w:leader="dot"/>
        </w:tabs>
        <w:spacing w:after="130" w:line="264"/>
      </w:pPr>
      <w:r>
        <w:rPr>
          <w:rFonts w:ascii="Arial" w:cs="Arial" w:eastAsia="Arial" w:hAnsi="Arial"/>
          <w:b w:val="false"/>
          <w:bCs w:val="false"/>
          <w:color w:val="1A1A1A"/>
          <w:sz w:val="20"/>
          <w:szCs w:val="20"/>
        </w:rPr>
        <w:t xml:space="preserve">3.  Architecture</w:t>
      </w:r>
      <w:r>
        <w:rPr>
          <w:rFonts w:ascii="Arial" w:cs="Arial" w:eastAsia="Arial" w:hAnsi="Arial"/>
          <w:b w:val="false"/>
          <w:bCs w:val="false"/>
          <w:color w:val="1A1A1A"/>
          <w:sz w:val="20"/>
          <w:szCs w:val="20"/>
        </w:rPr>
        <w:t xml:space="preserve">	5</w:t>
      </w:r>
    </w:p>
    <w:p>
      <w:pPr>
        <w:tabs>
          <w:tab w:val="right" w:pos="9026" w:leader="dot"/>
        </w:tabs>
        <w:spacing w:after="130" w:line="264"/>
      </w:pPr>
      <w:r>
        <w:rPr>
          <w:rFonts w:ascii="Arial" w:cs="Arial" w:eastAsia="Arial" w:hAnsi="Arial"/>
          <w:b w:val="false"/>
          <w:bCs w:val="false"/>
          <w:color w:val="1A1A1A"/>
          <w:sz w:val="20"/>
          <w:szCs w:val="20"/>
        </w:rPr>
        <w:t xml:space="preserve">4.  The core boundary</w:t>
      </w:r>
      <w:r>
        <w:rPr>
          <w:rFonts w:ascii="Arial" w:cs="Arial" w:eastAsia="Arial" w:hAnsi="Arial"/>
          <w:b w:val="false"/>
          <w:bCs w:val="false"/>
          <w:color w:val="1A1A1A"/>
          <w:sz w:val="20"/>
          <w:szCs w:val="20"/>
        </w:rPr>
        <w:t xml:space="preserve">	7</w:t>
      </w:r>
    </w:p>
    <w:p>
      <w:pPr>
        <w:tabs>
          <w:tab w:val="right" w:pos="9026" w:leader="dot"/>
        </w:tabs>
        <w:spacing w:after="130" w:line="264"/>
      </w:pPr>
      <w:r>
        <w:rPr>
          <w:rFonts w:ascii="Arial" w:cs="Arial" w:eastAsia="Arial" w:hAnsi="Arial"/>
          <w:b w:val="false"/>
          <w:bCs w:val="false"/>
          <w:color w:val="1A1A1A"/>
          <w:sz w:val="20"/>
          <w:szCs w:val="20"/>
        </w:rPr>
        <w:t xml:space="preserve">5.  Job evaluation</w:t>
      </w:r>
      <w:r>
        <w:rPr>
          <w:rFonts w:ascii="Arial" w:cs="Arial" w:eastAsia="Arial" w:hAnsi="Arial"/>
          <w:b w:val="false"/>
          <w:bCs w:val="false"/>
          <w:color w:val="1A1A1A"/>
          <w:sz w:val="20"/>
          <w:szCs w:val="20"/>
        </w:rPr>
        <w:t xml:space="preserve">	8</w:t>
      </w:r>
    </w:p>
    <w:p>
      <w:pPr>
        <w:tabs>
          <w:tab w:val="right" w:pos="9026" w:leader="dot"/>
        </w:tabs>
        <w:spacing w:after="130" w:line="264"/>
      </w:pPr>
      <w:r>
        <w:rPr>
          <w:rFonts w:ascii="Arial" w:cs="Arial" w:eastAsia="Arial" w:hAnsi="Arial"/>
          <w:b w:val="false"/>
          <w:bCs w:val="false"/>
          <w:color w:val="1A1A1A"/>
          <w:sz w:val="20"/>
          <w:szCs w:val="20"/>
        </w:rPr>
        <w:t xml:space="preserve">6.  Compensation &amp; pay</w:t>
      </w:r>
      <w:r>
        <w:rPr>
          <w:rFonts w:ascii="Arial" w:cs="Arial" w:eastAsia="Arial" w:hAnsi="Arial"/>
          <w:b w:val="false"/>
          <w:bCs w:val="false"/>
          <w:color w:val="1A1A1A"/>
          <w:sz w:val="20"/>
          <w:szCs w:val="20"/>
        </w:rPr>
        <w:t xml:space="preserve">	9</w:t>
      </w:r>
    </w:p>
    <w:p>
      <w:pPr>
        <w:tabs>
          <w:tab w:val="right" w:pos="9026" w:leader="dot"/>
        </w:tabs>
        <w:spacing w:after="130" w:line="264"/>
      </w:pPr>
      <w:r>
        <w:rPr>
          <w:rFonts w:ascii="Arial" w:cs="Arial" w:eastAsia="Arial" w:hAnsi="Arial"/>
          <w:b w:val="false"/>
          <w:bCs w:val="false"/>
          <w:color w:val="1A1A1A"/>
          <w:sz w:val="20"/>
          <w:szCs w:val="20"/>
        </w:rPr>
        <w:t xml:space="preserve">7.  The competency spine</w:t>
      </w:r>
      <w:r>
        <w:rPr>
          <w:rFonts w:ascii="Arial" w:cs="Arial" w:eastAsia="Arial" w:hAnsi="Arial"/>
          <w:b w:val="false"/>
          <w:bCs w:val="false"/>
          <w:color w:val="1A1A1A"/>
          <w:sz w:val="20"/>
          <w:szCs w:val="20"/>
        </w:rPr>
        <w:t xml:space="preserve">	10</w:t>
      </w:r>
    </w:p>
    <w:p>
      <w:pPr>
        <w:tabs>
          <w:tab w:val="right" w:pos="9026" w:leader="dot"/>
        </w:tabs>
        <w:spacing w:after="130" w:line="264"/>
      </w:pPr>
      <w:r>
        <w:rPr>
          <w:rFonts w:ascii="Arial" w:cs="Arial" w:eastAsia="Arial" w:hAnsi="Arial"/>
          <w:b w:val="false"/>
          <w:bCs w:val="false"/>
          <w:color w:val="1A1A1A"/>
          <w:sz w:val="20"/>
          <w:szCs w:val="20"/>
        </w:rPr>
        <w:t xml:space="preserve">8.  Person assessment</w:t>
      </w:r>
      <w:r>
        <w:rPr>
          <w:rFonts w:ascii="Arial" w:cs="Arial" w:eastAsia="Arial" w:hAnsi="Arial"/>
          <w:b w:val="false"/>
          <w:bCs w:val="false"/>
          <w:color w:val="1A1A1A"/>
          <w:sz w:val="20"/>
          <w:szCs w:val="20"/>
        </w:rPr>
        <w:t xml:space="preserve">	12</w:t>
      </w:r>
    </w:p>
    <w:p>
      <w:pPr>
        <w:tabs>
          <w:tab w:val="right" w:pos="9026" w:leader="dot"/>
        </w:tabs>
        <w:spacing w:after="130" w:line="264"/>
      </w:pPr>
      <w:r>
        <w:rPr>
          <w:rFonts w:ascii="Arial" w:cs="Arial" w:eastAsia="Arial" w:hAnsi="Arial"/>
          <w:b w:val="false"/>
          <w:bCs w:val="false"/>
          <w:color w:val="1A1A1A"/>
          <w:sz w:val="20"/>
          <w:szCs w:val="20"/>
        </w:rPr>
        <w:t xml:space="preserve">9.  Sequencing &amp; delivery</w:t>
      </w:r>
      <w:r>
        <w:rPr>
          <w:rFonts w:ascii="Arial" w:cs="Arial" w:eastAsia="Arial" w:hAnsi="Arial"/>
          <w:b w:val="false"/>
          <w:bCs w:val="false"/>
          <w:color w:val="1A1A1A"/>
          <w:sz w:val="20"/>
          <w:szCs w:val="20"/>
        </w:rPr>
        <w:t xml:space="preserve">	13</w:t>
      </w:r>
    </w:p>
    <w:p>
      <w:pPr>
        <w:tabs>
          <w:tab w:val="right" w:pos="9026" w:leader="dot"/>
        </w:tabs>
        <w:spacing w:after="130" w:line="264"/>
      </w:pPr>
      <w:r>
        <w:rPr>
          <w:rFonts w:ascii="Arial" w:cs="Arial" w:eastAsia="Arial" w:hAnsi="Arial"/>
          <w:b w:val="false"/>
          <w:bCs w:val="false"/>
          <w:color w:val="1A1A1A"/>
          <w:sz w:val="20"/>
          <w:szCs w:val="20"/>
        </w:rPr>
        <w:t xml:space="preserve">10. Superseded framings</w:t>
      </w:r>
      <w:r>
        <w:rPr>
          <w:rFonts w:ascii="Arial" w:cs="Arial" w:eastAsia="Arial" w:hAnsi="Arial"/>
          <w:b w:val="false"/>
          <w:bCs w:val="false"/>
          <w:color w:val="1A1A1A"/>
          <w:sz w:val="20"/>
          <w:szCs w:val="20"/>
        </w:rPr>
        <w:t xml:space="preserve">	14</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1. Platform &amp; Packaging</w:t>
      </w:r>
    </w:p>
    <w:p>
      <w:pPr>
        <w:keepNext/>
        <w:spacing w:after="60" w:before="200"/>
      </w:pPr>
      <w:r>
        <w:rPr>
          <w:rFonts w:ascii="Arial" w:cs="Arial" w:eastAsia="Arial" w:hAnsi="Arial"/>
          <w:b/>
          <w:bCs/>
          <w:color w:val="1F3864"/>
          <w:sz w:val="20"/>
          <w:szCs w:val="20"/>
        </w:rPr>
        <w:t xml:space="preserve">Core declares, paid products derive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Gating structure entry behind a paid tool, so that entering grades required Job Evaluation.</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Government and state-owned enterprises — the best-fit customers — already have a grade ladder and a pay scale. Charging them to type in a structure they have run for thirty years is friction applied exactly where the deal is most winnable. Free entry also produces the diagnostic that sells the paid tool.</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Manual entry stops being an on-ramp and becomes a permanent substitute — i.e. customers with 200 jobs are hand-entering at scale and never converting.</w:t>
      </w:r>
    </w:p>
    <w:p>
      <w:pPr>
        <w:keepNext/>
        <w:spacing w:after="60" w:before="200"/>
      </w:pPr>
      <w:r>
        <w:rPr>
          <w:rFonts w:ascii="Arial" w:cs="Arial" w:eastAsia="Arial" w:hAnsi="Arial"/>
          <w:b/>
          <w:bCs/>
          <w:color w:val="1F3864"/>
          <w:sz w:val="20"/>
          <w:szCs w:val="20"/>
        </w:rPr>
        <w:t xml:space="preserve">Manual entry is complete but unassisted</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Deliberately crippling manual entry to force an upgrade.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We charge for volume, defensibility, and market data — not for capability. A half-working free tier makes the platform untrustworthy and blocks Payroll and compa-ratio for customers who never wanted a design tool.</w:t>
      </w:r>
    </w:p>
    <w:p>
      <w:pPr>
        <w:keepNext/>
        <w:spacing w:after="60" w:before="200"/>
      </w:pPr>
      <w:r>
        <w:rPr>
          <w:rFonts w:ascii="Arial" w:cs="Arial" w:eastAsia="Arial" w:hAnsi="Arial"/>
          <w:b/>
          <w:bCs/>
          <w:color w:val="1F3864"/>
          <w:sz w:val="20"/>
          <w:szCs w:val="20"/>
        </w:rPr>
        <w:t xml:space="preserve">The Job &amp; Reward trio becomes a free core plus three separately sellable products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Keeping one bundled "Job &amp; Reward Design" SKU covering evaluation, grading, and salary.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dependency structure is a fan, not a chain: Job Evaluation and Compensation both sit directly on the core and are independent of each other. A customer with an existing ladder needs only Compensation. Bundling forced them to buy an evaluation engine they had no use for.</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Buyers consistently purchase all three anyway, making the split administrative overhead with no commercial benefit.</w:t>
      </w:r>
    </w:p>
    <w:p>
      <w:pPr>
        <w:keepNext/>
        <w:spacing w:after="60" w:before="200"/>
      </w:pPr>
      <w:r>
        <w:rPr>
          <w:rFonts w:ascii="Arial" w:cs="Arial" w:eastAsia="Arial" w:hAnsi="Arial"/>
          <w:b/>
          <w:bCs/>
          <w:color w:val="1F3864"/>
          <w:sz w:val="20"/>
          <w:szCs w:val="20"/>
        </w:rPr>
        <w:t xml:space="preserve">The product is named Compensation, not Salary Builder</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"Salary Builder" (the original name) and "Reward".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"Salary Builder" names a design-time action, but the product owns actual pay analysis, compa-ratio, internal equity, market data, and the merit matrix — building bands is one function of several. "Reward" is UK consulting idiom and reads less clearly in this market. "Compensation Management" was avoided as too easily confused with Payroll.</w:t>
      </w:r>
    </w:p>
    <w:p>
      <w:pPr>
        <w:keepNext/>
        <w:spacing w:after="60" w:before="200"/>
      </w:pPr>
      <w:r>
        <w:rPr>
          <w:rFonts w:ascii="Arial" w:cs="Arial" w:eastAsia="Arial" w:hAnsi="Arial"/>
          <w:b/>
          <w:bCs/>
          <w:color w:val="1F3864"/>
          <w:sz w:val="20"/>
          <w:szCs w:val="20"/>
        </w:rPr>
        <w:t xml:space="preserve">Methodology &amp; Competency Designer is one product with three content types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Separate SKUs per content type — a Job Evaluation Designer, a Competency Designer, an Instrument Designer.</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machinery is identical for all three: author, version, validate, grant, publish as an immutable snapshot. The buyer is the same in every case — a consulting practice or a sophisticated in-house HR function. Three SKUs would be three things nobody buys individually.</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A customer emerges who wants competency authoring without any evaluation methodology.</w:t>
      </w:r>
    </w:p>
    <w:p>
      <w:pPr>
        <w:keepNext/>
        <w:spacing w:after="60" w:before="200"/>
      </w:pPr>
      <w:r>
        <w:rPr>
          <w:rFonts w:ascii="Arial" w:cs="Arial" w:eastAsia="Arial" w:hAnsi="Arial"/>
          <w:b/>
          <w:bCs/>
          <w:color w:val="1F3864"/>
          <w:sz w:val="20"/>
          <w:szCs w:val="20"/>
        </w:rPr>
        <w:t xml:space="preserve">The product discipline has four parts, not three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The original three: what it owns, what it pulls from siblings, what the manual fallback is.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 customer who already runs an established system for one function will not replace it. A named adapter contract per product is a different commitment from a generic CSV path, and pretending otherwise loses deals at implementation time.</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2. Tenancy &amp; Operating Model</w:t>
      </w:r>
    </w:p>
    <w:p>
      <w:pPr>
        <w:keepNext/>
        <w:spacing w:after="60" w:before="200"/>
      </w:pPr>
      <w:r>
        <w:rPr>
          <w:rFonts w:ascii="Arial" w:cs="Arial" w:eastAsia="Arial" w:hAnsi="Arial"/>
          <w:b/>
          <w:bCs/>
          <w:color w:val="1F3864"/>
          <w:sz w:val="20"/>
          <w:szCs w:val="20"/>
        </w:rPr>
        <w:t xml:space="preserve">Three coexisting operating modes, not a Model A → Model B progression</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The original framing: start as an internal consulting tool (Model A), evolve to client self-serve (Model B).</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What actually exists is three modes that coexist and differ only in who holds the access rows: supply (Farouk grants authored artifacts, the customer works in their own tenant), operate (consultants hold cross-tenant access and do the work), and self-serve. A progression implies operate is a temporary stage to be outgrown, but it is a permanent service offering and real consulting revenue.</w:t>
      </w:r>
    </w:p>
    <w:p>
      <w:pPr>
        <w:keepNext/>
        <w:spacing w:after="60" w:before="200"/>
      </w:pPr>
      <w:r>
        <w:rPr>
          <w:rFonts w:ascii="Arial" w:cs="Arial" w:eastAsia="Arial" w:hAnsi="Arial"/>
          <w:b/>
          <w:bCs/>
          <w:color w:val="1F3864"/>
          <w:sz w:val="20"/>
          <w:szCs w:val="20"/>
        </w:rPr>
        <w:t xml:space="preserve">One organization = one tenant = one database. Always.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Allowing a tenant database to hold more than one organization, for groups and holding companies.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If a tenant database ever holds two organizations, DB-per-tenant is broken and every query in the system needs scoping rules. Any grouping above the organization is a control-plane concern.</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Realistically never. This is the load-bearing rule the account structure is designed around.</w:t>
      </w:r>
    </w:p>
    <w:p>
      <w:pPr>
        <w:keepNext/>
        <w:spacing w:after="60" w:before="200"/>
      </w:pPr>
      <w:r>
        <w:rPr>
          <w:rFonts w:ascii="Arial" w:cs="Arial" w:eastAsia="Arial" w:hAnsi="Arial"/>
          <w:b/>
          <w:bCs/>
          <w:color w:val="1F3864"/>
          <w:sz w:val="20"/>
          <w:szCs w:val="20"/>
        </w:rPr>
        <w:t xml:space="preserve">Tenants carry a type: Client, Scratch, Demo</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single undifferentiated tenant type.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Calibration sandboxes and demo databases must be excluded from billing, backups, and future benchmark extracts. Without a type, every such process needs a manual exclusion list.</w:t>
      </w:r>
    </w:p>
    <w:p>
      <w:pPr>
        <w:keepNext/>
        <w:spacing w:after="60" w:before="200"/>
      </w:pPr>
      <w:r>
        <w:rPr>
          <w:rFonts w:ascii="Arial" w:cs="Arial" w:eastAsia="Arial" w:hAnsi="Arial"/>
          <w:b/>
          <w:bCs/>
          <w:color w:val="1F3864"/>
          <w:sz w:val="20"/>
          <w:szCs w:val="20"/>
        </w:rPr>
        <w:t xml:space="preserve">Control-plane Tenant and tenant-database Organization are distinct records with no mirrored fields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Duplicating descriptive fields on both sides for convenience.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Two homes for one field guarantee drift. Tenant is the routing and billing record; Organization is the descriptive record. Each field has exactly one home.</w:t>
      </w:r>
    </w:p>
    <w:p>
      <w:pPr>
        <w:keepNext/>
        <w:spacing w:after="60" w:before="200"/>
      </w:pPr>
      <w:r>
        <w:rPr>
          <w:rFonts w:ascii="Arial" w:cs="Arial" w:eastAsia="Arial" w:hAnsi="Arial"/>
          <w:b/>
          <w:bCs/>
          <w:color w:val="1F3864"/>
          <w:sz w:val="20"/>
          <w:szCs w:val="20"/>
        </w:rPr>
        <w:t xml:space="preserve">Account and subscription structure deferred; entitlement service built now</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Building the full account/subscription/billing structure now, or building nothing at all.</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whole structure lives in the control plane — one database, one migration, no tenant schema change — so it is cheap to add later. The single exception is the entitlement check ("does this tenant have product X"), because retrofitting that means auditing every endpoint. It is therefore built now as a service returning true for everything.</w:t>
      </w:r>
    </w:p>
    <w:p>
      <w:pPr>
        <w:keepNext/>
        <w:spacing w:after="60" w:before="200"/>
      </w:pPr>
      <w:r>
        <w:rPr>
          <w:rFonts w:ascii="Arial" w:cs="Arial" w:eastAsia="Arial" w:hAnsi="Arial"/>
          <w:b/>
          <w:bCs/>
          <w:color w:val="1F3864"/>
          <w:sz w:val="20"/>
          <w:szCs w:val="20"/>
        </w:rPr>
        <w:t xml:space="preserve">The future cross-organization dashboard reads from a scheduled extract, not live fan-out</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Live fan-out reads across tenant databases at request time.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Under DB-per-tenant, aggregating across organizations means querying many databases, which puts analytical load on production tenants. The aggregation store already planned for the market benchmark is the same pattern with a different consumer.</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3. Architecture</w:t>
      </w:r>
    </w:p>
    <w:p>
      <w:pPr>
        <w:keepNext/>
        <w:spacing w:after="60" w:before="200"/>
      </w:pPr>
      <w:r>
        <w:rPr>
          <w:rFonts w:ascii="Arial" w:cs="Arial" w:eastAsia="Arial" w:hAnsi="Arial"/>
          <w:b/>
          <w:bCs/>
          <w:color w:val="1F3864"/>
          <w:sz w:val="20"/>
          <w:szCs w:val="20"/>
        </w:rPr>
        <w:t xml:space="preserve">Modular monolith, not microservices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Microservices, one per product.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DB-per-tenant already provides the isolation microservices are usually reached for. The on-prem artifact must be a single deployable a ministry can install. À-la-carte selling is a licensing concern, not a deployment one. And microservices would multiply per-tenant database connections across every service, which gets ugly fast under DB-per-tenant. Module boundaries stay compiler-enforced so extraction remains available.</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A specific product develops a real independent scaling need — not a hypothetical one.</w:t>
      </w:r>
    </w:p>
    <w:p>
      <w:pPr>
        <w:keepNext/>
        <w:spacing w:after="60" w:before="200"/>
      </w:pPr>
      <w:r>
        <w:rPr>
          <w:rFonts w:ascii="Arial" w:cs="Arial" w:eastAsia="Arial" w:hAnsi="Arial"/>
          <w:b/>
          <w:bCs/>
          <w:color w:val="1F3864"/>
          <w:sz w:val="20"/>
          <w:szCs w:val="20"/>
        </w:rPr>
        <w:t xml:space="preserve">DB-per-tenant on PostgreSQL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Shared database with tenant_id columns.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Strongest isolation, clean per-customer backup, no per-tenant licensing cost, and the cleanest on-prem path — one tenant database plus the application is the whole artifact. Fits a small number of large accounts rather than a long tail.</w:t>
      </w:r>
    </w:p>
    <w:p>
      <w:pPr>
        <w:keepNext/>
        <w:spacing w:after="60" w:before="200"/>
      </w:pPr>
      <w:r>
        <w:rPr>
          <w:rFonts w:ascii="Arial" w:cs="Arial" w:eastAsia="Arial" w:hAnsi="Arial"/>
          <w:b/>
          <w:bCs/>
          <w:color w:val="1F3864"/>
          <w:sz w:val="20"/>
          <w:szCs w:val="20"/>
        </w:rPr>
        <w:t xml:space="preserve">Queries stay provider-agnostic</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Using PostgreSQL-specific features freely in application queries.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Government RFPs in this market can carry a contractual SQL Server mandate. Postgres-specific DDL in migrations is fine; hot-path queries are not.</w:t>
      </w:r>
    </w:p>
    <w:p>
      <w:pPr>
        <w:keepNext/>
        <w:spacing w:after="60" w:before="200"/>
      </w:pPr>
      <w:r>
        <w:rPr>
          <w:rFonts w:ascii="Arial" w:cs="Arial" w:eastAsia="Arial" w:hAnsi="Arial"/>
          <w:b/>
          <w:bCs/>
          <w:color w:val="1F3864"/>
          <w:sz w:val="20"/>
          <w:szCs w:val="20"/>
        </w:rPr>
        <w:t xml:space="preserve">Granted content is published into the tenant database as an immutable snapshot</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foreign key from the tenant database to a methodology held centrally in the control plane.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An evaluation must pin a version that physically exists in its own database. A reference to a central store could change or be deleted, destroying the audit trail that makes the grade defensible. Same reasoning as the points snapshot on an answer row, one level up.</w:t>
      </w:r>
    </w:p>
    <w:p>
      <w:pPr>
        <w:keepNext/>
        <w:spacing w:after="60" w:before="200"/>
      </w:pPr>
      <w:r>
        <w:rPr>
          <w:rFonts w:ascii="Arial" w:cs="Arial" w:eastAsia="Arial" w:hAnsi="Arial"/>
          <w:b/>
          <w:bCs/>
          <w:color w:val="1F3864"/>
          <w:sz w:val="20"/>
          <w:szCs w:val="20"/>
        </w:rPr>
        <w:t xml:space="preserve">Revoking a grant never deletes published snapshots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Cascading deletion when a grant is revoked.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Historical evaluations reference specific versions. A cascade would silently destroy their audit trail — which is the product.</w:t>
      </w:r>
    </w:p>
    <w:p>
      <w:pPr>
        <w:keepNext/>
        <w:spacing w:after="60" w:before="200"/>
      </w:pPr>
      <w:r>
        <w:rPr>
          <w:rFonts w:ascii="Arial" w:cs="Arial" w:eastAsia="Arial" w:hAnsi="Arial"/>
          <w:b/>
          <w:bCs/>
          <w:color w:val="1F3864"/>
          <w:sz w:val="20"/>
          <w:szCs w:val="20"/>
        </w:rPr>
        <w:t xml:space="preserve">Expand-and-contract migrations, without exception</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Straightforward in-place schema changes.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application and every tenant database cannot migrate atomically. Add a nullable column, deploy an application tolerating both shapes, backfill, drop the old column in a later release. This is the rule that makes multi-tenant migration survivable at all.</w:t>
      </w:r>
    </w:p>
    <w:p>
      <w:pPr>
        <w:keepNext/>
        <w:spacing w:after="60" w:before="200"/>
      </w:pPr>
      <w:r>
        <w:rPr>
          <w:rFonts w:ascii="Arial" w:cs="Arial" w:eastAsia="Arial" w:hAnsi="Arial"/>
          <w:b/>
          <w:bCs/>
          <w:color w:val="1F3864"/>
          <w:sz w:val="20"/>
          <w:szCs w:val="20"/>
        </w:rPr>
        <w:t xml:space="preserve">Control plane migrates first; Scratch and Demo tenants are canaries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Migrating all databases in arbitrary order.</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Grants and entitlements live in the control plane, and tenant schema may depend on the new shape. Non-client tenants absorb failures that would otherwise hit a customer.</w:t>
      </w:r>
    </w:p>
    <w:p>
      <w:pPr>
        <w:keepNext/>
        <w:spacing w:after="60" w:before="200"/>
      </w:pPr>
      <w:r>
        <w:rPr>
          <w:rFonts w:ascii="Arial" w:cs="Arial" w:eastAsia="Arial" w:hAnsi="Arial"/>
          <w:b/>
          <w:bCs/>
          <w:color w:val="1F3864"/>
          <w:sz w:val="20"/>
          <w:szCs w:val="20"/>
        </w:rPr>
        <w:t xml:space="preserve">A schema-version registry records per-tenant migration state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Discovering a tenant’s state by running against it.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Without a registry there is no way to answer "which tenants are on which version" other than probing production databases one at a time.</w:t>
      </w:r>
    </w:p>
    <w:p>
      <w:pPr>
        <w:keepNext/>
        <w:spacing w:after="60" w:before="200"/>
      </w:pPr>
      <w:r>
        <w:rPr>
          <w:rFonts w:ascii="Arial" w:cs="Arial" w:eastAsia="Arial" w:hAnsi="Arial"/>
          <w:b/>
          <w:bCs/>
          <w:color w:val="1F3864"/>
          <w:sz w:val="20"/>
          <w:szCs w:val="20"/>
        </w:rPr>
        <w:t xml:space="preserve">Content updates are offered, never pushed</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Auto-applying improved seed sets and new methodology versions.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Anything a customer has edited is theirs. A forced seed upgrade would silently change required profiles built on the previous version.</w:t>
      </w:r>
    </w:p>
    <w:p>
      <w:pPr>
        <w:keepNext/>
        <w:spacing w:after="60" w:before="200"/>
      </w:pPr>
      <w:r>
        <w:rPr>
          <w:rFonts w:ascii="Arial" w:cs="Arial" w:eastAsia="Arial" w:hAnsi="Arial"/>
          <w:b/>
          <w:bCs/>
          <w:color w:val="1F3864"/>
          <w:sz w:val="20"/>
          <w:szCs w:val="20"/>
        </w:rPr>
        <w:t xml:space="preserve">A minimum supported schema version is declared</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Assuming all tenants are current.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On-prem tenants lag — a ministry may sit months behind. Without a declared floor, the application must tolerate every version ever shipped.</w:t>
      </w:r>
    </w:p>
    <w:p>
      <w:pPr>
        <w:keepNext/>
        <w:spacing w:after="60" w:before="200"/>
      </w:pPr>
      <w:r>
        <w:rPr>
          <w:rFonts w:ascii="Arial" w:cs="Arial" w:eastAsia="Arial" w:hAnsi="Arial"/>
          <w:b/>
          <w:bCs/>
          <w:color w:val="1F3864"/>
          <w:sz w:val="20"/>
          <w:szCs w:val="20"/>
        </w:rPr>
        <w:t xml:space="preserve">Adapter priority: time &amp; attendance → payroll export → HRIS import → project tools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Building adapters in product-build order.</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Ranked by what a client is least likely to give up. Attendance is the system Egyptian clients most often keep, and it unblocks Payroll. Project tools are not needed until Phase 3.</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4. The Core Boundary</w:t>
      </w:r>
    </w:p>
    <w:p>
      <w:pPr>
        <w:keepNext/>
        <w:spacing w:after="60" w:before="200"/>
      </w:pPr>
      <w:r>
        <w:rPr>
          <w:rFonts w:ascii="Arial" w:cs="Arial" w:eastAsia="Arial" w:hAnsi="Arial"/>
          <w:b/>
          <w:bCs/>
          <w:color w:val="1F3864"/>
          <w:sz w:val="20"/>
          <w:szCs w:val="20"/>
        </w:rPr>
        <w:t xml:space="preserve">Platform Core is the Organization Builder — free and mandatory</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minimal technical core (identity, tenancy, integration layer only), with structure and grades sold as part of Job Evaluation.</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Core is the faithful representation of the customer’s organization, and every product references it. The inclusion test: what a customer would have to tell us about themselves regardless of what they bought.</w:t>
      </w:r>
    </w:p>
    <w:p>
      <w:pPr>
        <w:keepNext/>
        <w:spacing w:after="60" w:before="200"/>
      </w:pPr>
      <w:r>
        <w:rPr>
          <w:rFonts w:ascii="Arial" w:cs="Arial" w:eastAsia="Arial" w:hAnsi="Arial"/>
          <w:b/>
          <w:bCs/>
          <w:color w:val="1F3864"/>
          <w:sz w:val="20"/>
          <w:szCs w:val="20"/>
        </w:rPr>
        <w:t xml:space="preserve">The roster is core; Personnel is what happens to a person over time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Putting the entire employee master record in Personnel, since Personnel manages people.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Three reasons. Position control does not work without occupancy, and occupancy is a property of the seat. Without a core roster, Performance, Insights, Talent Acquisition, and compa-ratio all inherit a Personnel dependency they do not need. And the consulting engagement needs a roster before Personnel exists, because showing where current staff land in a new structure is much of the deliverable.</w:t>
      </w:r>
    </w:p>
    <w:p>
      <w:pPr>
        <w:keepNext/>
        <w:spacing w:after="60" w:before="200"/>
      </w:pPr>
      <w:r>
        <w:rPr>
          <w:rFonts w:ascii="Arial" w:cs="Arial" w:eastAsia="Arial" w:hAnsi="Arial"/>
          <w:b/>
          <w:bCs/>
          <w:color w:val="1F3864"/>
          <w:sz w:val="20"/>
          <w:szCs w:val="20"/>
        </w:rPr>
        <w:t xml:space="preserve">Drift test: if a field needs a workflow, approval, or attached document, it belongs to Personnel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Case-by-case judgement on each field.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 stated test settles future boundary disputes without re-arguing them. Leave has a request and an approver. A contract has a lifecycle. Emergency contacts have no structural meaning. None of them place anyone in a grid.</w:t>
      </w:r>
    </w:p>
    <w:p>
      <w:pPr>
        <w:keepNext/>
        <w:spacing w:after="60" w:before="200"/>
      </w:pPr>
      <w:r>
        <w:rPr>
          <w:rFonts w:ascii="Arial" w:cs="Arial" w:eastAsia="Arial" w:hAnsi="Arial"/>
          <w:b/>
          <w:bCs/>
          <w:color w:val="1F3864"/>
          <w:sz w:val="20"/>
          <w:szCs w:val="20"/>
        </w:rPr>
        <w:t xml:space="preserve">A promotion splits across the core/Personnel line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Treating promotion wholly as a Personnel workflow.</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assignment record is core, because assignment history answers "two years in grade" and that gate is position control. The workflow that produces the move is a Phase 2/3 product.</w:t>
      </w:r>
    </w:p>
    <w:p>
      <w:pPr>
        <w:keepNext/>
        <w:spacing w:after="60" w:before="200"/>
      </w:pPr>
      <w:r>
        <w:rPr>
          <w:rFonts w:ascii="Arial" w:cs="Arial" w:eastAsia="Arial" w:hAnsi="Arial"/>
          <w:b/>
          <w:bCs/>
          <w:color w:val="1F3864"/>
          <w:sz w:val="20"/>
          <w:szCs w:val="20"/>
        </w:rPr>
        <w:t xml:space="preserve">Career path definition is core; qualification is Talent Management</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Putting career paths entirely in one product.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path — this family’s route through these grades — is a structural declaration. Whether a person qualifies needs the competency gap plus performance history, which only Talent Management has.</w:t>
      </w:r>
    </w:p>
    <w:p>
      <w:pPr>
        <w:keepNext/>
        <w:spacing w:after="60" w:before="200"/>
      </w:pPr>
      <w:r>
        <w:rPr>
          <w:rFonts w:ascii="Arial" w:cs="Arial" w:eastAsia="Arial" w:hAnsi="Arial"/>
          <w:b/>
          <w:bCs/>
          <w:color w:val="1F3864"/>
          <w:sz w:val="20"/>
          <w:szCs w:val="20"/>
        </w:rPr>
        <w:t xml:space="preserve">Location is a core dimension, kept simple for now</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Modelling branches as a type of org unit.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 department can span branches and a branch can host several departments, so they are different dimensions. Geography is also a market-data attribute, so Compensation needs it. Kept minimal for now: a branch is a location pinned to an employee; the fuller model can follow if needed.</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Customers appear with genuinely multi-site departments needing per-site reporting lines.</w:t>
      </w:r>
    </w:p>
    <w:p>
      <w:pPr>
        <w:keepNext/>
        <w:spacing w:after="60" w:before="200"/>
      </w:pPr>
      <w:r>
        <w:rPr>
          <w:rFonts w:ascii="Arial" w:cs="Arial" w:eastAsia="Arial" w:hAnsi="Arial"/>
          <w:b/>
          <w:bCs/>
          <w:color w:val="1F3864"/>
          <w:sz w:val="20"/>
          <w:szCs w:val="20"/>
        </w:rPr>
        <w:t xml:space="preserve">Provenance is recorded on every record more than one source can write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Inferring how a value arrived, or splitting designed and manual values into separate tables.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Separate tables double every query and every downstream join. A provenance column keeps one home per fact and makes the manual path first-class rather than second-class.</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5. Job Evaluation</w:t>
      </w:r>
    </w:p>
    <w:p>
      <w:pPr>
        <w:keepNext/>
        <w:spacing w:after="60" w:before="200"/>
      </w:pPr>
      <w:r>
        <w:rPr>
          <w:rFonts w:ascii="Arial" w:cs="Arial" w:eastAsia="Arial" w:hAnsi="Arial"/>
          <w:b/>
          <w:bCs/>
          <w:color w:val="1F3864"/>
          <w:sz w:val="20"/>
          <w:szCs w:val="20"/>
        </w:rPr>
        <w:t xml:space="preserve">All five levels are evaluable, including C-level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Excluding C-level from evaluation, on the standard argument that executive pay is market and board benchmarked.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exclusion was a process decision dressed as a system rule. There is no system-enforced eligibility gate: keeping a job out of the questionnaire is a choice the consultant makes, and manual grade assignment is the escape hatch for jobs priced outside the structure.</w:t>
      </w:r>
    </w:p>
    <w:p>
      <w:pPr>
        <w:keepNext/>
        <w:spacing w:after="60" w:before="200"/>
      </w:pPr>
      <w:r>
        <w:rPr>
          <w:rFonts w:ascii="Arial" w:cs="Arial" w:eastAsia="Arial" w:hAnsi="Arial"/>
          <w:b/>
          <w:bCs/>
          <w:color w:val="1F3864"/>
          <w:sz w:val="20"/>
          <w:szCs w:val="20"/>
        </w:rPr>
        <w:t xml:space="preserve">Weights, not raw points; unified 1–5 rating</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Fixed point values entered per answer option.</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 version carries a points budget; factors and questions carry weight percentages; points are calculated. This keeps a methodology re-tunable without re-entering every answer option, and makes questions comparable across factors.</w:t>
      </w:r>
    </w:p>
    <w:p>
      <w:pPr>
        <w:keepNext/>
        <w:spacing w:after="60" w:before="200"/>
      </w:pPr>
      <w:r>
        <w:rPr>
          <w:rFonts w:ascii="Arial" w:cs="Arial" w:eastAsia="Arial" w:hAnsi="Arial"/>
          <w:b/>
          <w:bCs/>
          <w:color w:val="1F3864"/>
          <w:sz w:val="20"/>
          <w:szCs w:val="20"/>
        </w:rPr>
        <w:t xml:space="preserve">Grade mappings are tenant-owned</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Holding score-to-grade mappings in the control plane alongside the methodology.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 mapping references the customer’s own grade identifiers, which do not exist in the control plane. A consequence worth keeping visible: the same granted methodology yields different grades in different tenants, which is why the score — not the grade — is the cross-company identity the future benchmark keys on.</w:t>
      </w:r>
    </w:p>
    <w:p>
      <w:pPr>
        <w:keepNext/>
        <w:spacing w:after="60" w:before="200"/>
      </w:pPr>
      <w:r>
        <w:rPr>
          <w:rFonts w:ascii="Arial" w:cs="Arial" w:eastAsia="Arial" w:hAnsi="Arial"/>
          <w:b/>
          <w:bCs/>
          <w:color w:val="1F3864"/>
          <w:sz w:val="20"/>
          <w:szCs w:val="20"/>
        </w:rPr>
        <w:t xml:space="preserve">Calibration is a manual practice discipline, not a product feature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calibration back-test endpoint as a formal go/no-go release gate (the original M3 milestone).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Farouk calibrates on a scratch tenant with fabricated jobs. Building it as a gated product feature added machinery to something that is judgement work. The calibrate endpoint was removed; the shared scoring service it used was kept, so the scoring rules still live in one place.</w:t>
      </w:r>
    </w:p>
    <w:p>
      <w:pPr>
        <w:keepNext/>
        <w:spacing w:after="60" w:before="200"/>
      </w:pPr>
      <w:r>
        <w:rPr>
          <w:rFonts w:ascii="Arial" w:cs="Arial" w:eastAsia="Arial" w:hAnsi="Arial"/>
          <w:b/>
          <w:bCs/>
          <w:color w:val="1F3864"/>
          <w:sz w:val="20"/>
          <w:szCs w:val="20"/>
        </w:rPr>
        <w:t xml:space="preserve">Evaluation answers are immutable; corrections create a new evaluation</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Editing an evaluation in place.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traceability from grade back to the specific answers a named evaluator chose under a pinned version is what makes the grade defensible — and defensibility is the product in a consulting sale.</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6. Compensation &amp; Pay</w:t>
      </w:r>
    </w:p>
    <w:p>
      <w:pPr>
        <w:keepNext/>
        <w:spacing w:after="60" w:before="200"/>
      </w:pPr>
      <w:r>
        <w:rPr>
          <w:rFonts w:ascii="Arial" w:cs="Arial" w:eastAsia="Arial" w:hAnsi="Arial"/>
          <w:b/>
          <w:bCs/>
          <w:color w:val="1F3864"/>
          <w:sz w:val="20"/>
          <w:szCs w:val="20"/>
        </w:rPr>
        <w:t xml:space="preserve">Actual pay is a set of elements, not a single number</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single base salary figure per employee (the original model).</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At El-Delta actual pay is basic plus transport and call allowances plus an optional bonus, with rules attached. A single decimal cannot represent it, and every downstream calculation built on it would be wrong.</w:t>
      </w:r>
    </w:p>
    <w:p>
      <w:pPr>
        <w:keepNext/>
        <w:spacing w:after="60" w:before="200"/>
      </w:pPr>
      <w:r>
        <w:rPr>
          <w:rFonts w:ascii="Arial" w:cs="Arial" w:eastAsia="Arial" w:hAnsi="Arial"/>
          <w:b/>
          <w:bCs/>
          <w:color w:val="1F3864"/>
          <w:sz w:val="20"/>
          <w:szCs w:val="20"/>
        </w:rPr>
        <w:t xml:space="preserve">The pay element catalogue and per-employee amounts live in Core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Personnel (set at contract signing), then Compensation (where the analysis lives). Both were adopted and then reversed.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Personnel, Compensation, and Payroll all write pay amounts. Any single-product home leaves the other two either broken or duplicating. Putting it in Compensation in particular would have made Payroll depend on Compensation, so a customer wanting Personnel plus Payroll would have had nowhere to store pay.</w:t>
      </w:r>
    </w:p>
    <w:p>
      <w:pPr>
        <w:keepNext/>
        <w:spacing w:after="60" w:before="200"/>
      </w:pPr>
      <w:r>
        <w:rPr>
          <w:rFonts w:ascii="Arial" w:cs="Arial" w:eastAsia="Arial" w:hAnsi="Arial"/>
          <w:b/>
          <w:bCs/>
          <w:color w:val="1F3864"/>
          <w:sz w:val="20"/>
          <w:szCs w:val="20"/>
        </w:rPr>
        <w:t xml:space="preserve">Allowance policy rules belong to Compensation; fiscal treatment belongs to Payroll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Putting tax and social-insurance flags on the core element catalogue.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Core owns the element; each product owns its own view of it. A customer without Compensation types amounts in per employee — the same declare/derive line applied to pay.</w:t>
      </w:r>
    </w:p>
    <w:p>
      <w:pPr>
        <w:keepNext/>
        <w:spacing w:after="60" w:before="200"/>
      </w:pPr>
      <w:r>
        <w:rPr>
          <w:rFonts w:ascii="Arial" w:cs="Arial" w:eastAsia="Arial" w:hAnsi="Arial"/>
          <w:b/>
          <w:bCs/>
          <w:color w:val="1F3864"/>
          <w:sz w:val="20"/>
          <w:szCs w:val="20"/>
        </w:rPr>
        <w:t xml:space="preserve">Payroll does not require Compensation</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Bundling them, on the argument that most Payroll buyers want compa-ratio anyway.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Payroll needs the roster, pay element amounts, and a time source — all available without Compensation. Compensation adds market anchoring, band design, allowance rules, compa-ratio, and the merit matrix: valuable, and not on the critical path.</w:t>
      </w:r>
    </w:p>
    <w:p>
      <w:pPr>
        <w:keepNext/>
        <w:spacing w:after="60" w:before="200"/>
      </w:pPr>
      <w:r>
        <w:rPr>
          <w:rFonts w:ascii="Arial" w:cs="Arial" w:eastAsia="Arial" w:hAnsi="Arial"/>
          <w:b/>
          <w:bCs/>
          <w:color w:val="1F3864"/>
          <w:sz w:val="20"/>
          <w:szCs w:val="20"/>
        </w:rPr>
        <w:t xml:space="preserve">Pay basis is explicit on bands and market data</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Leaving "salary" undefined and assuming basic.</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In Egypt a modest basic with a large allowance share is common, partly for social-insurance reasons. Banding on basic alone would price a fraction of what people actually earn, and comparing a band priced on one basis against pay on another produces a number that looks precise and means nothing.</w:t>
      </w:r>
    </w:p>
    <w:p>
      <w:pPr>
        <w:keepNext/>
        <w:spacing w:after="60" w:before="200"/>
      </w:pPr>
      <w:r>
        <w:rPr>
          <w:rFonts w:ascii="Arial" w:cs="Arial" w:eastAsia="Arial" w:hAnsi="Arial"/>
          <w:b/>
          <w:bCs/>
          <w:color w:val="1F3864"/>
          <w:sz w:val="20"/>
          <w:szCs w:val="20"/>
        </w:rPr>
        <w:t xml:space="preserve">Band half-spread defaults to 25% and is stored per band, editable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hardcoded ±25% of midpoint, which is what the codebase originally implemented.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Real structures widen toward senior grades, and the methodology itself calls the uniform value an editable starting point. Hardcoding also made manual band entry impossible, blocking every customer with an existing pay scale.</w:t>
      </w:r>
    </w:p>
    <w:p>
      <w:pPr>
        <w:keepNext/>
        <w:spacing w:after="60" w:before="200"/>
      </w:pPr>
      <w:r>
        <w:rPr>
          <w:rFonts w:ascii="Arial" w:cs="Arial" w:eastAsia="Arial" w:hAnsi="Arial"/>
          <w:b/>
          <w:bCs/>
          <w:color w:val="1F3864"/>
          <w:sz w:val="20"/>
          <w:szCs w:val="20"/>
        </w:rPr>
        <w:t xml:space="preserve">Manual bands are fully supported without Compensation</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Requiring Compensation to hold any band at all.</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 customer’s existing pay scale has to be representable, or Payroll and compa-ratio are locked behind a design tool they did not want. Spread and overlap become derived read-only values rather than required inputs.</w:t>
      </w:r>
    </w:p>
    <w:p>
      <w:pPr>
        <w:keepNext/>
        <w:spacing w:after="60" w:before="200"/>
      </w:pPr>
      <w:r>
        <w:rPr>
          <w:rFonts w:ascii="Arial" w:cs="Arial" w:eastAsia="Arial" w:hAnsi="Arial"/>
          <w:b/>
          <w:bCs/>
          <w:color w:val="1F3864"/>
          <w:sz w:val="20"/>
          <w:szCs w:val="20"/>
        </w:rPr>
        <w:t xml:space="preserve">Internal equity v1 is statistical, not demographic</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Including protected-class dimensions (gender, nationality, age) from the start.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statistical question — are people in the same job paid consistently — needs no protected-class data, and therefore needs no legal review to ship. Job is the primary grain because a grade deliberately spans many jobs and bands deliberately overlap, so dispersion within a grade is partly intended and a poor signal.</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A demographic cut is requested. That is a different product and requires legal sign-off before design, not after.</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7. The Competency Spine</w:t>
      </w:r>
    </w:p>
    <w:p>
      <w:pPr>
        <w:keepNext/>
        <w:spacing w:after="60" w:before="200"/>
      </w:pPr>
      <w:r>
        <w:rPr>
          <w:rFonts w:ascii="Arial" w:cs="Arial" w:eastAsia="Arial" w:hAnsi="Arial"/>
          <w:b/>
          <w:bCs/>
          <w:color w:val="1F3864"/>
          <w:sz w:val="20"/>
          <w:szCs w:val="20"/>
        </w:rPr>
        <w:t xml:space="preserve">Uniform 1–5 scale across all competencies, as a platform rule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Per-competency custom scales, configurable by the customer.</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Per-competency scales make gap arithmetic incomparable across competencies and break the compute-once property that justifies the spine existing. Held as a platform rule rather than a customer default so it cannot be configured away.</w:t>
      </w:r>
    </w:p>
    <w:p>
      <w:pPr>
        <w:keepNext/>
        <w:spacing w:after="60" w:before="200"/>
      </w:pPr>
      <w:r>
        <w:rPr>
          <w:rFonts w:ascii="Arial" w:cs="Arial" w:eastAsia="Arial" w:hAnsi="Arial"/>
          <w:b/>
          <w:bCs/>
          <w:color w:val="1F3864"/>
          <w:sz w:val="20"/>
          <w:szCs w:val="20"/>
        </w:rPr>
        <w:t xml:space="preserve">Seed five to eight competencies, not forty</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comprehensive seeded framework covering most functions.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An empty screen kills adoption, but a large seed is worse: it gets accepted unchanged, required profiles get built on it, and the resulting gaps mean nothing while looking complete. A small seed is honestly complete for what it covers and visibly incomplete for what it does not — and the wall the customer hits is where the consulting sale lands.</w:t>
      </w:r>
    </w:p>
    <w:p>
      <w:pPr>
        <w:keepNext/>
        <w:spacing w:after="60" w:before="200"/>
      </w:pPr>
      <w:r>
        <w:rPr>
          <w:rFonts w:ascii="Arial" w:cs="Arial" w:eastAsia="Arial" w:hAnsi="Arial"/>
          <w:b/>
          <w:bCs/>
          <w:color w:val="1F3864"/>
          <w:sz w:val="20"/>
          <w:szCs w:val="20"/>
        </w:rPr>
        <w:t xml:space="preserve">The seeded set ships in the provisioning path as a versioned data file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Authoring it as a default pack in the control plane and granting it like any other content.</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Provisioning was chosen for simplicity. The data-file form (rather than code literals) keeps the diff readable and, with a seed version recorded per tenant, preserves the offer-don’t-push upgrade path.</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Seed changes become frequent enough that shipping a release for each one is a bottleneck — at which point the granted-pack model becomes the better trade.</w:t>
      </w:r>
    </w:p>
    <w:p>
      <w:pPr>
        <w:keepNext/>
        <w:spacing w:after="60" w:before="200"/>
      </w:pPr>
      <w:r>
        <w:rPr>
          <w:rFonts w:ascii="Arial" w:cs="Arial" w:eastAsia="Arial" w:hAnsi="Arial"/>
          <w:b/>
          <w:bCs/>
          <w:color w:val="1F3864"/>
          <w:sz w:val="20"/>
          <w:szCs w:val="20"/>
        </w:rPr>
        <w:t xml:space="preserve">Required profiles bind to the job; templates bind to the family-and-level cell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Binding required profiles to the grade, or defining templates per family only or per level only.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job is what demands a competency; grades are a scoring artifact. Templates at the family-and-level cell mean the template grain is exactly the grading grid coordinate, so templates and the grid share one coordinate system rather than running as parallel schemes. Jobs inherit their cell template and may override.</w:t>
      </w:r>
    </w:p>
    <w:p>
      <w:pPr>
        <w:keepNext/>
        <w:spacing w:after="60" w:before="200"/>
      </w:pPr>
      <w:r>
        <w:rPr>
          <w:rFonts w:ascii="Arial" w:cs="Arial" w:eastAsia="Arial" w:hAnsi="Arial"/>
          <w:b/>
          <w:bCs/>
          <w:color w:val="1F3864"/>
          <w:sz w:val="20"/>
          <w:szCs w:val="20"/>
        </w:rPr>
        <w:t xml:space="preserve">A level-only fallback template applies while a job has no family</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No template until a family is assigned.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Families are nullable by design and a new customer has none defined, so without a fallback no template would match any job at launch — the spine would be inert until the family design work finished.</w:t>
      </w:r>
    </w:p>
    <w:p>
      <w:pPr>
        <w:keepNext/>
        <w:spacing w:after="60" w:before="200"/>
      </w:pPr>
      <w:r>
        <w:rPr>
          <w:rFonts w:ascii="Arial" w:cs="Arial" w:eastAsia="Arial" w:hAnsi="Arial"/>
          <w:b/>
          <w:bCs/>
          <w:color w:val="1F3864"/>
          <w:sz w:val="20"/>
          <w:szCs w:val="20"/>
        </w:rPr>
        <w:t xml:space="preserve">Held profiles resolve by source precedence, not recency</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Most-recent-write-wins.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Recency alone would let a lenient annual appraisal overwrite a rigorous assessment from six months earlier, which is backwards. Assessment outranks a Performance cycle, which outranks a self-declared level; recency breaks ties only within a source.</w:t>
      </w:r>
    </w:p>
    <w:p>
      <w:pPr>
        <w:keepNext/>
        <w:spacing w:after="60" w:before="200"/>
      </w:pPr>
      <w:r>
        <w:rPr>
          <w:rFonts w:ascii="Arial" w:cs="Arial" w:eastAsia="Arial" w:hAnsi="Arial"/>
          <w:b/>
          <w:bCs/>
          <w:color w:val="1F3864"/>
          <w:sz w:val="20"/>
          <w:szCs w:val="20"/>
        </w:rPr>
        <w:t xml:space="preserve">Performance cycles may write to held profiles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Assessment as the sole writer.</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appraisal already rates competencies on the same 1–5 scale, so the observation exists whether or not it is stored. Assessment alone touches only candidates, movers, and succession pools — most employees would have empty held profiles forever, leaving the gap analysis blank. Provenance plus source precedence contains the noise.</w:t>
      </w:r>
    </w:p>
    <w:p>
      <w:pPr>
        <w:keepNext/>
        <w:spacing w:after="60" w:before="200"/>
      </w:pPr>
      <w:r>
        <w:rPr>
          <w:rFonts w:ascii="Arial" w:cs="Arial" w:eastAsia="Arial" w:hAnsi="Arial"/>
          <w:b/>
          <w:bCs/>
          <w:color w:val="1F3864"/>
          <w:sz w:val="20"/>
          <w:szCs w:val="20"/>
        </w:rPr>
        <w:t xml:space="preserve">The gap is core and computed once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Each consuming product computing its own gap.</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Two products computing it separately give two answers to one question. The gap is consumed by Learning, Talent Management, Talent Acquisition, Performance, and career-path qualification.</w:t>
      </w:r>
    </w:p>
    <w:p>
      <w:pPr>
        <w:keepNext/>
        <w:spacing w:after="60" w:before="200"/>
      </w:pPr>
      <w:r>
        <w:rPr>
          <w:rFonts w:ascii="Arial" w:cs="Arial" w:eastAsia="Arial" w:hAnsi="Arial"/>
          <w:b/>
          <w:bCs/>
          <w:color w:val="1F3864"/>
          <w:sz w:val="20"/>
          <w:szCs w:val="20"/>
        </w:rPr>
        <w:t xml:space="preserve">Certifications are live, not dormant</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Building certification fields but leaving the feature switched off, since nothing is mandatory organization-wide at El-Delta.</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Specific jobs do require specific certifications — a cloud engineer needs Azure or AWS. Mandatory-for-role is a real requirement now, not a future one.</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8. Person Assessment</w:t>
      </w:r>
    </w:p>
    <w:p>
      <w:pPr>
        <w:keepNext/>
        <w:spacing w:after="60" w:before="200"/>
      </w:pPr>
      <w:r>
        <w:rPr>
          <w:rFonts w:ascii="Arial" w:cs="Arial" w:eastAsia="Arial" w:hAnsi="Arial"/>
          <w:b/>
          <w:bCs/>
          <w:color w:val="1F3864"/>
          <w:sz w:val="20"/>
          <w:szCs w:val="20"/>
        </w:rPr>
        <w:t xml:space="preserve">Assessment is gating, not advisory</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Advisory scoring that informs but does not block a placement decision.</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Decided by Farouk as a methodology matter.</w:t>
      </w:r>
    </w:p>
    <w:p>
      <w:pPr>
        <w:keepNext/>
        <w:spacing w:after="60" w:before="200"/>
      </w:pPr>
      <w:r>
        <w:rPr>
          <w:rFonts w:ascii="Arial" w:cs="Arial" w:eastAsia="Arial" w:hAnsi="Arial"/>
          <w:b/>
          <w:bCs/>
          <w:color w:val="1F3864"/>
          <w:sz w:val="20"/>
          <w:szCs w:val="20"/>
        </w:rPr>
        <w:t xml:space="preserve">The assessor is HR or the CEO; results are not shown to the person assessed</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Showing individuals their own assessment results.</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Decided by Farouk, consistent with the treatment of burnout and the Health Indicator.</w:t>
      </w:r>
    </w:p>
    <w:p>
      <w:pPr>
        <w:keepNext/>
        <w:spacing w:after="60" w:before="200"/>
      </w:pPr>
      <w:r>
        <w:rPr>
          <w:rFonts w:ascii="Arial" w:cs="Arial" w:eastAsia="Arial" w:hAnsi="Arial"/>
          <w:b/>
          <w:bCs/>
          <w:color w:val="1F3864"/>
          <w:sz w:val="20"/>
          <w:szCs w:val="20"/>
        </w:rPr>
        <w:t xml:space="preserve">Farouk authors the instruments; no third-party instrument is licensed</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Integrating a licensed, validated third-party instrument for the personality dimension specifically.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Decided by Farouk. A recorded caution: validated personality instruments took decades of norming, and an in-house equivalent has unknown predictive validity. Combined with gating and invisibility to the subject, a personality-driven placement decision is the one output in the suite that is hard to defend on appeal — particularly in the SOE channel.</w:t>
      </w:r>
    </w:p>
    <w:p>
      <w:pPr>
        <w:spacing w:after="60" w:line="254"/>
        <w:ind w:left="200"/>
      </w:pPr>
      <w:r>
        <w:rPr>
          <w:rFonts w:ascii="Arial" w:cs="Arial" w:eastAsia="Arial" w:hAnsi="Arial"/>
          <w:b/>
          <w:bCs/>
          <w:color w:val="44546A"/>
          <w:sz w:val="18"/>
          <w:szCs w:val="18"/>
        </w:rPr>
        <w:t xml:space="preserve">Revisit if:  </w:t>
      </w:r>
      <w:r>
        <w:rPr>
          <w:rFonts w:ascii="Arial" w:cs="Arial" w:eastAsia="Arial" w:hAnsi="Arial"/>
          <w:i/>
          <w:iCs/>
          <w:color w:val="1A1A1A"/>
          <w:sz w:val="18"/>
          <w:szCs w:val="18"/>
        </w:rPr>
        <w:t xml:space="preserve">A placement decision is formally challenged, or a customer requires demonstrable instrument validity.</w:t>
      </w:r>
    </w:p>
    <w:p>
      <w:pPr>
        <w:keepNext/>
        <w:spacing w:after="60" w:before="200"/>
      </w:pPr>
      <w:r>
        <w:rPr>
          <w:rFonts w:ascii="Arial" w:cs="Arial" w:eastAsia="Arial" w:hAnsi="Arial"/>
          <w:b/>
          <w:bCs/>
          <w:color w:val="1F3864"/>
          <w:sz w:val="20"/>
          <w:szCs w:val="20"/>
        </w:rPr>
        <w:t xml:space="preserve">Instrument types stay separate in the model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One undifferentiated assessment record.</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Technical knowledge, competency behaviour, and personality carry very different defensibility. Keeping them separate means a placement decision records which instrument drove it, and one type can be revised or de-weighted later without disturbing the others.</w:t>
      </w:r>
    </w:p>
    <w:p>
      <w:pPr>
        <w:keepNext/>
        <w:spacing w:after="60" w:before="200"/>
      </w:pPr>
      <w:r>
        <w:rPr>
          <w:rFonts w:ascii="Arial" w:cs="Arial" w:eastAsia="Arial" w:hAnsi="Arial"/>
          <w:b/>
          <w:bCs/>
          <w:color w:val="1F3864"/>
          <w:sz w:val="20"/>
          <w:szCs w:val="20"/>
        </w:rPr>
        <w:t xml:space="preserve">One assessment engine serves all three populations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Talent Acquisition owning candidate assessment and Talent Management owning succession readiness separately.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External candidates, internal movers, and succession pools are the same measurement against the same competency framework, differing only in subject population and consumer. Separate implementations would build competency assessment three times.</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9. Sequencing &amp; Delivery</w:t>
      </w:r>
    </w:p>
    <w:p>
      <w:pPr>
        <w:keepNext/>
        <w:spacing w:after="60" w:before="200"/>
      </w:pPr>
      <w:r>
        <w:rPr>
          <w:rFonts w:ascii="Arial" w:cs="Arial" w:eastAsia="Arial" w:hAnsi="Arial"/>
          <w:b/>
          <w:bCs/>
          <w:color w:val="1F3864"/>
          <w:sz w:val="20"/>
          <w:szCs w:val="20"/>
        </w:rPr>
        <w:t xml:space="preserve">Build order after core: Personnel → Projects → Performance → Payroll</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Personnel → Payroll first, on the argument that Payroll is the natural follow-on sale.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Payroll is the highest-cost build in the suite because of compliance, and the differentiating products land sooner without it.</w:t>
      </w:r>
    </w:p>
    <w:p>
      <w:pPr>
        <w:keepNext/>
        <w:spacing w:after="60" w:before="200"/>
      </w:pPr>
      <w:r>
        <w:rPr>
          <w:rFonts w:ascii="Arial" w:cs="Arial" w:eastAsia="Arial" w:hAnsi="Arial"/>
          <w:b/>
          <w:bCs/>
          <w:color w:val="1F3864"/>
          <w:sz w:val="20"/>
          <w:szCs w:val="20"/>
        </w:rPr>
        <w:t xml:space="preserve">Refactor the existing codebase; do not rewrite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A clean rewrite against the new architecture.</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expensive parts are already correct: EF conventions, the immutability guard, DB-per-tenant connection routing, UUIDv7, exact-decimal money, bilingual fields, real migrations, and a scoring engine well past a first cut. Everything the new architecture changes is boundaries and additions — moving classes between projects and adding tables — not behaviour.</w:t>
      </w:r>
    </w:p>
    <w:p>
      <w:pPr>
        <w:keepNext/>
        <w:spacing w:after="60" w:before="200"/>
      </w:pPr>
      <w:r>
        <w:rPr>
          <w:rFonts w:ascii="Arial" w:cs="Arial" w:eastAsia="Arial" w:hAnsi="Arial"/>
          <w:b/>
          <w:bCs/>
          <w:color w:val="1F3864"/>
          <w:sz w:val="20"/>
          <w:szCs w:val="20"/>
        </w:rPr>
        <w:t xml:space="preserve">The Material Design 3 frontend rewrite follows the core extraction</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Starting the frontend rewrite immediately.</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refactor changes DTO shapes — editable band min/max, provenance fields, roster fields, spine entities — and the frontend model file is a hand-written mirror of backend DTOs. Rewriting screens against DTOs about to change means doing it twice.</w:t>
      </w:r>
    </w:p>
    <w:p>
      <w:pPr>
        <w:keepNext/>
        <w:spacing w:after="60" w:before="200"/>
      </w:pPr>
      <w:r>
        <w:rPr>
          <w:rFonts w:ascii="Arial" w:cs="Arial" w:eastAsia="Arial" w:hAnsi="Arial"/>
          <w:b/>
          <w:bCs/>
          <w:color w:val="1F3864"/>
          <w:sz w:val="20"/>
          <w:szCs w:val="20"/>
        </w:rPr>
        <w:t xml:space="preserve">The task-completion value chain moves to the Project &amp; Task Management scope</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Keeping it in the portfolio document, where it was the most detailed section.</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It describes a Phase 3 product in more depth than any Phase 1 product, in a document meant to describe each product in a paragraph.</w:t>
      </w:r>
    </w:p>
    <w:p>
      <w:pPr>
        <w:keepNext/>
        <w:spacing w:after="60" w:before="200"/>
      </w:pPr>
      <w:r>
        <w:rPr>
          <w:rFonts w:ascii="Arial" w:cs="Arial" w:eastAsia="Arial" w:hAnsi="Arial"/>
          <w:b/>
          <w:bCs/>
          <w:color w:val="1F3864"/>
          <w:sz w:val="20"/>
          <w:szCs w:val="20"/>
        </w:rPr>
        <w:t xml:space="preserve">The document set splits four ways</w:t>
      </w:r>
    </w:p>
    <w:p>
      <w:pPr>
        <w:spacing w:after="50" w:line="254"/>
        <w:ind w:left="200"/>
      </w:pPr>
      <w:r>
        <w:rPr>
          <w:rFonts w:ascii="Arial" w:cs="Arial" w:eastAsia="Arial" w:hAnsi="Arial"/>
          <w:b/>
          <w:bCs/>
          <w:color w:val="44546A"/>
          <w:sz w:val="18"/>
          <w:szCs w:val="18"/>
        </w:rPr>
        <w:t xml:space="preserve">Considered instead:  </w:t>
      </w:r>
      <w:r>
        <w:rPr>
          <w:rFonts w:ascii="Arial" w:cs="Arial" w:eastAsia="Arial" w:hAnsi="Arial"/>
          <w:color w:val="1A1A1A"/>
          <w:sz w:val="18"/>
          <w:szCs w:val="18"/>
        </w:rPr>
        <w:t xml:space="preserve">One document carrying strategy, product scope, core specification, and build milestones together.</w:t>
      </w:r>
    </w:p>
    <w:p>
      <w:pPr>
        <w:spacing w:after="50" w:line="254"/>
        <w:ind w:left="200"/>
      </w:pPr>
      <w:r>
        <w:rPr>
          <w:rFonts w:ascii="Arial" w:cs="Arial" w:eastAsia="Arial" w:hAnsi="Arial"/>
          <w:b/>
          <w:bCs/>
          <w:color w:val="44546A"/>
          <w:sz w:val="18"/>
          <w:szCs w:val="18"/>
        </w:rPr>
        <w:t xml:space="preserve">Why:  </w:t>
      </w:r>
      <w:r>
        <w:rPr>
          <w:rFonts w:ascii="Arial" w:cs="Arial" w:eastAsia="Arial" w:hAnsi="Arial"/>
          <w:color w:val="1A1A1A"/>
          <w:sz w:val="18"/>
          <w:szCs w:val="18"/>
        </w:rPr>
        <w:t xml:space="preserve">The four have different readers and change at different rates. A live product spec sharing a file with a stable strategy document means either the strategy gets churned or the spec goes stale.</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10. Superseded Framings</w:t>
      </w:r>
    </w:p>
    <w:p>
      <w:pPr>
        <w:spacing w:after="120" w:before="0" w:line="264"/>
      </w:pPr>
      <w:r>
        <w:rPr>
          <w:rFonts w:ascii="Arial" w:cs="Arial" w:eastAsia="Arial" w:hAnsi="Arial"/>
          <w:b w:val="false"/>
          <w:bCs w:val="false"/>
          <w:i w:val="false"/>
          <w:iCs w:val="false"/>
          <w:color w:val="1A1A1A"/>
          <w:sz w:val="20"/>
          <w:szCs w:val="20"/>
        </w:rPr>
        <w:t xml:space="preserve">Models that were used and are no longer current. Recorded so that they are recognised as retired rather than rediscovered as new ideas.</w:t>
      </w:r>
    </w:p>
    <w:p>
      <w:pPr>
        <w:spacing w:after="80"/>
      </w:pPr>
    </w:p>
    <w:tbl>
      <w:tblPr>
        <w:tblW w:type="dxa" w:w="9026"/>
        <w:tblBorders>
          <w:top w:val="single" w:color="BFC9D9" w:sz="4"/>
          <w:left w:val="none" w:color="FFFFFF" w:sz="0"/>
          <w:bottom w:val="single" w:color="BFC9D9" w:sz="4"/>
          <w:right w:val="none" w:color="FFFFFF" w:sz="0"/>
          <w:insideH w:val="single" w:color="BFC9D9" w:sz="2"/>
          <w:insideV w:val="none" w:color="FFFFFF" w:sz="0"/>
        </w:tblBorders>
      </w:tblPr>
      <w:tblGrid>
        <w:gridCol w:w="3400"/>
        <w:gridCol w:w="5626"/>
      </w:tblGrid>
      <w:tr>
        <w:trPr>
          <w:tblHeader/>
        </w:trPr>
        <w:tc>
          <w:tcPr>
            <w:tcW w:type="dxa" w:w="34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Retired framing</w:t>
            </w:r>
          </w:p>
        </w:tc>
        <w:tc>
          <w:tcPr>
            <w:tcW w:type="dxa" w:w="5626"/>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Replaced by</w:t>
            </w:r>
          </w:p>
        </w:tc>
      </w:tr>
      <w:tr>
        <w:tc>
          <w:tcPr>
            <w:tcW w:type="dxa" w:w="3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The five-layer product model (Layer 0 core through Layer 4 analytics)</w:t>
            </w:r>
          </w:p>
        </w:tc>
        <w:tc>
          <w:tcPr>
            <w:tcW w:type="dxa" w:w="5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An explicit dependency graph. Layers conflated three questions — what depends on what, what synthesizes what, what gets built first — that stopped sharing an answer once Job Evaluation and Compensation became independent products at the same depth and the core absorbed grades and bands. Layers survive only as informal sales shorthand.</w:t>
            </w:r>
          </w:p>
        </w:tc>
      </w:tr>
      <w:tr>
        <w:tc>
          <w:tcPr>
            <w:tcW w:type="dxa" w:w="3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Model A → Model B as a progression</w:t>
            </w:r>
          </w:p>
        </w:tc>
        <w:tc>
          <w:tcPr>
            <w:tcW w:type="dxa" w:w="5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Three coexisting operating modes: supply, operate, self-serve.</w:t>
            </w:r>
          </w:p>
        </w:tc>
      </w:tr>
      <w:tr>
        <w:tc>
          <w:tcPr>
            <w:tcW w:type="dxa" w:w="3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"Job &amp; Reward Design" as one bundled SKU</w:t>
            </w:r>
          </w:p>
        </w:tc>
        <w:tc>
          <w:tcPr>
            <w:tcW w:type="dxa" w:w="5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 free Organization Builder plus Job Evaluation, Compensation, and the Methodology &amp; Competency Designer as separate products.</w:t>
            </w:r>
          </w:p>
        </w:tc>
      </w:tr>
      <w:tr>
        <w:tc>
          <w:tcPr>
            <w:tcW w:type="dxa" w:w="3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The trio as a pipeline (score → grades → bands)</w:t>
            </w:r>
          </w:p>
        </w:tc>
        <w:tc>
          <w:tcPr>
            <w:tcW w:type="dxa" w:w="5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 fan. Both products sit on the core independently; the pipeline is one customer journey, not the dependency structure.</w:t>
            </w:r>
          </w:p>
        </w:tc>
      </w:tr>
      <w:tr>
        <w:tc>
          <w:tcPr>
            <w:tcW w:type="dxa" w:w="3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"Salary Builder" as a product name</w:t>
            </w:r>
          </w:p>
        </w:tc>
        <w:tc>
          <w:tcPr>
            <w:tcW w:type="dxa" w:w="5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Compensation.</w:t>
            </w:r>
          </w:p>
        </w:tc>
      </w:tr>
      <w:tr>
        <w:tc>
          <w:tcPr>
            <w:tcW w:type="dxa" w:w="3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Four evaluable levels, C-level excluded</w:t>
            </w:r>
          </w:p>
        </w:tc>
        <w:tc>
          <w:tcPr>
            <w:tcW w:type="dxa" w:w="5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All five levels evaluable, with manual assignment as the escape hatch.</w:t>
            </w:r>
          </w:p>
        </w:tc>
      </w:tr>
      <w:tr>
        <w:tc>
          <w:tcPr>
            <w:tcW w:type="dxa" w:w="3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Calibration back-test as a release gate (milestone M3)</w:t>
            </w:r>
          </w:p>
        </w:tc>
        <w:tc>
          <w:tcPr>
            <w:tcW w:type="dxa" w:w="5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Manual calibration on a scratch tenant, as practice discipline.</w:t>
            </w:r>
          </w:p>
        </w:tc>
      </w:tr>
      <w:tr>
        <w:tc>
          <w:tcPr>
            <w:tcW w:type="dxa" w:w="3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 single BaseSalary decimal per employee</w:t>
            </w:r>
          </w:p>
        </w:tc>
        <w:tc>
          <w:tcPr>
            <w:tcW w:type="dxa" w:w="5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 pay element catalogue plus effective-dated per-employee amounts, in Core.</w:t>
            </w:r>
          </w:p>
        </w:tc>
      </w:tr>
      <w:tr>
        <w:tc>
          <w:tcPr>
            <w:tcW w:type="dxa" w:w="3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"Employee master record" as one concept</w:t>
            </w:r>
          </w:p>
        </w:tc>
        <w:tc>
          <w:tcPr>
            <w:tcW w:type="dxa" w:w="5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 structural roster (core) and Personnel (what happens to a person over time).</w:t>
            </w:r>
          </w:p>
        </w:tc>
      </w:tr>
      <w:tr>
        <w:tc>
          <w:tcPr>
            <w:tcW w:type="dxa" w:w="3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Fixed ±25% band half-spread in code</w:t>
            </w:r>
          </w:p>
        </w:tc>
        <w:tc>
          <w:tcPr>
            <w:tcW w:type="dxa" w:w="5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 per-band editable half-spread defaulting to 25%, plus fully manual bands.</w:t>
            </w:r>
          </w:p>
        </w:tc>
      </w:tr>
      <w:tr>
        <w:tc>
          <w:tcPr>
            <w:tcW w:type="dxa" w:w="3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Job families, promotion criteria, and Health Indicator visibility as methodology items</w:t>
            </w:r>
          </w:p>
        </w:tc>
        <w:tc>
          <w:tcPr>
            <w:tcW w:type="dxa" w:w="5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Tenant configuration, set fresh per customer at onboarding.</w:t>
            </w:r>
          </w:p>
        </w:tc>
      </w:tr>
      <w:tr>
        <w:tc>
          <w:tcPr>
            <w:tcW w:type="dxa" w:w="3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Held profiles written only by a formal assessment</w:t>
            </w:r>
          </w:p>
        </w:tc>
        <w:tc>
          <w:tcPr>
            <w:tcW w:type="dxa" w:w="5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Multiple writers resolved by source precedence.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546A"/>
        <w:sz w:val="16"/>
        <w:szCs w:val="16"/>
      </w:rPr>
      <w:t xml:space="preserve">Page </w:t>
    </w:r>
    <w:r>
      <w:rPr>
        <w:rFonts w:ascii="Arial" w:cs="Arial" w:eastAsia="Arial" w:hAnsi="Arial"/>
        <w:color w:val="44546A"/>
        <w:sz w:val="16"/>
        <w:szCs w:val="16"/>
      </w:rPr>
      <w:fldChar w:fldCharType="begin"/>
      <w:instrText xml:space="preserve">PAGE</w:instrText>
      <w:fldChar w:fldCharType="separate"/>
      <w:fldChar w:fldCharType="end"/>
    </w:r>
    <w:r>
      <w:rPr>
        <w:rFonts w:ascii="Arial" w:cs="Arial" w:eastAsia="Arial" w:hAnsi="Arial"/>
        <w:color w:val="44546A"/>
        <w:sz w:val="16"/>
        <w:szCs w:val="16"/>
      </w:rPr>
      <w:t xml:space="preserve">   —   Working document,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9" w:sz="4" w:space="4"/>
      </w:pBdr>
      <w:spacing w:after="100"/>
      <w:jc w:val="right"/>
    </w:pPr>
    <w:r>
      <w:rPr>
        <w:rFonts w:ascii="Arial" w:cs="Arial" w:eastAsia="Arial" w:hAnsi="Arial"/>
        <w:color w:val="44546A"/>
        <w:sz w:val="16"/>
        <w:szCs w:val="16"/>
      </w:rPr>
      <w:t xml:space="preserve">People Rise  —  Decision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rFonts w:ascii="Arial" w:cs="Arial" w:eastAsia="Arial" w:hAnsi="Arial"/>
        <w:color w:val="2E5C8A"/>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Rise — Decision Log</dc:title>
  <dc:creator>People Rise</dc:creator>
  <cp:lastModifiedBy>Un-named</cp:lastModifiedBy>
  <cp:revision>1</cp:revision>
  <dcterms:created xsi:type="dcterms:W3CDTF">2026-08-11T12:38:42.694Z</dcterms:created>
  <dcterms:modified xsi:type="dcterms:W3CDTF">2026-08-11T12:38:42.694Z</dcterms:modified>
</cp:coreProperties>
</file>

<file path=docProps/custom.xml><?xml version="1.0" encoding="utf-8"?>
<Properties xmlns="http://schemas.openxmlformats.org/officeDocument/2006/custom-properties" xmlns:vt="http://schemas.openxmlformats.org/officeDocument/2006/docPropsVTypes"/>
</file>