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pPr>
      <w:r>
        <w:rPr>
          <w:rFonts w:ascii="Arial" w:cs="Arial" w:eastAsia="Arial" w:hAnsi="Arial"/>
          <w:b/>
          <w:bCs/>
          <w:color w:val="1F3864"/>
          <w:sz w:val="64"/>
          <w:szCs w:val="64"/>
        </w:rPr>
        <w:t xml:space="preserve">People Rise</w:t>
      </w:r>
    </w:p>
    <w:p>
      <w:pPr>
        <w:spacing w:after="0" w:before="120"/>
      </w:pPr>
      <w:r>
        <w:rPr>
          <w:rFonts w:ascii="Arial" w:cs="Arial" w:eastAsia="Arial" w:hAnsi="Arial"/>
          <w:color w:val="2E5C8A"/>
          <w:sz w:val="34"/>
          <w:szCs w:val="34"/>
        </w:rPr>
        <w:t xml:space="preserve">Product Portfolio &amp; Strategy</w:t>
      </w:r>
    </w:p>
    <w:p>
      <w:pPr>
        <w:pBdr>
          <w:bottom w:val="single" w:color="BFC9D9" w:sz="12" w:space="8"/>
        </w:pBdr>
        <w:spacing w:after="260" w:before="200"/>
      </w:pPr>
      <w:r>
        <w:rPr>
          <w:rFonts w:ascii="Arial" w:cs="Arial" w:eastAsia="Arial" w:hAnsi="Arial"/>
          <w:i/>
          <w:iCs/>
          <w:color w:val="44546A"/>
          <w:sz w:val="22"/>
          <w:szCs w:val="22"/>
        </w:rPr>
        <w:t xml:space="preserve">A modular Human Capital Management suite</w:t>
      </w:r>
    </w:p>
    <w:p>
      <w:pPr>
        <w:spacing w:after="90"/>
      </w:pPr>
      <w:r>
        <w:rPr>
          <w:rFonts w:ascii="Arial" w:cs="Arial" w:eastAsia="Arial" w:hAnsi="Arial"/>
          <w:b/>
          <w:bCs/>
          <w:sz w:val="20"/>
          <w:szCs w:val="20"/>
        </w:rPr>
        <w:t xml:space="preserve">Owners:  </w:t>
      </w:r>
      <w:r>
        <w:rPr>
          <w:rFonts w:ascii="Arial" w:cs="Arial" w:eastAsia="Arial" w:hAnsi="Arial"/>
          <w:sz w:val="20"/>
          <w:szCs w:val="20"/>
        </w:rPr>
        <w:t xml:space="preserve">Mahmoud Rayan — technical / product     •     Farouk — HR methodology</w:t>
      </w:r>
    </w:p>
    <w:p>
      <w:pPr>
        <w:spacing w:after="90"/>
      </w:pPr>
      <w:r>
        <w:rPr>
          <w:rFonts w:ascii="Arial" w:cs="Arial" w:eastAsia="Arial" w:hAnsi="Arial"/>
          <w:b/>
          <w:bCs/>
          <w:sz w:val="20"/>
          <w:szCs w:val="20"/>
        </w:rPr>
        <w:t xml:space="preserve">First partner / pilot:  </w:t>
      </w:r>
      <w:r>
        <w:rPr>
          <w:rFonts w:ascii="Arial" w:cs="Arial" w:eastAsia="Arial" w:hAnsi="Arial"/>
          <w:sz w:val="20"/>
          <w:szCs w:val="20"/>
        </w:rPr>
        <w:t xml:space="preserve">El-Delta</w:t>
      </w:r>
    </w:p>
    <w:p>
      <w:pPr>
        <w:spacing w:after="300"/>
      </w:pPr>
      <w:r>
        <w:rPr>
          <w:rFonts w:ascii="Arial" w:cs="Arial" w:eastAsia="Arial" w:hAnsi="Arial"/>
          <w:b/>
          <w:bCs/>
          <w:sz w:val="20"/>
          <w:szCs w:val="20"/>
        </w:rPr>
        <w:t xml:space="preserve">Document set:  </w:t>
      </w:r>
      <w:r>
        <w:rPr>
          <w:rFonts w:ascii="Arial" w:cs="Arial" w:eastAsia="Arial" w:hAnsi="Arial"/>
          <w:sz w:val="20"/>
          <w:szCs w:val="20"/>
        </w:rPr>
        <w:t xml:space="preserve">this portfolio document · one scope document per product · the Core Specification · the Build Approach</w:t>
      </w:r>
    </w:p>
    <w:p>
      <w:pPr>
        <w:pBdr>
          <w:left w:val="single" w:color="2E5C8A" w:sz="18" w:space="10"/>
        </w:pBdr>
        <w:shd w:fill="EDF1F7" w:val="clear"/>
        <w:spacing w:after="140" w:before="160"/>
        <w:ind w:left="220" w:right="220"/>
      </w:pPr>
      <w:r>
        <w:rPr>
          <w:rFonts w:ascii="Arial" w:cs="Arial" w:eastAsia="Arial" w:hAnsi="Arial"/>
          <w:b/>
          <w:bCs/>
          <w:sz w:val="19"/>
          <w:szCs w:val="19"/>
        </w:rPr>
        <w:t xml:space="preserve">What this document is. </w:t>
      </w:r>
      <w:r>
        <w:rPr>
          <w:rFonts w:ascii="Arial" w:cs="Arial" w:eastAsia="Arial" w:hAnsi="Arial"/>
          <w:sz w:val="19"/>
          <w:szCs w:val="19"/>
        </w:rPr>
        <w:t xml:space="preserve">The stable strategy layer: what the platform is, what is locked, how the products depend on one another, what sells alone, and in what order they ship. It describes each product in a paragraph and never in detail — workflows, data models, and integration contracts live in that product’s own scope document, and the core is specified separately as a reference specification because every product depends on it. </w:t>
      </w:r>
    </w:p>
    <w:p>
      <w:pPr>
        <w:spacing w:before="800"/>
      </w:pPr>
      <w:r>
        <w:rPr>
          <w:rFonts w:ascii="Arial" w:cs="Arial" w:eastAsia="Arial" w:hAnsi="Arial"/>
          <w:i/>
          <w:iCs/>
          <w:color w:val="44546A"/>
          <w:sz w:val="18"/>
          <w:szCs w:val="18"/>
        </w:rPr>
        <w:t xml:space="preserve">Working document — confidential</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Contents</w:t>
      </w:r>
    </w:p>
    <w:p>
      <w:pPr>
        <w:spacing w:after="120"/>
      </w:pPr>
    </w:p>
    <w:p>
      <w:pPr>
        <w:tabs>
          <w:tab w:val="right" w:pos="9026" w:leader="dot"/>
        </w:tabs>
        <w:spacing w:after="130" w:line="264"/>
      </w:pPr>
      <w:r>
        <w:rPr>
          <w:rFonts w:ascii="Arial" w:cs="Arial" w:eastAsia="Arial" w:hAnsi="Arial"/>
          <w:b w:val="false"/>
          <w:bCs w:val="false"/>
          <w:color w:val="1A1A1A"/>
          <w:sz w:val="20"/>
          <w:szCs w:val="20"/>
        </w:rPr>
        <w:t xml:space="preserve">1.  The platform concept</w:t>
      </w:r>
      <w:r>
        <w:rPr>
          <w:rFonts w:ascii="Arial" w:cs="Arial" w:eastAsia="Arial" w:hAnsi="Arial"/>
          <w:b w:val="false"/>
          <w:bCs w:val="false"/>
          <w:color w:val="1A1A1A"/>
          <w:sz w:val="20"/>
          <w:szCs w:val="20"/>
        </w:rPr>
        <w:t xml:space="preserve">	3</w:t>
      </w:r>
    </w:p>
    <w:p>
      <w:pPr>
        <w:tabs>
          <w:tab w:val="right" w:pos="9026" w:leader="dot"/>
        </w:tabs>
        <w:spacing w:after="130" w:line="264"/>
      </w:pPr>
      <w:r>
        <w:rPr>
          <w:rFonts w:ascii="Arial" w:cs="Arial" w:eastAsia="Arial" w:hAnsi="Arial"/>
          <w:b w:val="false"/>
          <w:bCs w:val="false"/>
          <w:color w:val="1A1A1A"/>
          <w:sz w:val="20"/>
          <w:szCs w:val="20"/>
        </w:rPr>
        <w:t xml:space="preserve">2.  Operating modes &amp; tenancy</w:t>
      </w:r>
      <w:r>
        <w:rPr>
          <w:rFonts w:ascii="Arial" w:cs="Arial" w:eastAsia="Arial" w:hAnsi="Arial"/>
          <w:b w:val="false"/>
          <w:bCs w:val="false"/>
          <w:color w:val="1A1A1A"/>
          <w:sz w:val="20"/>
          <w:szCs w:val="20"/>
        </w:rPr>
        <w:t xml:space="preserve">	4</w:t>
      </w:r>
    </w:p>
    <w:p>
      <w:pPr>
        <w:tabs>
          <w:tab w:val="right" w:pos="9026" w:leader="dot"/>
        </w:tabs>
        <w:spacing w:after="130" w:line="264"/>
      </w:pPr>
      <w:r>
        <w:rPr>
          <w:rFonts w:ascii="Arial" w:cs="Arial" w:eastAsia="Arial" w:hAnsi="Arial"/>
          <w:b w:val="false"/>
          <w:bCs w:val="false"/>
          <w:color w:val="1A1A1A"/>
          <w:sz w:val="20"/>
          <w:szCs w:val="20"/>
        </w:rPr>
        <w:t xml:space="preserve">3.  Product architecture &amp; the dependency model</w:t>
      </w:r>
      <w:r>
        <w:rPr>
          <w:rFonts w:ascii="Arial" w:cs="Arial" w:eastAsia="Arial" w:hAnsi="Arial"/>
          <w:b w:val="false"/>
          <w:bCs w:val="false"/>
          <w:color w:val="1A1A1A"/>
          <w:sz w:val="20"/>
          <w:szCs w:val="20"/>
        </w:rPr>
        <w:t xml:space="preserve">	6</w:t>
      </w:r>
    </w:p>
    <w:p>
      <w:pPr>
        <w:tabs>
          <w:tab w:val="right" w:pos="9026" w:leader="dot"/>
        </w:tabs>
        <w:spacing w:after="130" w:line="264"/>
      </w:pPr>
      <w:r>
        <w:rPr>
          <w:rFonts w:ascii="Arial" w:cs="Arial" w:eastAsia="Arial" w:hAnsi="Arial"/>
          <w:b w:val="false"/>
          <w:bCs w:val="false"/>
          <w:color w:val="1A1A1A"/>
          <w:sz w:val="20"/>
          <w:szCs w:val="20"/>
        </w:rPr>
        <w:t xml:space="preserve">4.  The sellable products</w:t>
      </w:r>
      <w:r>
        <w:rPr>
          <w:rFonts w:ascii="Arial" w:cs="Arial" w:eastAsia="Arial" w:hAnsi="Arial"/>
          <w:b w:val="false"/>
          <w:bCs w:val="false"/>
          <w:color w:val="1A1A1A"/>
          <w:sz w:val="20"/>
          <w:szCs w:val="20"/>
        </w:rPr>
        <w:t xml:space="preserve">	10</w:t>
      </w:r>
    </w:p>
    <w:p>
      <w:pPr>
        <w:tabs>
          <w:tab w:val="right" w:pos="9026" w:leader="dot"/>
        </w:tabs>
        <w:spacing w:after="130" w:line="264"/>
      </w:pPr>
      <w:r>
        <w:rPr>
          <w:rFonts w:ascii="Arial" w:cs="Arial" w:eastAsia="Arial" w:hAnsi="Arial"/>
          <w:b w:val="false"/>
          <w:bCs w:val="false"/>
          <w:color w:val="1A1A1A"/>
          <w:sz w:val="20"/>
          <w:szCs w:val="20"/>
        </w:rPr>
        <w:t xml:space="preserve">5.  Product rules</w:t>
      </w:r>
      <w:r>
        <w:rPr>
          <w:rFonts w:ascii="Arial" w:cs="Arial" w:eastAsia="Arial" w:hAnsi="Arial"/>
          <w:b w:val="false"/>
          <w:bCs w:val="false"/>
          <w:color w:val="1A1A1A"/>
          <w:sz w:val="20"/>
          <w:szCs w:val="20"/>
        </w:rPr>
        <w:t xml:space="preserve">	12</w:t>
      </w:r>
    </w:p>
    <w:p>
      <w:pPr>
        <w:tabs>
          <w:tab w:val="right" w:pos="9026" w:leader="dot"/>
        </w:tabs>
        <w:spacing w:after="130" w:line="264"/>
      </w:pPr>
      <w:r>
        <w:rPr>
          <w:rFonts w:ascii="Arial" w:cs="Arial" w:eastAsia="Arial" w:hAnsi="Arial"/>
          <w:b w:val="false"/>
          <w:bCs w:val="false"/>
          <w:color w:val="1A1A1A"/>
          <w:sz w:val="20"/>
          <w:szCs w:val="20"/>
        </w:rPr>
        <w:t xml:space="preserve">6.  System architecture</w:t>
      </w:r>
      <w:r>
        <w:rPr>
          <w:rFonts w:ascii="Arial" w:cs="Arial" w:eastAsia="Arial" w:hAnsi="Arial"/>
          <w:b w:val="false"/>
          <w:bCs w:val="false"/>
          <w:color w:val="1A1A1A"/>
          <w:sz w:val="20"/>
          <w:szCs w:val="20"/>
        </w:rPr>
        <w:t xml:space="preserve">	14</w:t>
      </w:r>
    </w:p>
    <w:p>
      <w:pPr>
        <w:tabs>
          <w:tab w:val="right" w:pos="9026" w:leader="dot"/>
        </w:tabs>
        <w:spacing w:after="130" w:line="264"/>
      </w:pPr>
      <w:r>
        <w:rPr>
          <w:rFonts w:ascii="Arial" w:cs="Arial" w:eastAsia="Arial" w:hAnsi="Arial"/>
          <w:b w:val="false"/>
          <w:bCs w:val="false"/>
          <w:color w:val="1A1A1A"/>
          <w:sz w:val="20"/>
          <w:szCs w:val="20"/>
        </w:rPr>
        <w:t xml:space="preserve">7.  Go-to-market, deployment &amp; business model</w:t>
      </w:r>
      <w:r>
        <w:rPr>
          <w:rFonts w:ascii="Arial" w:cs="Arial" w:eastAsia="Arial" w:hAnsi="Arial"/>
          <w:b w:val="false"/>
          <w:bCs w:val="false"/>
          <w:color w:val="1A1A1A"/>
          <w:sz w:val="20"/>
          <w:szCs w:val="20"/>
        </w:rPr>
        <w:t xml:space="preserve">	16</w:t>
      </w:r>
    </w:p>
    <w:p>
      <w:pPr>
        <w:tabs>
          <w:tab w:val="right" w:pos="9026" w:leader="dot"/>
        </w:tabs>
        <w:spacing w:after="130" w:line="264"/>
      </w:pPr>
      <w:r>
        <w:rPr>
          <w:rFonts w:ascii="Arial" w:cs="Arial" w:eastAsia="Arial" w:hAnsi="Arial"/>
          <w:b w:val="false"/>
          <w:bCs w:val="false"/>
          <w:color w:val="1A1A1A"/>
          <w:sz w:val="20"/>
          <w:szCs w:val="20"/>
        </w:rPr>
        <w:t xml:space="preserve">8.  Roadmap</w:t>
      </w:r>
      <w:r>
        <w:rPr>
          <w:rFonts w:ascii="Arial" w:cs="Arial" w:eastAsia="Arial" w:hAnsi="Arial"/>
          <w:b w:val="false"/>
          <w:bCs w:val="false"/>
          <w:color w:val="1A1A1A"/>
          <w:sz w:val="20"/>
          <w:szCs w:val="20"/>
        </w:rPr>
        <w:t xml:space="preserve">	17</w:t>
      </w:r>
    </w:p>
    <w:p>
      <w:pPr>
        <w:tabs>
          <w:tab w:val="right" w:pos="9026" w:leader="dot"/>
        </w:tabs>
        <w:spacing w:after="130" w:line="264"/>
      </w:pPr>
      <w:r>
        <w:rPr>
          <w:rFonts w:ascii="Arial" w:cs="Arial" w:eastAsia="Arial" w:hAnsi="Arial"/>
          <w:b w:val="false"/>
          <w:bCs w:val="false"/>
          <w:color w:val="1A1A1A"/>
          <w:sz w:val="20"/>
          <w:szCs w:val="20"/>
        </w:rPr>
        <w:t xml:space="preserve">9.  Open items</w:t>
      </w:r>
      <w:r>
        <w:rPr>
          <w:rFonts w:ascii="Arial" w:cs="Arial" w:eastAsia="Arial" w:hAnsi="Arial"/>
          <w:b w:val="false"/>
          <w:bCs w:val="false"/>
          <w:color w:val="1A1A1A"/>
          <w:sz w:val="20"/>
          <w:szCs w:val="20"/>
        </w:rPr>
        <w:t xml:space="preserve">	19</w:t>
      </w:r>
    </w:p>
    <w:p>
      <w:pPr>
        <w:tabs>
          <w:tab w:val="right" w:pos="9026" w:leader="dot"/>
        </w:tabs>
        <w:spacing w:after="130" w:line="264"/>
      </w:pPr>
      <w:r>
        <w:rPr>
          <w:rFonts w:ascii="Arial" w:cs="Arial" w:eastAsia="Arial" w:hAnsi="Arial"/>
          <w:b w:val="false"/>
          <w:bCs w:val="false"/>
          <w:color w:val="1A1A1A"/>
          <w:sz w:val="20"/>
          <w:szCs w:val="20"/>
        </w:rPr>
        <w:t xml:space="preserve">10. Cross-cutting principles</w:t>
      </w:r>
      <w:r>
        <w:rPr>
          <w:rFonts w:ascii="Arial" w:cs="Arial" w:eastAsia="Arial" w:hAnsi="Arial"/>
          <w:b w:val="false"/>
          <w:bCs w:val="false"/>
          <w:color w:val="1A1A1A"/>
          <w:sz w:val="20"/>
          <w:szCs w:val="20"/>
        </w:rPr>
        <w:t xml:space="preserve">	20</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1. The Platform Concept</w:t>
      </w:r>
    </w:p>
    <w:p>
      <w:pPr>
        <w:spacing w:after="120" w:before="0" w:line="264"/>
      </w:pPr>
      <w:r>
        <w:rPr>
          <w:rFonts w:ascii="Arial" w:cs="Arial" w:eastAsia="Arial" w:hAnsi="Arial"/>
          <w:b w:val="false"/>
          <w:bCs w:val="false"/>
          <w:i w:val="false"/>
          <w:iCs w:val="false"/>
          <w:color w:val="1A1A1A"/>
          <w:sz w:val="20"/>
          <w:szCs w:val="20"/>
        </w:rPr>
        <w:t xml:space="preserve">People Rise is a modular Human Capital Management suite for the Egyptian market. Organizations can buy the whole suite or individual products à la carte. Every product stands alone as a sellable unit with real standalone value, and gets richer when a customer owns sibling products.</w:t>
      </w:r>
    </w:p>
    <w:p>
      <w:pPr>
        <w:pStyle w:val="Heading2"/>
        <w:keepNext/>
        <w:spacing w:after="100" w:before="260"/>
      </w:pPr>
      <w:r>
        <w:rPr>
          <w:rFonts w:ascii="Arial" w:cs="Arial" w:eastAsia="Arial" w:hAnsi="Arial"/>
          <w:b/>
          <w:bCs/>
          <w:color w:val="2E5C8A"/>
          <w:sz w:val="23"/>
          <w:szCs w:val="23"/>
        </w:rPr>
        <w:t xml:space="preserve">Declare versus derive</w:t>
      </w:r>
    </w:p>
    <w:p>
      <w:pPr>
        <w:spacing w:after="120" w:before="0" w:line="264"/>
      </w:pPr>
      <w:r>
        <w:rPr>
          <w:rFonts w:ascii="Arial" w:cs="Arial" w:eastAsia="Arial" w:hAnsi="Arial"/>
          <w:b w:val="false"/>
          <w:bCs w:val="false"/>
          <w:i w:val="false"/>
          <w:iCs w:val="false"/>
          <w:color w:val="1A1A1A"/>
          <w:sz w:val="20"/>
          <w:szCs w:val="20"/>
        </w:rPr>
        <w:t xml:space="preserve">A free core lets a customer declare the organization they already have. Paid products automate the derivations they do not have.</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The core holds what a customer would tell us about themselves regardless of what they bought. </w:t>
      </w:r>
      <w:r>
        <w:rPr>
          <w:rFonts w:ascii="Arial" w:cs="Arial" w:eastAsia="Arial" w:hAnsi="Arial"/>
          <w:b w:val="false"/>
          <w:bCs w:val="false"/>
          <w:i w:val="false"/>
          <w:iCs w:val="false"/>
          <w:color w:val="1A1A1A"/>
          <w:sz w:val="20"/>
          <w:szCs w:val="20"/>
        </w:rPr>
        <w:t xml:space="preserve">Org units, jobs, levels, families, grades, positions, the employee roster, salary bands, pay elements. Typed in, imported, or inherited from a structure they have run for thirty years.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Each paid product automates one derivation. </w:t>
      </w:r>
      <w:r>
        <w:rPr>
          <w:rFonts w:ascii="Arial" w:cs="Arial" w:eastAsia="Arial" w:hAnsi="Arial"/>
          <w:b w:val="false"/>
          <w:bCs w:val="false"/>
          <w:i w:val="false"/>
          <w:iCs w:val="false"/>
          <w:color w:val="1A1A1A"/>
          <w:sz w:val="20"/>
          <w:szCs w:val="20"/>
        </w:rPr>
        <w:t xml:space="preserve">Job Evaluation derives grades from job content. Compensation derives bands from market data and allowance amounts from policy rules.</w:t>
      </w:r>
    </w:p>
    <w:p>
      <w:pPr>
        <w:spacing w:after="120" w:before="0" w:line="264"/>
      </w:pPr>
      <w:r>
        <w:rPr>
          <w:rFonts w:ascii="Arial" w:cs="Arial" w:eastAsia="Arial" w:hAnsi="Arial"/>
          <w:b w:val="false"/>
          <w:bCs w:val="false"/>
          <w:i w:val="false"/>
          <w:iCs w:val="false"/>
          <w:color w:val="1A1A1A"/>
          <w:sz w:val="20"/>
          <w:szCs w:val="20"/>
        </w:rPr>
        <w:t xml:space="preserve">This shape follows from the target market. Government and state-owned enterprises, the best-fit customers, almost always already have a grade ladder and a pay scale; what they lack is defensibility, market anchoring, and internal consistency. Requiring an evaluation exercise before they can enter a structure they already possess applies friction exactly where it costs the most.</w:t>
      </w:r>
    </w:p>
    <w:p>
      <w:pPr>
        <w:pBdr>
          <w:left w:val="single" w:color="2E5C8A" w:sz="18" w:space="10"/>
        </w:pBdr>
        <w:shd w:fill="EDF1F7" w:val="clear"/>
        <w:spacing w:after="160" w:before="140" w:line="264"/>
        <w:ind w:left="220" w:right="220"/>
      </w:pPr>
      <w:r>
        <w:rPr>
          <w:rFonts w:ascii="Arial" w:cs="Arial" w:eastAsia="Arial" w:hAnsi="Arial"/>
          <w:b/>
          <w:bCs/>
          <w:i w:val="false"/>
          <w:iCs w:val="false"/>
          <w:color w:val="1A1A1A"/>
          <w:sz w:val="20"/>
          <w:szCs w:val="20"/>
        </w:rPr>
        <w:t xml:space="preserve">The upsell is diagnostic, not gated. </w:t>
      </w:r>
      <w:r>
        <w:rPr>
          <w:rFonts w:ascii="Arial" w:cs="Arial" w:eastAsia="Arial" w:hAnsi="Arial"/>
          <w:b w:val="false"/>
          <w:bCs w:val="false"/>
          <w:i w:val="false"/>
          <w:iCs w:val="false"/>
          <w:color w:val="1A1A1A"/>
          <w:sz w:val="20"/>
          <w:szCs w:val="20"/>
        </w:rPr>
        <w:t xml:space="preserve">A customer who types in their own structure for free has handed us the evidence for the sale: four jobs in one grade that look nothing alike, a 34% spread at grade 3 and 71% at grade 4, a gap between grades 6 and 7. We diagnose their structure using data they entered themselves, and the paid product is the remedy.</w:t>
      </w:r>
    </w:p>
    <w:p>
      <w:pPr>
        <w:spacing w:after="120" w:before="0" w:line="264"/>
      </w:pPr>
      <w:r>
        <w:rPr>
          <w:rFonts w:ascii="Arial" w:cs="Arial" w:eastAsia="Arial" w:hAnsi="Arial"/>
          <w:b w:val="false"/>
          <w:bCs w:val="false"/>
          <w:i w:val="false"/>
          <w:iCs w:val="false"/>
          <w:color w:val="1A1A1A"/>
          <w:sz w:val="20"/>
          <w:szCs w:val="20"/>
        </w:rPr>
        <w:t xml:space="preserve">Manual entry is therefore complete but unassisted. Fifteen grades typed by hand is reasonable; two hundred jobs graded by hand, defensibly, with an audit trail, is not. We charge for volume, defensibility, and market data — never for capability.</w:t>
      </w:r>
    </w:p>
    <w:p>
      <w:pPr>
        <w:pStyle w:val="Heading2"/>
        <w:keepNext/>
        <w:spacing w:after="100" w:before="260"/>
      </w:pPr>
      <w:r>
        <w:rPr>
          <w:rFonts w:ascii="Arial" w:cs="Arial" w:eastAsia="Arial" w:hAnsi="Arial"/>
          <w:b/>
          <w:bCs/>
          <w:color w:val="2E5C8A"/>
          <w:sz w:val="23"/>
          <w:szCs w:val="23"/>
        </w:rPr>
        <w:t xml:space="preserve">The four-part product discipline</w:t>
      </w:r>
    </w:p>
    <w:p>
      <w:pPr>
        <w:spacing w:after="120" w:before="0" w:line="264"/>
      </w:pPr>
      <w:r>
        <w:rPr>
          <w:rFonts w:ascii="Arial" w:cs="Arial" w:eastAsia="Arial" w:hAnsi="Arial"/>
          <w:b w:val="false"/>
          <w:bCs w:val="false"/>
          <w:i w:val="false"/>
          <w:iCs w:val="false"/>
          <w:color w:val="1A1A1A"/>
          <w:sz w:val="20"/>
          <w:szCs w:val="20"/>
        </w:rPr>
        <w:t xml:space="preserve">Every product declares four things. The third exists because a customer who already runs an established system for one function will not replace it, and the suite must exchange data with it rather than demand it be abandoned.</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What it owns </w:t>
      </w:r>
      <w:r>
        <w:rPr>
          <w:rFonts w:ascii="Arial" w:cs="Arial" w:eastAsia="Arial" w:hAnsi="Arial"/>
          <w:b w:val="false"/>
          <w:bCs w:val="false"/>
          <w:i w:val="false"/>
          <w:iCs w:val="false"/>
          <w:color w:val="1A1A1A"/>
          <w:sz w:val="20"/>
          <w:szCs w:val="20"/>
        </w:rPr>
        <w:t xml:space="preserve">— its source of truth.</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What it pulls from siblings </w:t>
      </w:r>
      <w:r>
        <w:rPr>
          <w:rFonts w:ascii="Arial" w:cs="Arial" w:eastAsia="Arial" w:hAnsi="Arial"/>
          <w:b w:val="false"/>
          <w:bCs w:val="false"/>
          <w:i w:val="false"/>
          <w:iCs w:val="false"/>
          <w:color w:val="1A1A1A"/>
          <w:sz w:val="20"/>
          <w:szCs w:val="20"/>
        </w:rPr>
        <w:t xml:space="preserve">— if the customer owns them.</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What it imports from an external equivalent </w:t>
      </w:r>
      <w:r>
        <w:rPr>
          <w:rFonts w:ascii="Arial" w:cs="Arial" w:eastAsia="Arial" w:hAnsi="Arial"/>
          <w:b w:val="false"/>
          <w:bCs w:val="false"/>
          <w:i w:val="false"/>
          <w:iCs w:val="false"/>
          <w:color w:val="1A1A1A"/>
          <w:sz w:val="20"/>
          <w:szCs w:val="20"/>
        </w:rPr>
        <w:t xml:space="preserve">— a named adapter contract per product, not a generic CSV path.</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What the manual fallback is </w:t>
      </w:r>
      <w:r>
        <w:rPr>
          <w:rFonts w:ascii="Arial" w:cs="Arial" w:eastAsia="Arial" w:hAnsi="Arial"/>
          <w:b w:val="false"/>
          <w:bCs w:val="false"/>
          <w:i w:val="false"/>
          <w:iCs w:val="false"/>
          <w:color w:val="1A1A1A"/>
          <w:sz w:val="20"/>
          <w:szCs w:val="20"/>
        </w:rPr>
        <w:t xml:space="preserve">— always present, always complete.</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2. Operating Modes &amp; Tenancy</w:t>
      </w:r>
    </w:p>
    <w:p>
      <w:pPr>
        <w:spacing w:after="120" w:before="0" w:line="264"/>
      </w:pPr>
      <w:r>
        <w:rPr>
          <w:rFonts w:ascii="Arial" w:cs="Arial" w:eastAsia="Arial" w:hAnsi="Arial"/>
          <w:b w:val="false"/>
          <w:bCs w:val="false"/>
          <w:i w:val="false"/>
          <w:iCs w:val="false"/>
          <w:color w:val="1A1A1A"/>
          <w:sz w:val="20"/>
          <w:szCs w:val="20"/>
        </w:rPr>
        <w:t xml:space="preserve">Three modes coexist. The difference between them is who holds the login and who does the work — never the schema.</w:t>
      </w:r>
    </w:p>
    <w:p>
      <w:pPr>
        <w:pStyle w:val="Heading2"/>
        <w:keepNext/>
        <w:spacing w:after="100" w:before="260"/>
      </w:pPr>
      <w:r>
        <w:rPr>
          <w:rFonts w:ascii="Arial" w:cs="Arial" w:eastAsia="Arial" w:hAnsi="Arial"/>
          <w:b/>
          <w:bCs/>
          <w:color w:val="2E5C8A"/>
          <w:sz w:val="23"/>
          <w:szCs w:val="23"/>
        </w:rPr>
        <w:t xml:space="preserve">The three modes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Supply (the normal case). </w:t>
      </w:r>
      <w:r>
        <w:rPr>
          <w:rFonts w:ascii="Arial" w:cs="Arial" w:eastAsia="Arial" w:hAnsi="Arial"/>
          <w:b w:val="false"/>
          <w:bCs w:val="false"/>
          <w:i w:val="false"/>
          <w:iCs w:val="false"/>
          <w:color w:val="1A1A1A"/>
          <w:sz w:val="20"/>
          <w:szCs w:val="20"/>
        </w:rPr>
        <w:t xml:space="preserve">Farouk authors evaluation methodologies and competency banks in the control plane and grants specific versions to specific customers. The customer does the work in their own tenant. This is a supply relationship, not a delivery model.</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Operate (the service option). </w:t>
      </w:r>
      <w:r>
        <w:rPr>
          <w:rFonts w:ascii="Arial" w:cs="Arial" w:eastAsia="Arial" w:hAnsi="Arial"/>
          <w:b w:val="false"/>
          <w:bCs w:val="false"/>
          <w:i w:val="false"/>
          <w:iCs w:val="false"/>
          <w:color w:val="1A1A1A"/>
          <w:sz w:val="20"/>
          <w:szCs w:val="20"/>
        </w:rPr>
        <w:t xml:space="preserve">For a client with no capacity to run it themselves, consultants are granted cross-tenant access and enter the jobs and answer the questionnaires on the client’s behalf. Real consulting revenue, and the El-Delta Phase 1 reality.</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Self-serve. </w:t>
      </w:r>
      <w:r>
        <w:rPr>
          <w:rFonts w:ascii="Arial" w:cs="Arial" w:eastAsia="Arial" w:hAnsi="Arial"/>
          <w:b w:val="false"/>
          <w:bCs w:val="false"/>
          <w:i w:val="false"/>
          <w:iCs w:val="false"/>
          <w:color w:val="1A1A1A"/>
          <w:sz w:val="20"/>
          <w:szCs w:val="20"/>
        </w:rPr>
        <w:t xml:space="preserve">The client’s own staff hold the access. No architectural difference from Operate — only who the access rows point at.</w:t>
      </w:r>
    </w:p>
    <w:p>
      <w:pPr>
        <w:spacing w:after="120" w:before="0" w:line="264"/>
      </w:pPr>
      <w:r>
        <w:rPr>
          <w:rFonts w:ascii="Arial" w:cs="Arial" w:eastAsia="Arial" w:hAnsi="Arial"/>
          <w:b w:val="false"/>
          <w:bCs w:val="false"/>
          <w:i w:val="false"/>
          <w:iCs w:val="false"/>
          <w:color w:val="1A1A1A"/>
          <w:sz w:val="20"/>
          <w:szCs w:val="20"/>
        </w:rPr>
        <w:t xml:space="preserve">Moving between modes is an access grant, never a data migration. Same tenant database, same schema.</w:t>
      </w:r>
    </w:p>
    <w:p>
      <w:pPr>
        <w:pStyle w:val="Heading2"/>
        <w:keepNext/>
        <w:spacing w:after="100" w:before="260"/>
      </w:pPr>
      <w:r>
        <w:rPr>
          <w:rFonts w:ascii="Arial" w:cs="Arial" w:eastAsia="Arial" w:hAnsi="Arial"/>
          <w:b/>
          <w:bCs/>
          <w:color w:val="2E5C8A"/>
          <w:sz w:val="23"/>
          <w:szCs w:val="23"/>
        </w:rPr>
        <w:t xml:space="preserve">Tenant model</w:t>
      </w:r>
    </w:p>
    <w:p>
      <w:pPr>
        <w:pBdr>
          <w:left w:val="single" w:color="2E5C8A" w:sz="18" w:space="10"/>
        </w:pBdr>
        <w:shd w:fill="EDF1F7" w:val="clear"/>
        <w:spacing w:after="160" w:before="140" w:line="264"/>
        <w:ind w:left="220" w:right="220"/>
      </w:pPr>
      <w:r>
        <w:rPr>
          <w:rFonts w:ascii="Arial" w:cs="Arial" w:eastAsia="Arial" w:hAnsi="Arial"/>
          <w:b/>
          <w:bCs/>
          <w:i w:val="false"/>
          <w:iCs w:val="false"/>
          <w:color w:val="1A1A1A"/>
          <w:sz w:val="20"/>
          <w:szCs w:val="20"/>
        </w:rPr>
        <w:t xml:space="preserve">One organization = one tenant = one database. Always. </w:t>
      </w:r>
      <w:r>
        <w:rPr>
          <w:rFonts w:ascii="Arial" w:cs="Arial" w:eastAsia="Arial" w:hAnsi="Arial"/>
          <w:b w:val="false"/>
          <w:bCs w:val="false"/>
          <w:i w:val="false"/>
          <w:iCs w:val="false"/>
          <w:color w:val="1A1A1A"/>
          <w:sz w:val="20"/>
          <w:szCs w:val="20"/>
        </w:rPr>
        <w:t xml:space="preserve">If a tenant database ever holds two organizations, DB-per-tenant is broken and every query needs scoping rules. Any grouping above the organization is a control-plane concern and never appears in a tenant database.</w:t>
      </w:r>
    </w:p>
    <w:p>
      <w:pPr>
        <w:spacing w:after="120" w:before="0" w:line="264"/>
      </w:pPr>
      <w:r>
        <w:rPr>
          <w:rFonts w:ascii="Arial" w:cs="Arial" w:eastAsia="Arial" w:hAnsi="Arial"/>
          <w:b w:val="false"/>
          <w:bCs w:val="false"/>
          <w:i w:val="false"/>
          <w:iCs w:val="false"/>
          <w:color w:val="1A1A1A"/>
          <w:sz w:val="20"/>
          <w:szCs w:val="20"/>
        </w:rPr>
        <w:t xml:space="preserve">Tenants carry a type, so that non-client databases are excluded from billing, backups, and future benchmark extracts: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Client </w:t>
      </w:r>
      <w:r>
        <w:rPr>
          <w:rFonts w:ascii="Arial" w:cs="Arial" w:eastAsia="Arial" w:hAnsi="Arial"/>
          <w:b w:val="false"/>
          <w:bCs w:val="false"/>
          <w:i w:val="false"/>
          <w:iCs w:val="false"/>
          <w:color w:val="1A1A1A"/>
          <w:sz w:val="20"/>
          <w:szCs w:val="20"/>
        </w:rPr>
        <w:t xml:space="preserve">— a real customer organization.</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Scratch </w:t>
      </w:r>
      <w:r>
        <w:rPr>
          <w:rFonts w:ascii="Arial" w:cs="Arial" w:eastAsia="Arial" w:hAnsi="Arial"/>
          <w:b w:val="false"/>
          <w:bCs w:val="false"/>
          <w:i w:val="false"/>
          <w:iCs w:val="false"/>
          <w:color w:val="1A1A1A"/>
          <w:sz w:val="20"/>
          <w:szCs w:val="20"/>
        </w:rPr>
        <w:t xml:space="preserve">— Farouk’s calibration sandbox, seeded with fabricated jobs.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Demo </w:t>
      </w:r>
      <w:r>
        <w:rPr>
          <w:rFonts w:ascii="Arial" w:cs="Arial" w:eastAsia="Arial" w:hAnsi="Arial"/>
          <w:b w:val="false"/>
          <w:bCs w:val="false"/>
          <w:i w:val="false"/>
          <w:iCs w:val="false"/>
          <w:color w:val="1A1A1A"/>
          <w:sz w:val="20"/>
          <w:szCs w:val="20"/>
        </w:rPr>
        <w:t xml:space="preserve">— sales and training.</w:t>
      </w:r>
    </w:p>
    <w:p>
      <w:pPr>
        <w:spacing w:after="120" w:before="0" w:line="264"/>
      </w:pPr>
      <w:r>
        <w:rPr>
          <w:rFonts w:ascii="Arial" w:cs="Arial" w:eastAsia="Arial" w:hAnsi="Arial"/>
          <w:b w:val="false"/>
          <w:bCs w:val="false"/>
          <w:i w:val="false"/>
          <w:iCs w:val="false"/>
          <w:color w:val="1A1A1A"/>
          <w:sz w:val="20"/>
          <w:szCs w:val="20"/>
        </w:rPr>
        <w:t xml:space="preserve">Two records describe an organization, on either side of the boundary, and they do not mirror each other: two homes for one field guarantee drift. The control-plane Tenant is the routing and billing record — name, database, status, type. The tenant-database Organization is the descriptive record — legal name, industry, sector, currency, fiscal year, working week, Ramadan hours, languages. Each field has exactly one home.</w:t>
      </w:r>
    </w:p>
    <w:p>
      <w:pPr>
        <w:pStyle w:val="Heading2"/>
        <w:keepNext/>
        <w:spacing w:after="100" w:before="260"/>
      </w:pPr>
      <w:r>
        <w:rPr>
          <w:rFonts w:ascii="Arial" w:cs="Arial" w:eastAsia="Arial" w:hAnsi="Arial"/>
          <w:b/>
          <w:bCs/>
          <w:color w:val="2E5C8A"/>
          <w:sz w:val="23"/>
          <w:szCs w:val="23"/>
        </w:rPr>
        <w:t xml:space="preserve">Accounts &amp; subscriptions — deferred design</w:t>
      </w:r>
    </w:p>
    <w:p>
      <w:pPr>
        <w:spacing w:after="120" w:before="0" w:line="264"/>
      </w:pPr>
      <w:r>
        <w:rPr>
          <w:rFonts w:ascii="Arial" w:cs="Arial" w:eastAsia="Arial" w:hAnsi="Arial"/>
          <w:b w:val="false"/>
          <w:bCs w:val="false"/>
          <w:i w:val="false"/>
          <w:iCs w:val="false"/>
          <w:color w:val="1A1A1A"/>
          <w:sz w:val="20"/>
          <w:szCs w:val="20"/>
        </w:rPr>
        <w:t xml:space="preserve">A future structure where one account holds several organizations, each with its own subscription declaring which products it bought, and a dashboard across them. Not built now; there are no customers yet beyond the El-Delta pilot.</w:t>
      </w:r>
    </w:p>
    <w:p>
      <w:pPr>
        <w:spacing w:after="120" w:before="0" w:line="264"/>
      </w:pPr>
      <w:r>
        <w:rPr>
          <w:rFonts w:ascii="Arial" w:cs="Arial" w:eastAsia="Arial" w:hAnsi="Arial"/>
          <w:b w:val="false"/>
          <w:bCs w:val="false"/>
          <w:i w:val="false"/>
          <w:iCs w:val="false"/>
          <w:color w:val="1A1A1A"/>
          <w:sz w:val="20"/>
          <w:szCs w:val="20"/>
        </w:rPr>
        <w:t xml:space="preserve">It stays cheap to add later because it lives entirely in the control plane — one database, one migration, no tenant schema change. One piece is built now, because retrofitting it would mean auditing every endpoint: a single entitlement service answering “does this tenant have product X”, wired at module registration, initially returning true for everything.</w:t>
      </w:r>
    </w:p>
    <w:p>
      <w:pPr>
        <w:spacing w:after="120" w:before="0" w:line="264"/>
      </w:pPr>
      <w:r>
        <w:rPr>
          <w:rFonts w:ascii="Arial" w:cs="Arial" w:eastAsia="Arial" w:hAnsi="Arial"/>
          <w:b w:val="false"/>
          <w:bCs w:val="false"/>
          <w:i w:val="false"/>
          <w:iCs w:val="false"/>
          <w:color w:val="1A1A1A"/>
          <w:sz w:val="20"/>
          <w:szCs w:val="20"/>
        </w:rPr>
        <w:t xml:space="preserve">Two constraints for when it is built. Aggregating across organizations under DB-per-tenant means fan-out reads across many databases, which puts analytical load on production tenants — so the cross-organization dashboard reads from the same scheduled-extract aggregation store planned for the market benchmark, not from live tenant databases. And cross-entity visibility of HR and pay data has a PDPL edge, particularly where a group contains a state-owned entity; the aggregation is not automatically unlimited just because one person owns the shares.</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3. Product Architecture &amp; the Dependency Model</w:t>
      </w:r>
    </w:p>
    <w:p>
      <w:pPr>
        <w:pStyle w:val="Heading2"/>
        <w:keepNext/>
        <w:spacing w:after="100" w:before="260"/>
      </w:pPr>
      <w:r>
        <w:rPr>
          <w:rFonts w:ascii="Arial" w:cs="Arial" w:eastAsia="Arial" w:hAnsi="Arial"/>
          <w:b/>
          <w:bCs/>
          <w:color w:val="2E5C8A"/>
          <w:sz w:val="23"/>
          <w:szCs w:val="23"/>
        </w:rPr>
        <w:t xml:space="preserve">3.1 The foundation</w:t>
      </w:r>
    </w:p>
    <w:p>
      <w:pPr>
        <w:spacing w:after="120" w:before="0" w:line="264"/>
      </w:pPr>
      <w:r>
        <w:rPr>
          <w:rFonts w:ascii="Arial" w:cs="Arial" w:eastAsia="Arial" w:hAnsi="Arial"/>
          <w:b w:val="false"/>
          <w:bCs w:val="false"/>
          <w:i w:val="false"/>
          <w:iCs w:val="false"/>
          <w:color w:val="1A1A1A"/>
          <w:sz w:val="20"/>
          <w:szCs w:val="20"/>
        </w:rPr>
        <w:t xml:space="preserve">Platform Core is the Organization Builder: free, mandatory, and the faithful representation of the customer’s organization. The test for inclusion is what a customer would have to tell us about themselves regardless of what they bought. If a fact is true of their organization whether or not they own Job Evaluation, it is core. If it exists only because a product computed it, it belongs to that product.</w:t>
      </w:r>
    </w:p>
    <w:p>
      <w:pPr>
        <w:spacing w:after="60"/>
      </w:pPr>
    </w:p>
    <w:tbl>
      <w:tblPr>
        <w:tblW w:type="dxa" w:w="9026"/>
        <w:tblBorders>
          <w:top w:val="single" w:color="BFC9D9" w:sz="4"/>
          <w:left w:val="none" w:color="FFFFFF" w:sz="0"/>
          <w:bottom w:val="single" w:color="BFC9D9" w:sz="4"/>
          <w:right w:val="none" w:color="FFFFFF" w:sz="0"/>
          <w:insideH w:val="single" w:color="BFC9D9" w:sz="2"/>
          <w:insideV w:val="none" w:color="FFFFFF" w:sz="0"/>
        </w:tblBorders>
      </w:tblPr>
      <w:tblGrid>
        <w:gridCol w:w="1800"/>
        <w:gridCol w:w="3800"/>
        <w:gridCol w:w="3426"/>
      </w:tblGrid>
      <w:tr>
        <w:trPr>
          <w:tblHeader/>
        </w:trPr>
        <w:tc>
          <w:tcPr>
            <w:tcW w:type="dxa" w:w="1800"/>
            <w:shd w:fill="1F3864" w:val="clear"/>
            <w:tcMar>
              <w:top w:type="dxa" w:w="70"/>
              <w:left w:type="dxa" w:w="110"/>
              <w:bottom w:type="dxa" w:w="70"/>
              <w:right w:type="dxa" w:w="110"/>
            </w:tcMar>
            <w:vAlign w:val="top"/>
          </w:tcPr>
          <w:p>
            <w:pPr>
              <w:spacing w:after="0" w:line="240"/>
            </w:pPr>
            <w:r>
              <w:rPr>
                <w:rFonts w:ascii="Arial" w:cs="Arial" w:eastAsia="Arial" w:hAnsi="Arial"/>
                <w:b/>
                <w:bCs/>
                <w:i w:val="false"/>
                <w:iCs w:val="false"/>
                <w:color w:val="FFFFFF"/>
                <w:sz w:val="18"/>
                <w:szCs w:val="18"/>
              </w:rPr>
              <w:t xml:space="preserve">Area</w:t>
            </w:r>
          </w:p>
        </w:tc>
        <w:tc>
          <w:tcPr>
            <w:tcW w:type="dxa" w:w="3800"/>
            <w:shd w:fill="1F3864" w:val="clear"/>
            <w:tcMar>
              <w:top w:type="dxa" w:w="70"/>
              <w:left w:type="dxa" w:w="110"/>
              <w:bottom w:type="dxa" w:w="70"/>
              <w:right w:type="dxa" w:w="110"/>
            </w:tcMar>
            <w:vAlign w:val="top"/>
          </w:tcPr>
          <w:p>
            <w:pPr>
              <w:spacing w:after="0" w:line="240"/>
            </w:pPr>
            <w:r>
              <w:rPr>
                <w:rFonts w:ascii="Arial" w:cs="Arial" w:eastAsia="Arial" w:hAnsi="Arial"/>
                <w:b/>
                <w:bCs/>
                <w:i w:val="false"/>
                <w:iCs w:val="false"/>
                <w:color w:val="FFFFFF"/>
                <w:sz w:val="18"/>
                <w:szCs w:val="18"/>
              </w:rPr>
              <w:t xml:space="preserve">Contents</w:t>
            </w:r>
          </w:p>
        </w:tc>
        <w:tc>
          <w:tcPr>
            <w:tcW w:type="dxa" w:w="3426"/>
            <w:shd w:fill="1F3864" w:val="clear"/>
            <w:tcMar>
              <w:top w:type="dxa" w:w="70"/>
              <w:left w:type="dxa" w:w="110"/>
              <w:bottom w:type="dxa" w:w="70"/>
              <w:right w:type="dxa" w:w="110"/>
            </w:tcMar>
            <w:vAlign w:val="top"/>
          </w:tcPr>
          <w:p>
            <w:pPr>
              <w:spacing w:after="0" w:line="240"/>
            </w:pPr>
            <w:r>
              <w:rPr>
                <w:rFonts w:ascii="Arial" w:cs="Arial" w:eastAsia="Arial" w:hAnsi="Arial"/>
                <w:b/>
                <w:bCs/>
                <w:i w:val="false"/>
                <w:iCs w:val="false"/>
                <w:color w:val="FFFFFF"/>
                <w:sz w:val="18"/>
                <w:szCs w:val="18"/>
              </w:rPr>
              <w:t xml:space="preserve">Why core</w:t>
            </w:r>
          </w:p>
        </w:tc>
      </w:tr>
      <w:tr>
        <w:tc>
          <w:tcPr>
            <w:tcW w:type="dxa" w:w="18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Organization</w:t>
            </w:r>
          </w:p>
        </w:tc>
        <w:tc>
          <w:tcPr>
            <w:tcW w:type="dxa" w:w="38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Legal name, industry, sector, currency, fiscal year, working week, Ramadan hours, languages</w:t>
            </w:r>
          </w:p>
        </w:tc>
        <w:tc>
          <w:tcPr>
            <w:tcW w:type="dxa" w:w="34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Describes the customer itself.</w:t>
            </w:r>
          </w:p>
        </w:tc>
      </w:tr>
      <w:tr>
        <w:tc>
          <w:tcPr>
            <w:tcW w:type="dxa" w:w="18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Structure</w:t>
            </w:r>
          </w:p>
        </w:tc>
        <w:tc>
          <w:tcPr>
            <w:tcW w:type="dxa" w:w="38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Org units and tree, levels, families, jobs, job hierarchy, locations</w:t>
            </w:r>
          </w:p>
        </w:tc>
        <w:tc>
          <w:tcPr>
            <w:tcW w:type="dxa" w:w="34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The org chart and job catalogue. Every product references these.</w:t>
            </w:r>
          </w:p>
        </w:tc>
      </w:tr>
      <w:tr>
        <w:tc>
          <w:tcPr>
            <w:tcW w:type="dxa" w:w="18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Ladder</w:t>
            </w:r>
          </w:p>
        </w:tc>
        <w:tc>
          <w:tcPr>
            <w:tcW w:type="dxa" w:w="38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Grades, and job-to-grade assignment with provenance</w:t>
            </w:r>
          </w:p>
        </w:tc>
        <w:tc>
          <w:tcPr>
            <w:tcW w:type="dxa" w:w="34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Grades exist already; evaluation only automates the assignment.</w:t>
            </w:r>
          </w:p>
        </w:tc>
      </w:tr>
      <w:tr>
        <w:tc>
          <w:tcPr>
            <w:tcW w:type="dxa" w:w="18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Establishment</w:t>
            </w:r>
          </w:p>
        </w:tc>
        <w:tc>
          <w:tcPr>
            <w:tcW w:type="dxa" w:w="38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Approved positions per grade per unit, occupancy</w:t>
            </w:r>
          </w:p>
        </w:tc>
        <w:tc>
          <w:tcPr>
            <w:tcW w:type="dxa" w:w="34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Position control, headcount, and the promotion open-box gate.</w:t>
            </w:r>
          </w:p>
        </w:tc>
      </w:tr>
      <w:tr>
        <w:tc>
          <w:tcPr>
            <w:tcW w:type="dxa" w:w="18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Roster</w:t>
            </w:r>
          </w:p>
        </w:tc>
        <w:tc>
          <w:tcPr>
            <w:tcW w:type="dxa" w:w="38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Identity, employee number, hire date, status, location, current assignment, assignment history</w:t>
            </w:r>
          </w:p>
        </w:tc>
        <w:tc>
          <w:tcPr>
            <w:tcW w:type="dxa" w:w="34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Structural placement of people. Required by position control and four downstream products.</w:t>
            </w:r>
          </w:p>
        </w:tc>
      </w:tr>
      <w:tr>
        <w:tc>
          <w:tcPr>
            <w:tcW w:type="dxa" w:w="18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Pay</w:t>
            </w:r>
          </w:p>
        </w:tc>
        <w:tc>
          <w:tcPr>
            <w:tcW w:type="dxa" w:w="38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Salary bands with provenance; pay element catalogue; per-employee element amounts, effective-dated</w:t>
            </w:r>
          </w:p>
        </w:tc>
        <w:tc>
          <w:tcPr>
            <w:tcW w:type="dxa" w:w="34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Personnel, Compensation, and Payroll all write pay. One home, provenance recorded.</w:t>
            </w:r>
          </w:p>
        </w:tc>
      </w:tr>
      <w:tr>
        <w:tc>
          <w:tcPr>
            <w:tcW w:type="dxa" w:w="18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Competency data</w:t>
            </w:r>
          </w:p>
        </w:tc>
        <w:tc>
          <w:tcPr>
            <w:tcW w:type="dxa" w:w="38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Framework, required profiles per job, family/level templates, held profiles, computed gap</w:t>
            </w:r>
          </w:p>
        </w:tc>
        <w:tc>
          <w:tcPr>
            <w:tcW w:type="dxa" w:w="34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Declarations about jobs and people, read by five products.</w:t>
            </w:r>
          </w:p>
        </w:tc>
      </w:tr>
    </w:tbl>
    <w:p>
      <w:pPr>
        <w:spacing w:after="140"/>
      </w:pPr>
    </w:p>
    <w:p>
      <w:pPr>
        <w:spacing w:after="120" w:before="0" w:line="264"/>
      </w:pPr>
      <w:r>
        <w:rPr>
          <w:rFonts w:ascii="Arial" w:cs="Arial" w:eastAsia="Arial" w:hAnsi="Arial"/>
          <w:b w:val="false"/>
          <w:bCs w:val="false"/>
          <w:i w:val="false"/>
          <w:iCs w:val="false"/>
          <w:color w:val="1A1A1A"/>
          <w:sz w:val="20"/>
          <w:szCs w:val="20"/>
        </w:rPr>
        <w:t xml:space="preserve">Deliberately out of the core: personal attributes beyond structural placement, anything with a workflow or approval attached, allowance policy rules, tax and social-insurance treatment, and every derivation.</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Provenance is recorded on every record more than one source can write. </w:t>
      </w:r>
      <w:r>
        <w:rPr>
          <w:rFonts w:ascii="Arial" w:cs="Arial" w:eastAsia="Arial" w:hAnsi="Arial"/>
          <w:b w:val="false"/>
          <w:bCs w:val="false"/>
          <w:i w:val="false"/>
          <w:iCs w:val="false"/>
          <w:color w:val="1A1A1A"/>
          <w:sz w:val="20"/>
          <w:szCs w:val="20"/>
        </w:rPr>
        <w:t xml:space="preserve">A grade is Evaluated or ManuallyAssigned; a band Designed or ManuallyEntered; a competency Seeded, Granted, or TenantAuthored; a pay amount from Contract, Import, PayrollRun, or Manual. How a value arrived is data on the row, not something inferred later.</w:t>
      </w:r>
    </w:p>
    <w:p>
      <w:pPr>
        <w:pStyle w:val="Heading2"/>
        <w:keepNext/>
        <w:spacing w:after="100" w:before="260"/>
      </w:pPr>
      <w:r>
        <w:rPr>
          <w:rFonts w:ascii="Arial" w:cs="Arial" w:eastAsia="Arial" w:hAnsi="Arial"/>
          <w:b/>
          <w:bCs/>
          <w:color w:val="2E5C8A"/>
          <w:sz w:val="23"/>
          <w:szCs w:val="23"/>
        </w:rPr>
        <w:t xml:space="preserve">3.2 The roster and Personnel line</w:t>
      </w:r>
    </w:p>
    <w:p>
      <w:pPr>
        <w:spacing w:after="120" w:before="0" w:line="264"/>
      </w:pPr>
      <w:r>
        <w:rPr>
          <w:rFonts w:ascii="Arial" w:cs="Arial" w:eastAsia="Arial" w:hAnsi="Arial"/>
          <w:b w:val="false"/>
          <w:bCs w:val="false"/>
          <w:i w:val="false"/>
          <w:iCs w:val="false"/>
          <w:color w:val="1A1A1A"/>
          <w:sz w:val="20"/>
          <w:szCs w:val="20"/>
        </w:rPr>
        <w:t xml:space="preserve">The roster is a pointer into the structure: who exists, employee number, hire date, status, which position they occupy, and the history of those assignments. Personnel is what happens to a person over time — attendance, leaves, contracts, documents, dependents, disciplinary records, onboarding and offboarding, and the approval flows around them.</w:t>
      </w:r>
    </w:p>
    <w:p>
      <w:pPr>
        <w:spacing w:after="120" w:before="0" w:line="264"/>
      </w:pPr>
      <w:r>
        <w:rPr>
          <w:rFonts w:ascii="Arial" w:cs="Arial" w:eastAsia="Arial" w:hAnsi="Arial"/>
          <w:b w:val="false"/>
          <w:bCs w:val="false"/>
          <w:i w:val="false"/>
          <w:iCs w:val="false"/>
          <w:color w:val="1A1A1A"/>
          <w:sz w:val="20"/>
          <w:szCs w:val="20"/>
        </w:rPr>
        <w:t xml:space="preserve">Three reasons the roster stays core. Position control does not work without it, since an open box is approved seats minus occupied seats and occupancy is a property of the seat. Without it, Performance, Insights, Talent Acquisition, and compa-ratio all inherit a Personnel dependency they do not need. And the consulting engagement needs a roster before Personnel exists, because showing where current staff land in a new structure is much of the deliverable.</w:t>
      </w:r>
    </w:p>
    <w:p>
      <w:pPr>
        <w:pBdr>
          <w:left w:val="single" w:color="2E5C8A" w:sz="18" w:space="10"/>
        </w:pBdr>
        <w:shd w:fill="EDF1F7" w:val="clear"/>
        <w:spacing w:after="160" w:before="140" w:line="264"/>
        <w:ind w:left="220" w:right="220"/>
      </w:pPr>
      <w:r>
        <w:rPr>
          <w:rFonts w:ascii="Arial" w:cs="Arial" w:eastAsia="Arial" w:hAnsi="Arial"/>
          <w:b/>
          <w:bCs/>
          <w:i w:val="false"/>
          <w:iCs w:val="false"/>
          <w:color w:val="1A1A1A"/>
          <w:sz w:val="20"/>
          <w:szCs w:val="20"/>
        </w:rPr>
        <w:t xml:space="preserve">The test that keeps the core from drifting: </w:t>
      </w:r>
      <w:r>
        <w:rPr>
          <w:rFonts w:ascii="Arial" w:cs="Arial" w:eastAsia="Arial" w:hAnsi="Arial"/>
          <w:b w:val="false"/>
          <w:bCs w:val="false"/>
          <w:i w:val="false"/>
          <w:iCs w:val="false"/>
          <w:color w:val="1A1A1A"/>
          <w:sz w:val="20"/>
          <w:szCs w:val="20"/>
        </w:rPr>
        <w:t xml:space="preserve">if a field needs its own workflow, approval, or attached document, it belongs to Personnel. Leave has a request and an approver. A contract has a lifecycle. None of them place anyone in a grid. A promotion splits across this line — the assignment record is core, the workflow that produces it is not.</w:t>
      </w:r>
    </w:p>
    <w:p>
      <w:pPr>
        <w:spacing w:after="120" w:before="0" w:line="264"/>
      </w:pPr>
      <w:r>
        <w:rPr>
          <w:rFonts w:ascii="Arial" w:cs="Arial" w:eastAsia="Arial" w:hAnsi="Arial"/>
          <w:b w:val="false"/>
          <w:bCs w:val="false"/>
          <w:i w:val="false"/>
          <w:iCs w:val="false"/>
          <w:color w:val="1A1A1A"/>
          <w:sz w:val="20"/>
          <w:szCs w:val="20"/>
        </w:rPr>
        <w:t xml:space="preserve">Career paths split the same way. The path definition — this family’s route through these grades — is a structural declaration and sits in core. Whether a given person qualifies for the next step needs the competency gap and performance history, and belongs to Talent Management.</w:t>
      </w:r>
    </w:p>
    <w:p>
      <w:pPr>
        <w:pStyle w:val="Heading2"/>
        <w:keepNext/>
        <w:spacing w:after="100" w:before="260"/>
      </w:pPr>
      <w:r>
        <w:rPr>
          <w:rFonts w:ascii="Arial" w:cs="Arial" w:eastAsia="Arial" w:hAnsi="Arial"/>
          <w:b/>
          <w:bCs/>
          <w:color w:val="2E5C8A"/>
          <w:sz w:val="23"/>
          <w:szCs w:val="23"/>
        </w:rPr>
        <w:t xml:space="preserve">3.3 The competency spine</w:t>
      </w:r>
    </w:p>
    <w:p>
      <w:pPr>
        <w:spacing w:after="120" w:before="0" w:line="264"/>
      </w:pPr>
      <w:r>
        <w:rPr>
          <w:rFonts w:ascii="Arial" w:cs="Arial" w:eastAsia="Arial" w:hAnsi="Arial"/>
          <w:b w:val="false"/>
          <w:bCs w:val="false"/>
          <w:i w:val="false"/>
          <w:iCs w:val="false"/>
          <w:color w:val="1A1A1A"/>
          <w:sz w:val="20"/>
          <w:szCs w:val="20"/>
        </w:rPr>
        <w:t xml:space="preserve">Four parts with distinct owners: the framework (the library and the 1–5 scale), required profiles bound to the job, held profiles bound to the employee, and the gap between them. Required and held profiles are declarations, so they are core. The gap is core precisely because it is consumed everywhere — two products computing it separately would give two answers to one question.</w:t>
      </w:r>
    </w:p>
    <w:p>
      <w:pPr>
        <w:spacing w:after="120" w:before="0" w:line="264"/>
      </w:pPr>
      <w:r>
        <w:rPr>
          <w:rFonts w:ascii="Arial" w:cs="Arial" w:eastAsia="Arial" w:hAnsi="Arial"/>
          <w:b w:val="false"/>
          <w:bCs w:val="false"/>
          <w:i w:val="false"/>
          <w:iCs w:val="false"/>
          <w:color w:val="1A1A1A"/>
          <w:sz w:val="20"/>
          <w:szCs w:val="20"/>
        </w:rPr>
        <w:t xml:space="preserve">The framework arrives three ways, sold as a ladder rather than as alternatives. A small set is seeded at provisioning. Farouk’s industry and function packs are granted per engagement, and the library grows as a by-product of consulting already being paid for. The functional and technical half cannot be seeded at all — what a maintenance engineer needs is not derivable from a generic library — so the customer hits that wall after investing effort, which is when the consulting sale lands.</w:t>
      </w:r>
    </w:p>
    <w:p>
      <w:pPr>
        <w:pStyle w:val="Heading2"/>
        <w:keepNext/>
        <w:spacing w:after="100" w:before="260"/>
      </w:pPr>
      <w:r>
        <w:rPr>
          <w:rFonts w:ascii="Arial" w:cs="Arial" w:eastAsia="Arial" w:hAnsi="Arial"/>
          <w:b/>
          <w:bCs/>
          <w:color w:val="2E5C8A"/>
          <w:sz w:val="23"/>
          <w:szCs w:val="23"/>
        </w:rPr>
        <w:t xml:space="preserve">3.4 The dependency graph</w:t>
      </w:r>
    </w:p>
    <w:p>
      <w:pPr>
        <w:spacing w:after="120" w:before="0" w:line="264"/>
      </w:pPr>
      <w:r>
        <w:rPr>
          <w:rFonts w:ascii="Arial" w:cs="Arial" w:eastAsia="Arial" w:hAnsi="Arial"/>
          <w:b w:val="false"/>
          <w:bCs w:val="false"/>
          <w:i w:val="false"/>
          <w:iCs w:val="false"/>
          <w:color w:val="1A1A1A"/>
          <w:sz w:val="20"/>
          <w:szCs w:val="20"/>
        </w:rPr>
        <w:t xml:space="preserve">Hard dependency means the product does not function without it. Every tenant product sits on the core, so those edges are implied. Only four products have a hard sibling edge.</w:t>
      </w:r>
    </w:p>
    <w:p>
      <w:pPr>
        <w:keepNext/>
        <w:spacing w:after="60" w:before="180"/>
        <w:jc w:val="center"/>
      </w:pPr>
      <w:r>
        <w:drawing>
          <wp:inline distT="0" distB="0" distL="0" distR="0">
            <wp:extent cx="5210175"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0175" cy="3571875"/>
                    </a:xfrm>
                    <a:prstGeom prst="rect">
                      <a:avLst/>
                    </a:prstGeom>
                  </pic:spPr>
                </pic:pic>
              </a:graphicData>
            </a:graphic>
          </wp:inline>
        </w:drawing>
      </w:r>
    </w:p>
    <w:p>
      <w:pPr>
        <w:spacing w:after="200"/>
        <w:jc w:val="center"/>
      </w:pPr>
      <w:r>
        <w:rPr>
          <w:rFonts w:ascii="Arial" w:cs="Arial" w:eastAsia="Arial" w:hAnsi="Arial"/>
          <w:i/>
          <w:iCs/>
          <w:color w:val="44546A"/>
          <w:sz w:val="17"/>
          <w:szCs w:val="17"/>
        </w:rPr>
        <w:t xml:space="preserve">Hard dependencies only. Every tenant product also depends on the core; Assessment and Talent Management additionally depend on the competency spine, and the methodology library supplies assessment instruments as well as evaluation methodologies.</w:t>
      </w:r>
    </w:p>
    <w:p>
      <w:pPr>
        <w:spacing w:after="60"/>
      </w:pPr>
    </w:p>
    <w:tbl>
      <w:tblPr>
        <w:tblW w:type="dxa" w:w="9026"/>
        <w:tblBorders>
          <w:top w:val="single" w:color="BFC9D9" w:sz="4"/>
          <w:left w:val="none" w:color="FFFFFF" w:sz="0"/>
          <w:bottom w:val="single" w:color="BFC9D9" w:sz="4"/>
          <w:right w:val="none" w:color="FFFFFF" w:sz="0"/>
          <w:insideH w:val="single" w:color="BFC9D9" w:sz="2"/>
          <w:insideV w:val="none" w:color="FFFFFF" w:sz="0"/>
        </w:tblBorders>
      </w:tblPr>
      <w:tblGrid>
        <w:gridCol w:w="2000"/>
        <w:gridCol w:w="2400"/>
        <w:gridCol w:w="3000"/>
        <w:gridCol w:w="1626"/>
      </w:tblGrid>
      <w:tr>
        <w:trPr>
          <w:tblHeader/>
        </w:trPr>
        <w:tc>
          <w:tcPr>
            <w:tcW w:type="dxa" w:w="2000"/>
            <w:shd w:fill="1F3864" w:val="clear"/>
            <w:tcMar>
              <w:top w:type="dxa" w:w="70"/>
              <w:left w:type="dxa" w:w="110"/>
              <w:bottom w:type="dxa" w:w="70"/>
              <w:right w:type="dxa" w:w="110"/>
            </w:tcMar>
            <w:vAlign w:val="top"/>
          </w:tcPr>
          <w:p>
            <w:pPr>
              <w:spacing w:after="0" w:line="240"/>
            </w:pPr>
            <w:r>
              <w:rPr>
                <w:rFonts w:ascii="Arial" w:cs="Arial" w:eastAsia="Arial" w:hAnsi="Arial"/>
                <w:b/>
                <w:bCs/>
                <w:i w:val="false"/>
                <w:iCs w:val="false"/>
                <w:color w:val="FFFFFF"/>
                <w:sz w:val="18"/>
                <w:szCs w:val="18"/>
              </w:rPr>
              <w:t xml:space="preserve">Product</w:t>
            </w:r>
          </w:p>
        </w:tc>
        <w:tc>
          <w:tcPr>
            <w:tcW w:type="dxa" w:w="2400"/>
            <w:shd w:fill="1F3864" w:val="clear"/>
            <w:tcMar>
              <w:top w:type="dxa" w:w="70"/>
              <w:left w:type="dxa" w:w="110"/>
              <w:bottom w:type="dxa" w:w="70"/>
              <w:right w:type="dxa" w:w="110"/>
            </w:tcMar>
            <w:vAlign w:val="top"/>
          </w:tcPr>
          <w:p>
            <w:pPr>
              <w:spacing w:after="0" w:line="240"/>
            </w:pPr>
            <w:r>
              <w:rPr>
                <w:rFonts w:ascii="Arial" w:cs="Arial" w:eastAsia="Arial" w:hAnsi="Arial"/>
                <w:b/>
                <w:bCs/>
                <w:i w:val="false"/>
                <w:iCs w:val="false"/>
                <w:color w:val="FFFFFF"/>
                <w:sz w:val="18"/>
                <w:szCs w:val="18"/>
              </w:rPr>
              <w:t xml:space="preserve">Hard dependency</w:t>
            </w:r>
          </w:p>
        </w:tc>
        <w:tc>
          <w:tcPr>
            <w:tcW w:type="dxa" w:w="3000"/>
            <w:shd w:fill="1F3864" w:val="clear"/>
            <w:tcMar>
              <w:top w:type="dxa" w:w="70"/>
              <w:left w:type="dxa" w:w="110"/>
              <w:bottom w:type="dxa" w:w="70"/>
              <w:right w:type="dxa" w:w="110"/>
            </w:tcMar>
            <w:vAlign w:val="top"/>
          </w:tcPr>
          <w:p>
            <w:pPr>
              <w:spacing w:after="0" w:line="240"/>
            </w:pPr>
            <w:r>
              <w:rPr>
                <w:rFonts w:ascii="Arial" w:cs="Arial" w:eastAsia="Arial" w:hAnsi="Arial"/>
                <w:b/>
                <w:bCs/>
                <w:i w:val="false"/>
                <w:iCs w:val="false"/>
                <w:color w:val="FFFFFF"/>
                <w:sz w:val="18"/>
                <w:szCs w:val="18"/>
              </w:rPr>
              <w:t xml:space="preserve">Pulls if present → fallback</w:t>
            </w:r>
          </w:p>
        </w:tc>
        <w:tc>
          <w:tcPr>
            <w:tcW w:type="dxa" w:w="1626"/>
            <w:shd w:fill="1F3864" w:val="clear"/>
            <w:tcMar>
              <w:top w:type="dxa" w:w="70"/>
              <w:left w:type="dxa" w:w="110"/>
              <w:bottom w:type="dxa" w:w="70"/>
              <w:right w:type="dxa" w:w="110"/>
            </w:tcMar>
            <w:vAlign w:val="top"/>
          </w:tcPr>
          <w:p>
            <w:pPr>
              <w:spacing w:after="0" w:line="240"/>
            </w:pPr>
            <w:r>
              <w:rPr>
                <w:rFonts w:ascii="Arial" w:cs="Arial" w:eastAsia="Arial" w:hAnsi="Arial"/>
                <w:b/>
                <w:bCs/>
                <w:i w:val="false"/>
                <w:iCs w:val="false"/>
                <w:color w:val="FFFFFF"/>
                <w:sz w:val="18"/>
                <w:szCs w:val="18"/>
              </w:rPr>
              <w:t xml:space="preserve">Alone</w:t>
            </w:r>
          </w:p>
        </w:tc>
      </w:tr>
      <w:tr>
        <w:tc>
          <w:tcPr>
            <w:tcW w:type="dxa" w:w="20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Methodology &amp; Competency Designer</w:t>
            </w:r>
          </w:p>
        </w:tc>
        <w:tc>
          <w:tcPr>
            <w:tcW w:type="dxa" w:w="24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Control plane only</w:t>
            </w:r>
          </w:p>
        </w:tc>
        <w:tc>
          <w:tcPr>
            <w:tcW w:type="dxa" w:w="30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w:t>
            </w:r>
          </w:p>
        </w:tc>
        <w:tc>
          <w:tcPr>
            <w:tcW w:type="dxa" w:w="16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Practice tier</w:t>
            </w:r>
          </w:p>
        </w:tc>
      </w:tr>
      <w:tr>
        <w:tc>
          <w:tcPr>
            <w:tcW w:type="dxa" w:w="20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Job Evaluation</w:t>
            </w:r>
          </w:p>
        </w:tc>
        <w:tc>
          <w:tcPr>
            <w:tcW w:type="dxa" w:w="24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Core + a granted methodology</w:t>
            </w:r>
          </w:p>
        </w:tc>
        <w:tc>
          <w:tcPr>
            <w:tcW w:type="dxa" w:w="30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w:t>
            </w:r>
          </w:p>
        </w:tc>
        <w:tc>
          <w:tcPr>
            <w:tcW w:type="dxa" w:w="16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Yes</w:t>
            </w:r>
          </w:p>
        </w:tc>
      </w:tr>
      <w:tr>
        <w:tc>
          <w:tcPr>
            <w:tcW w:type="dxa" w:w="20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Compensation</w:t>
            </w:r>
          </w:p>
        </w:tc>
        <w:tc>
          <w:tcPr>
            <w:tcW w:type="dxa" w:w="24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Core</w:t>
            </w:r>
          </w:p>
        </w:tc>
        <w:tc>
          <w:tcPr>
            <w:tcW w:type="dxa" w:w="30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Personnel or Payroll → actual pay for compa-ratio and equity. Fallback: CSV snapshot</w:t>
            </w:r>
          </w:p>
        </w:tc>
        <w:tc>
          <w:tcPr>
            <w:tcW w:type="dxa" w:w="16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Yes</w:t>
            </w:r>
          </w:p>
        </w:tc>
      </w:tr>
      <w:tr>
        <w:tc>
          <w:tcPr>
            <w:tcW w:type="dxa" w:w="20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Personnel</w:t>
            </w:r>
          </w:p>
        </w:tc>
        <w:tc>
          <w:tcPr>
            <w:tcW w:type="dxa" w:w="24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Core</w:t>
            </w:r>
          </w:p>
        </w:tc>
        <w:tc>
          <w:tcPr>
            <w:tcW w:type="dxa" w:w="30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w:t>
            </w:r>
          </w:p>
        </w:tc>
        <w:tc>
          <w:tcPr>
            <w:tcW w:type="dxa" w:w="16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Yes</w:t>
            </w:r>
          </w:p>
        </w:tc>
      </w:tr>
      <w:tr>
        <w:tc>
          <w:tcPr>
            <w:tcW w:type="dxa" w:w="20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Project &amp; Task Management</w:t>
            </w:r>
          </w:p>
        </w:tc>
        <w:tc>
          <w:tcPr>
            <w:tcW w:type="dxa" w:w="24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Core</w:t>
            </w:r>
          </w:p>
        </w:tc>
        <w:tc>
          <w:tcPr>
            <w:tcW w:type="dxa" w:w="30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Personnel → leave-adjusted capacity. Fallback: nominal capacity</w:t>
            </w:r>
          </w:p>
        </w:tc>
        <w:tc>
          <w:tcPr>
            <w:tcW w:type="dxa" w:w="16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Yes</w:t>
            </w:r>
          </w:p>
        </w:tc>
      </w:tr>
      <w:tr>
        <w:tc>
          <w:tcPr>
            <w:tcW w:type="dxa" w:w="20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Payroll</w:t>
            </w:r>
          </w:p>
        </w:tc>
        <w:tc>
          <w:tcPr>
            <w:tcW w:type="dxa" w:w="24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Core + Personnel or an external time source</w:t>
            </w:r>
          </w:p>
        </w:tc>
        <w:tc>
          <w:tcPr>
            <w:tcW w:type="dxa" w:w="30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Compensation → allowance rules. Fallback: manual amounts</w:t>
            </w:r>
          </w:p>
        </w:tc>
        <w:tc>
          <w:tcPr>
            <w:tcW w:type="dxa" w:w="16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With a time feed</w:t>
            </w:r>
          </w:p>
        </w:tc>
      </w:tr>
      <w:tr>
        <w:tc>
          <w:tcPr>
            <w:tcW w:type="dxa" w:w="20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Performance &amp; Goals</w:t>
            </w:r>
          </w:p>
        </w:tc>
        <w:tc>
          <w:tcPr>
            <w:tcW w:type="dxa" w:w="24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Core</w:t>
            </w:r>
          </w:p>
        </w:tc>
        <w:tc>
          <w:tcPr>
            <w:tcW w:type="dxa" w:w="30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Projects → task evidence; spine → competencies. Fallback: manual objectives</w:t>
            </w:r>
          </w:p>
        </w:tc>
        <w:tc>
          <w:tcPr>
            <w:tcW w:type="dxa" w:w="16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Degraded</w:t>
            </w:r>
          </w:p>
        </w:tc>
      </w:tr>
      <w:tr>
        <w:tc>
          <w:tcPr>
            <w:tcW w:type="dxa" w:w="20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Learning (LMS)</w:t>
            </w:r>
          </w:p>
        </w:tc>
        <w:tc>
          <w:tcPr>
            <w:tcW w:type="dxa" w:w="24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Core</w:t>
            </w:r>
          </w:p>
        </w:tc>
        <w:tc>
          <w:tcPr>
            <w:tcW w:type="dxa" w:w="30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Spine → gap-driven recommendations. Fallback: manual catalogue</w:t>
            </w:r>
          </w:p>
        </w:tc>
        <w:tc>
          <w:tcPr>
            <w:tcW w:type="dxa" w:w="16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Yes</w:t>
            </w:r>
          </w:p>
        </w:tc>
      </w:tr>
      <w:tr>
        <w:tc>
          <w:tcPr>
            <w:tcW w:type="dxa" w:w="20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Talent Acquisition</w:t>
            </w:r>
          </w:p>
        </w:tc>
        <w:tc>
          <w:tcPr>
            <w:tcW w:type="dxa" w:w="24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Core</w:t>
            </w:r>
          </w:p>
        </w:tc>
        <w:tc>
          <w:tcPr>
            <w:tcW w:type="dxa" w:w="30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Spine → required profiles; Assessment → candidate scoring</w:t>
            </w:r>
          </w:p>
        </w:tc>
        <w:tc>
          <w:tcPr>
            <w:tcW w:type="dxa" w:w="16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Yes</w:t>
            </w:r>
          </w:p>
        </w:tc>
      </w:tr>
      <w:tr>
        <w:tc>
          <w:tcPr>
            <w:tcW w:type="dxa" w:w="20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Person Assessment</w:t>
            </w:r>
          </w:p>
        </w:tc>
        <w:tc>
          <w:tcPr>
            <w:tcW w:type="dxa" w:w="24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Core + spine + a granted instrument</w:t>
            </w:r>
          </w:p>
        </w:tc>
        <w:tc>
          <w:tcPr>
            <w:tcW w:type="dxa" w:w="30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w:t>
            </w:r>
          </w:p>
        </w:tc>
        <w:tc>
          <w:tcPr>
            <w:tcW w:type="dxa" w:w="16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Yes</w:t>
            </w:r>
          </w:p>
        </w:tc>
      </w:tr>
      <w:tr>
        <w:tc>
          <w:tcPr>
            <w:tcW w:type="dxa" w:w="20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Talent Management</w:t>
            </w:r>
          </w:p>
        </w:tc>
        <w:tc>
          <w:tcPr>
            <w:tcW w:type="dxa" w:w="24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Core + spine + Performance</w:t>
            </w:r>
          </w:p>
        </w:tc>
        <w:tc>
          <w:tcPr>
            <w:tcW w:type="dxa" w:w="30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Assessment → readiness</w:t>
            </w:r>
          </w:p>
        </w:tc>
        <w:tc>
          <w:tcPr>
            <w:tcW w:type="dxa" w:w="16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No</w:t>
            </w:r>
          </w:p>
        </w:tc>
      </w:tr>
      <w:tr>
        <w:tc>
          <w:tcPr>
            <w:tcW w:type="dxa" w:w="20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Insights</w:t>
            </w:r>
          </w:p>
        </w:tc>
        <w:tc>
          <w:tcPr>
            <w:tcW w:type="dxa" w:w="24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Core + Projects + Performance</w:t>
            </w:r>
          </w:p>
        </w:tc>
        <w:tc>
          <w:tcPr>
            <w:tcW w:type="dxa" w:w="30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Payroll → cost and ROI</w:t>
            </w:r>
          </w:p>
        </w:tc>
        <w:tc>
          <w:tcPr>
            <w:tcW w:type="dxa" w:w="16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No</w:t>
            </w:r>
          </w:p>
        </w:tc>
      </w:tr>
      <w:tr>
        <w:tc>
          <w:tcPr>
            <w:tcW w:type="dxa" w:w="20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Market Benchmark</w:t>
            </w:r>
          </w:p>
        </w:tc>
        <w:tc>
          <w:tcPr>
            <w:tcW w:type="dxa" w:w="24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Payroll at scale + consent + anonymization</w:t>
            </w:r>
          </w:p>
        </w:tc>
        <w:tc>
          <w:tcPr>
            <w:tcW w:type="dxa" w:w="30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w:t>
            </w:r>
          </w:p>
        </w:tc>
        <w:tc>
          <w:tcPr>
            <w:tcW w:type="dxa" w:w="16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No</w:t>
            </w:r>
          </w:p>
        </w:tc>
      </w:tr>
    </w:tbl>
    <w:p>
      <w:pPr>
        <w:spacing w:after="140"/>
      </w:pPr>
    </w:p>
    <w:p>
      <w:pPr>
        <w:pStyle w:val="Heading3"/>
        <w:keepNext/>
        <w:spacing w:after="80" w:before="200"/>
      </w:pPr>
      <w:r>
        <w:rPr>
          <w:rFonts w:ascii="Arial" w:cs="Arial" w:eastAsia="Arial" w:hAnsi="Arial"/>
          <w:b/>
          <w:bCs/>
          <w:color w:val="44546A"/>
          <w:sz w:val="20"/>
          <w:szCs w:val="20"/>
        </w:rPr>
        <w:t xml:space="preserve">What the shape means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The suite is flat. </w:t>
      </w:r>
      <w:r>
        <w:rPr>
          <w:rFonts w:ascii="Arial" w:cs="Arial" w:eastAsia="Arial" w:hAnsi="Arial"/>
          <w:b w:val="false"/>
          <w:bCs w:val="false"/>
          <w:i w:val="false"/>
          <w:iCs w:val="false"/>
          <w:color w:val="1A1A1A"/>
          <w:sz w:val="20"/>
          <w:szCs w:val="20"/>
        </w:rPr>
        <w:t xml:space="preserve">Most products hang directly off the core with no sibling requirement. Personnel does not need Job Evaluation; Talent Acquisition does not need Performance; Learning needs only the core.</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Phase 1 is a fan, not a pipeline. </w:t>
      </w:r>
      <w:r>
        <w:rPr>
          <w:rFonts w:ascii="Arial" w:cs="Arial" w:eastAsia="Arial" w:hAnsi="Arial"/>
          <w:b w:val="false"/>
          <w:bCs w:val="false"/>
          <w:i w:val="false"/>
          <w:iCs w:val="false"/>
          <w:color w:val="1A1A1A"/>
          <w:sz w:val="20"/>
          <w:szCs w:val="20"/>
        </w:rPr>
        <w:t xml:space="preserve">Job Evaluation and Compensation both depend only on the core and are independent of each other. The score-to-grades-to-bands narrative describes how a customer who bought both uses them; describing it as a pipeline would make buyers assume they must buy everything.</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Payroll does not require Compensation. </w:t>
      </w:r>
      <w:r>
        <w:rPr>
          <w:rFonts w:ascii="Arial" w:cs="Arial" w:eastAsia="Arial" w:hAnsi="Arial"/>
          <w:b w:val="false"/>
          <w:bCs w:val="false"/>
          <w:i w:val="false"/>
          <w:iCs w:val="false"/>
          <w:color w:val="1A1A1A"/>
          <w:sz w:val="20"/>
          <w:szCs w:val="20"/>
        </w:rPr>
        <w:t xml:space="preserve">It needs the roster, pay element amounts, and a time source. Compensation adds market anchoring, band design, allowance rules, compa-ratio, and the merit matrix — valuable, and not on the critical path.</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Insights is the only true convergence point, </w:t>
      </w:r>
      <w:r>
        <w:rPr>
          <w:rFonts w:ascii="Arial" w:cs="Arial" w:eastAsia="Arial" w:hAnsi="Arial"/>
          <w:b w:val="false"/>
          <w:bCs w:val="false"/>
          <w:i w:val="false"/>
          <w:iCs w:val="false"/>
          <w:color w:val="1A1A1A"/>
          <w:sz w:val="20"/>
          <w:szCs w:val="20"/>
        </w:rPr>
        <w:t xml:space="preserve">and where cost data enters from outside the graph. Everything else is a tree.</w:t>
      </w:r>
    </w:p>
    <w:p>
      <w:pPr>
        <w:pStyle w:val="Heading2"/>
        <w:keepNext/>
        <w:spacing w:after="100" w:before="260"/>
      </w:pPr>
      <w:r>
        <w:rPr>
          <w:rFonts w:ascii="Arial" w:cs="Arial" w:eastAsia="Arial" w:hAnsi="Arial"/>
          <w:b/>
          <w:bCs/>
          <w:color w:val="2E5C8A"/>
          <w:sz w:val="23"/>
          <w:szCs w:val="23"/>
        </w:rPr>
        <w:t xml:space="preserve">3.5 The three à-la-carte tiers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Sells alone, honestly: </w:t>
      </w:r>
      <w:r>
        <w:rPr>
          <w:rFonts w:ascii="Arial" w:cs="Arial" w:eastAsia="Arial" w:hAnsi="Arial"/>
          <w:b w:val="false"/>
          <w:bCs w:val="false"/>
          <w:i w:val="false"/>
          <w:iCs w:val="false"/>
          <w:color w:val="1A1A1A"/>
          <w:sz w:val="20"/>
          <w:szCs w:val="20"/>
        </w:rPr>
        <w:t xml:space="preserve">Job Evaluation, Compensation, Personnel, Project &amp; Task Management, Learning, Talent Acquisition, Person Assessment.</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Sells alone but degraded: </w:t>
      </w:r>
      <w:r>
        <w:rPr>
          <w:rFonts w:ascii="Arial" w:cs="Arial" w:eastAsia="Arial" w:hAnsi="Arial"/>
          <w:b w:val="false"/>
          <w:bCs w:val="false"/>
          <w:i w:val="false"/>
          <w:iCs w:val="false"/>
          <w:color w:val="1A1A1A"/>
          <w:sz w:val="20"/>
          <w:szCs w:val="20"/>
        </w:rPr>
        <w:t xml:space="preserve">Payroll (needs an external time feed), Performance &amp; Goals (manual objectives, no evidence panel).</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Never sold alone: </w:t>
      </w:r>
      <w:r>
        <w:rPr>
          <w:rFonts w:ascii="Arial" w:cs="Arial" w:eastAsia="Arial" w:hAnsi="Arial"/>
          <w:b w:val="false"/>
          <w:bCs w:val="false"/>
          <w:i w:val="false"/>
          <w:iCs w:val="false"/>
          <w:color w:val="1A1A1A"/>
          <w:sz w:val="20"/>
          <w:szCs w:val="20"/>
        </w:rPr>
        <w:t xml:space="preserve">Talent Management, Insights, Market Benchmark. Their value is synthesis, and pretending otherwise sets up a failed implementation.</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4. The Sellable Products</w:t>
      </w:r>
    </w:p>
    <w:p>
      <w:pPr>
        <w:spacing w:after="120" w:before="0" w:line="264"/>
      </w:pPr>
      <w:r>
        <w:rPr>
          <w:rFonts w:ascii="Arial" w:cs="Arial" w:eastAsia="Arial" w:hAnsi="Arial"/>
          <w:b w:val="false"/>
          <w:bCs w:val="false"/>
          <w:i w:val="false"/>
          <w:iCs w:val="false"/>
          <w:color w:val="1A1A1A"/>
          <w:sz w:val="20"/>
          <w:szCs w:val="20"/>
        </w:rPr>
        <w:t xml:space="preserve">Each product is described here in a paragraph. Workflows, data models, and integration contracts live in that product’s own scope document; the core is specified separately as a reference specification rather than a scope, because every product depends on it.</w:t>
      </w:r>
    </w:p>
    <w:p>
      <w:pPr>
        <w:spacing w:after="60"/>
      </w:pPr>
    </w:p>
    <w:tbl>
      <w:tblPr>
        <w:tblW w:type="dxa" w:w="9026"/>
        <w:tblBorders>
          <w:top w:val="single" w:color="BFC9D9" w:sz="4"/>
          <w:left w:val="none" w:color="FFFFFF" w:sz="0"/>
          <w:bottom w:val="single" w:color="BFC9D9" w:sz="4"/>
          <w:right w:val="none" w:color="FFFFFF" w:sz="0"/>
          <w:insideH w:val="single" w:color="BFC9D9" w:sz="2"/>
          <w:insideV w:val="none" w:color="FFFFFF" w:sz="0"/>
        </w:tblBorders>
      </w:tblPr>
      <w:tblGrid>
        <w:gridCol w:w="450"/>
        <w:gridCol w:w="2750"/>
        <w:gridCol w:w="1300"/>
        <w:gridCol w:w="2300"/>
        <w:gridCol w:w="2226"/>
      </w:tblGrid>
      <w:tr>
        <w:trPr>
          <w:tblHeader/>
        </w:trPr>
        <w:tc>
          <w:tcPr>
            <w:tcW w:type="dxa" w:w="450"/>
            <w:shd w:fill="1F3864" w:val="clear"/>
            <w:tcMar>
              <w:top w:type="dxa" w:w="70"/>
              <w:left w:type="dxa" w:w="110"/>
              <w:bottom w:type="dxa" w:w="70"/>
              <w:right w:type="dxa" w:w="110"/>
            </w:tcMar>
            <w:vAlign w:val="top"/>
          </w:tcPr>
          <w:p>
            <w:pPr>
              <w:spacing w:after="0" w:line="240"/>
            </w:pPr>
            <w:r>
              <w:rPr>
                <w:rFonts w:ascii="Arial" w:cs="Arial" w:eastAsia="Arial" w:hAnsi="Arial"/>
                <w:b/>
                <w:bCs/>
                <w:i w:val="false"/>
                <w:iCs w:val="false"/>
                <w:color w:val="FFFFFF"/>
                <w:sz w:val="18"/>
                <w:szCs w:val="18"/>
              </w:rPr>
              <w:t xml:space="preserve">#</w:t>
            </w:r>
          </w:p>
        </w:tc>
        <w:tc>
          <w:tcPr>
            <w:tcW w:type="dxa" w:w="2750"/>
            <w:shd w:fill="1F3864" w:val="clear"/>
            <w:tcMar>
              <w:top w:type="dxa" w:w="70"/>
              <w:left w:type="dxa" w:w="110"/>
              <w:bottom w:type="dxa" w:w="70"/>
              <w:right w:type="dxa" w:w="110"/>
            </w:tcMar>
            <w:vAlign w:val="top"/>
          </w:tcPr>
          <w:p>
            <w:pPr>
              <w:spacing w:after="0" w:line="240"/>
            </w:pPr>
            <w:r>
              <w:rPr>
                <w:rFonts w:ascii="Arial" w:cs="Arial" w:eastAsia="Arial" w:hAnsi="Arial"/>
                <w:b/>
                <w:bCs/>
                <w:i w:val="false"/>
                <w:iCs w:val="false"/>
                <w:color w:val="FFFFFF"/>
                <w:sz w:val="18"/>
                <w:szCs w:val="18"/>
              </w:rPr>
              <w:t xml:space="preserve">Product</w:t>
            </w:r>
          </w:p>
        </w:tc>
        <w:tc>
          <w:tcPr>
            <w:tcW w:type="dxa" w:w="1300"/>
            <w:shd w:fill="1F3864" w:val="clear"/>
            <w:tcMar>
              <w:top w:type="dxa" w:w="70"/>
              <w:left w:type="dxa" w:w="110"/>
              <w:bottom w:type="dxa" w:w="70"/>
              <w:right w:type="dxa" w:w="110"/>
            </w:tcMar>
            <w:vAlign w:val="top"/>
          </w:tcPr>
          <w:p>
            <w:pPr>
              <w:spacing w:after="0" w:line="240"/>
            </w:pPr>
            <w:r>
              <w:rPr>
                <w:rFonts w:ascii="Arial" w:cs="Arial" w:eastAsia="Arial" w:hAnsi="Arial"/>
                <w:b/>
                <w:bCs/>
                <w:i w:val="false"/>
                <w:iCs w:val="false"/>
                <w:color w:val="FFFFFF"/>
                <w:sz w:val="18"/>
                <w:szCs w:val="18"/>
              </w:rPr>
              <w:t xml:space="preserve">Alone</w:t>
            </w:r>
          </w:p>
        </w:tc>
        <w:tc>
          <w:tcPr>
            <w:tcW w:type="dxa" w:w="2300"/>
            <w:shd w:fill="1F3864" w:val="clear"/>
            <w:tcMar>
              <w:top w:type="dxa" w:w="70"/>
              <w:left w:type="dxa" w:w="110"/>
              <w:bottom w:type="dxa" w:w="70"/>
              <w:right w:type="dxa" w:w="110"/>
            </w:tcMar>
            <w:vAlign w:val="top"/>
          </w:tcPr>
          <w:p>
            <w:pPr>
              <w:spacing w:after="0" w:line="240"/>
            </w:pPr>
            <w:r>
              <w:rPr>
                <w:rFonts w:ascii="Arial" w:cs="Arial" w:eastAsia="Arial" w:hAnsi="Arial"/>
                <w:b/>
                <w:bCs/>
                <w:i w:val="false"/>
                <w:iCs w:val="false"/>
                <w:color w:val="FFFFFF"/>
                <w:sz w:val="18"/>
                <w:szCs w:val="18"/>
              </w:rPr>
              <w:t xml:space="preserve">Model</w:t>
            </w:r>
          </w:p>
        </w:tc>
        <w:tc>
          <w:tcPr>
            <w:tcW w:type="dxa" w:w="2226"/>
            <w:shd w:fill="1F3864" w:val="clear"/>
            <w:tcMar>
              <w:top w:type="dxa" w:w="70"/>
              <w:left w:type="dxa" w:w="110"/>
              <w:bottom w:type="dxa" w:w="70"/>
              <w:right w:type="dxa" w:w="110"/>
            </w:tcMar>
            <w:vAlign w:val="top"/>
          </w:tcPr>
          <w:p>
            <w:pPr>
              <w:spacing w:after="0" w:line="240"/>
            </w:pPr>
            <w:r>
              <w:rPr>
                <w:rFonts w:ascii="Arial" w:cs="Arial" w:eastAsia="Arial" w:hAnsi="Arial"/>
                <w:b/>
                <w:bCs/>
                <w:i w:val="false"/>
                <w:iCs w:val="false"/>
                <w:color w:val="FFFFFF"/>
                <w:sz w:val="18"/>
                <w:szCs w:val="18"/>
              </w:rPr>
              <w:t xml:space="preserve">Phase</w:t>
            </w:r>
          </w:p>
        </w:tc>
      </w:tr>
      <w:tr>
        <w:tc>
          <w:tcPr>
            <w:tcW w:type="dxa" w:w="45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0</w:t>
            </w:r>
          </w:p>
        </w:tc>
        <w:tc>
          <w:tcPr>
            <w:tcW w:type="dxa" w:w="275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Organization Builder (core)</w:t>
            </w:r>
          </w:p>
        </w:tc>
        <w:tc>
          <w:tcPr>
            <w:tcW w:type="dxa" w:w="13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Foundation</w:t>
            </w:r>
          </w:p>
        </w:tc>
        <w:tc>
          <w:tcPr>
            <w:tcW w:type="dxa" w:w="23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Free with any product</w:t>
            </w:r>
          </w:p>
        </w:tc>
        <w:tc>
          <w:tcPr>
            <w:tcW w:type="dxa" w:w="22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1</w:t>
            </w:r>
          </w:p>
        </w:tc>
      </w:tr>
      <w:tr>
        <w:tc>
          <w:tcPr>
            <w:tcW w:type="dxa" w:w="45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1</w:t>
            </w:r>
          </w:p>
        </w:tc>
        <w:tc>
          <w:tcPr>
            <w:tcW w:type="dxa" w:w="275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Job Evaluation</w:t>
            </w:r>
          </w:p>
        </w:tc>
        <w:tc>
          <w:tcPr>
            <w:tcW w:type="dxa" w:w="13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High</w:t>
            </w:r>
          </w:p>
        </w:tc>
        <w:tc>
          <w:tcPr>
            <w:tcW w:type="dxa" w:w="23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Consulting-led + software</w:t>
            </w:r>
          </w:p>
        </w:tc>
        <w:tc>
          <w:tcPr>
            <w:tcW w:type="dxa" w:w="22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1</w:t>
            </w:r>
          </w:p>
        </w:tc>
      </w:tr>
      <w:tr>
        <w:tc>
          <w:tcPr>
            <w:tcW w:type="dxa" w:w="45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2</w:t>
            </w:r>
          </w:p>
        </w:tc>
        <w:tc>
          <w:tcPr>
            <w:tcW w:type="dxa" w:w="275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Compensation</w:t>
            </w:r>
          </w:p>
        </w:tc>
        <w:tc>
          <w:tcPr>
            <w:tcW w:type="dxa" w:w="13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High</w:t>
            </w:r>
          </w:p>
        </w:tc>
        <w:tc>
          <w:tcPr>
            <w:tcW w:type="dxa" w:w="23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Consulting-led + software</w:t>
            </w:r>
          </w:p>
        </w:tc>
        <w:tc>
          <w:tcPr>
            <w:tcW w:type="dxa" w:w="22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1</w:t>
            </w:r>
          </w:p>
        </w:tc>
      </w:tr>
      <w:tr>
        <w:tc>
          <w:tcPr>
            <w:tcW w:type="dxa" w:w="45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3</w:t>
            </w:r>
          </w:p>
        </w:tc>
        <w:tc>
          <w:tcPr>
            <w:tcW w:type="dxa" w:w="275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Methodology &amp; Competency Designer</w:t>
            </w:r>
          </w:p>
        </w:tc>
        <w:tc>
          <w:tcPr>
            <w:tcW w:type="dxa" w:w="13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Practice tool</w:t>
            </w:r>
          </w:p>
        </w:tc>
        <w:tc>
          <w:tcPr>
            <w:tcW w:type="dxa" w:w="23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Practice tier</w:t>
            </w:r>
          </w:p>
        </w:tc>
        <w:tc>
          <w:tcPr>
            <w:tcW w:type="dxa" w:w="22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1</w:t>
            </w:r>
          </w:p>
        </w:tc>
      </w:tr>
      <w:tr>
        <w:tc>
          <w:tcPr>
            <w:tcW w:type="dxa" w:w="45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4</w:t>
            </w:r>
          </w:p>
        </w:tc>
        <w:tc>
          <w:tcPr>
            <w:tcW w:type="dxa" w:w="275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Personnel / Core Admin</w:t>
            </w:r>
          </w:p>
        </w:tc>
        <w:tc>
          <w:tcPr>
            <w:tcW w:type="dxa" w:w="13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High</w:t>
            </w:r>
          </w:p>
        </w:tc>
        <w:tc>
          <w:tcPr>
            <w:tcW w:type="dxa" w:w="23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SaaS</w:t>
            </w:r>
          </w:p>
        </w:tc>
        <w:tc>
          <w:tcPr>
            <w:tcW w:type="dxa" w:w="22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2</w:t>
            </w:r>
          </w:p>
        </w:tc>
      </w:tr>
      <w:tr>
        <w:tc>
          <w:tcPr>
            <w:tcW w:type="dxa" w:w="45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5</w:t>
            </w:r>
          </w:p>
        </w:tc>
        <w:tc>
          <w:tcPr>
            <w:tcW w:type="dxa" w:w="275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Project &amp; Task Management</w:t>
            </w:r>
          </w:p>
        </w:tc>
        <w:tc>
          <w:tcPr>
            <w:tcW w:type="dxa" w:w="13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High</w:t>
            </w:r>
          </w:p>
        </w:tc>
        <w:tc>
          <w:tcPr>
            <w:tcW w:type="dxa" w:w="23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SaaS</w:t>
            </w:r>
          </w:p>
        </w:tc>
        <w:tc>
          <w:tcPr>
            <w:tcW w:type="dxa" w:w="22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3</w:t>
            </w:r>
          </w:p>
        </w:tc>
      </w:tr>
      <w:tr>
        <w:tc>
          <w:tcPr>
            <w:tcW w:type="dxa" w:w="45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6</w:t>
            </w:r>
          </w:p>
        </w:tc>
        <w:tc>
          <w:tcPr>
            <w:tcW w:type="dxa" w:w="275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Performance &amp; Goals</w:t>
            </w:r>
          </w:p>
        </w:tc>
        <w:tc>
          <w:tcPr>
            <w:tcW w:type="dxa" w:w="13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Medium</w:t>
            </w:r>
          </w:p>
        </w:tc>
        <w:tc>
          <w:tcPr>
            <w:tcW w:type="dxa" w:w="23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SaaS</w:t>
            </w:r>
          </w:p>
        </w:tc>
        <w:tc>
          <w:tcPr>
            <w:tcW w:type="dxa" w:w="22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3</w:t>
            </w:r>
          </w:p>
        </w:tc>
      </w:tr>
      <w:tr>
        <w:tc>
          <w:tcPr>
            <w:tcW w:type="dxa" w:w="45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7</w:t>
            </w:r>
          </w:p>
        </w:tc>
        <w:tc>
          <w:tcPr>
            <w:tcW w:type="dxa" w:w="275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Payroll</w:t>
            </w:r>
          </w:p>
        </w:tc>
        <w:tc>
          <w:tcPr>
            <w:tcW w:type="dxa" w:w="13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Conditional</w:t>
            </w:r>
          </w:p>
        </w:tc>
        <w:tc>
          <w:tcPr>
            <w:tcW w:type="dxa" w:w="23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SaaS (compliance-heavy)</w:t>
            </w:r>
          </w:p>
        </w:tc>
        <w:tc>
          <w:tcPr>
            <w:tcW w:type="dxa" w:w="22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3</w:t>
            </w:r>
          </w:p>
        </w:tc>
      </w:tr>
      <w:tr>
        <w:tc>
          <w:tcPr>
            <w:tcW w:type="dxa" w:w="45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8</w:t>
            </w:r>
          </w:p>
        </w:tc>
        <w:tc>
          <w:tcPr>
            <w:tcW w:type="dxa" w:w="275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Talent Acquisition (ATS)</w:t>
            </w:r>
          </w:p>
        </w:tc>
        <w:tc>
          <w:tcPr>
            <w:tcW w:type="dxa" w:w="13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High</w:t>
            </w:r>
          </w:p>
        </w:tc>
        <w:tc>
          <w:tcPr>
            <w:tcW w:type="dxa" w:w="23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SaaS + premium AI</w:t>
            </w:r>
          </w:p>
        </w:tc>
        <w:tc>
          <w:tcPr>
            <w:tcW w:type="dxa" w:w="22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4</w:t>
            </w:r>
          </w:p>
        </w:tc>
      </w:tr>
      <w:tr>
        <w:tc>
          <w:tcPr>
            <w:tcW w:type="dxa" w:w="45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9</w:t>
            </w:r>
          </w:p>
        </w:tc>
        <w:tc>
          <w:tcPr>
            <w:tcW w:type="dxa" w:w="275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Person Assessment</w:t>
            </w:r>
          </w:p>
        </w:tc>
        <w:tc>
          <w:tcPr>
            <w:tcW w:type="dxa" w:w="13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High</w:t>
            </w:r>
          </w:p>
        </w:tc>
        <w:tc>
          <w:tcPr>
            <w:tcW w:type="dxa" w:w="23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SaaS + consulting</w:t>
            </w:r>
          </w:p>
        </w:tc>
        <w:tc>
          <w:tcPr>
            <w:tcW w:type="dxa" w:w="22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4</w:t>
            </w:r>
          </w:p>
        </w:tc>
      </w:tr>
      <w:tr>
        <w:tc>
          <w:tcPr>
            <w:tcW w:type="dxa" w:w="45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10</w:t>
            </w:r>
          </w:p>
        </w:tc>
        <w:tc>
          <w:tcPr>
            <w:tcW w:type="dxa" w:w="275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Learning (LMS)</w:t>
            </w:r>
          </w:p>
        </w:tc>
        <w:tc>
          <w:tcPr>
            <w:tcW w:type="dxa" w:w="13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High</w:t>
            </w:r>
          </w:p>
        </w:tc>
        <w:tc>
          <w:tcPr>
            <w:tcW w:type="dxa" w:w="23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SaaS</w:t>
            </w:r>
          </w:p>
        </w:tc>
        <w:tc>
          <w:tcPr>
            <w:tcW w:type="dxa" w:w="22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4</w:t>
            </w:r>
          </w:p>
        </w:tc>
      </w:tr>
      <w:tr>
        <w:tc>
          <w:tcPr>
            <w:tcW w:type="dxa" w:w="45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11</w:t>
            </w:r>
          </w:p>
        </w:tc>
        <w:tc>
          <w:tcPr>
            <w:tcW w:type="dxa" w:w="275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Talent Management</w:t>
            </w:r>
          </w:p>
        </w:tc>
        <w:tc>
          <w:tcPr>
            <w:tcW w:type="dxa" w:w="13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Low</w:t>
            </w:r>
          </w:p>
        </w:tc>
        <w:tc>
          <w:tcPr>
            <w:tcW w:type="dxa" w:w="23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SaaS (integrated only)</w:t>
            </w:r>
          </w:p>
        </w:tc>
        <w:tc>
          <w:tcPr>
            <w:tcW w:type="dxa" w:w="22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4</w:t>
            </w:r>
          </w:p>
        </w:tc>
      </w:tr>
      <w:tr>
        <w:tc>
          <w:tcPr>
            <w:tcW w:type="dxa" w:w="45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12</w:t>
            </w:r>
          </w:p>
        </w:tc>
        <w:tc>
          <w:tcPr>
            <w:tcW w:type="dxa" w:w="275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Insights</w:t>
            </w:r>
          </w:p>
        </w:tc>
        <w:tc>
          <w:tcPr>
            <w:tcW w:type="dxa" w:w="13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Low</w:t>
            </w:r>
          </w:p>
        </w:tc>
        <w:tc>
          <w:tcPr>
            <w:tcW w:type="dxa" w:w="2300"/>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SaaS (integrated only)</w:t>
            </w:r>
          </w:p>
        </w:tc>
        <w:tc>
          <w:tcPr>
            <w:tcW w:type="dxa" w:w="2226"/>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4</w:t>
            </w:r>
          </w:p>
        </w:tc>
      </w:tr>
      <w:tr>
        <w:tc>
          <w:tcPr>
            <w:tcW w:type="dxa" w:w="45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13</w:t>
            </w:r>
          </w:p>
        </w:tc>
        <w:tc>
          <w:tcPr>
            <w:tcW w:type="dxa" w:w="275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Market Benchmark</w:t>
            </w:r>
          </w:p>
        </w:tc>
        <w:tc>
          <w:tcPr>
            <w:tcW w:type="dxa" w:w="13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w:t>
            </w:r>
          </w:p>
        </w:tc>
        <w:tc>
          <w:tcPr>
            <w:tcW w:type="dxa" w:w="2300"/>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Premium data product</w:t>
            </w:r>
          </w:p>
        </w:tc>
        <w:tc>
          <w:tcPr>
            <w:tcW w:type="dxa" w:w="2226"/>
            <w:shd w:fill="EDF1F7" w:val="clear"/>
            <w:tcMar>
              <w:top w:type="dxa" w:w="70"/>
              <w:left w:type="dxa" w:w="110"/>
              <w:bottom w:type="dxa" w:w="70"/>
              <w:right w:type="dxa" w:w="110"/>
            </w:tcMar>
            <w:vAlign w:val="top"/>
          </w:tcPr>
          <w:p>
            <w:pPr>
              <w:spacing w:after="0" w:line="240"/>
            </w:pPr>
            <w:r>
              <w:rPr>
                <w:rFonts w:ascii="Arial" w:cs="Arial" w:eastAsia="Arial" w:hAnsi="Arial"/>
                <w:b w:val="false"/>
                <w:bCs w:val="false"/>
                <w:i w:val="false"/>
                <w:iCs w:val="false"/>
                <w:color w:val="1A1A1A"/>
                <w:sz w:val="18"/>
                <w:szCs w:val="18"/>
              </w:rPr>
              <w:t xml:space="preserve">Future</w:t>
            </w:r>
          </w:p>
        </w:tc>
      </w:tr>
    </w:tbl>
    <w:p>
      <w:pPr>
        <w:spacing w:after="160"/>
      </w:pPr>
    </w:p>
    <w:p>
      <w:pPr>
        <w:pStyle w:val="Heading3"/>
        <w:keepNext/>
        <w:spacing w:after="80" w:before="200"/>
      </w:pPr>
      <w:r>
        <w:rPr>
          <w:rFonts w:ascii="Arial" w:cs="Arial" w:eastAsia="Arial" w:hAnsi="Arial"/>
          <w:b/>
          <w:bCs/>
          <w:color w:val="44546A"/>
          <w:sz w:val="20"/>
          <w:szCs w:val="20"/>
        </w:rPr>
        <w:t xml:space="preserve">Organization Builder (core)</w:t>
      </w:r>
    </w:p>
    <w:p>
      <w:pPr>
        <w:spacing w:after="120" w:before="0" w:line="264"/>
      </w:pPr>
      <w:r>
        <w:rPr>
          <w:rFonts w:ascii="Arial" w:cs="Arial" w:eastAsia="Arial" w:hAnsi="Arial"/>
          <w:b w:val="false"/>
          <w:bCs w:val="false"/>
          <w:i w:val="false"/>
          <w:iCs w:val="false"/>
          <w:color w:val="1A1A1A"/>
          <w:sz w:val="20"/>
          <w:szCs w:val="20"/>
        </w:rPr>
        <w:t xml:space="preserve">The free foundation. Org structure, locations, jobs, levels, families, grades, establishment, the employee roster, salary bands, pay elements, and the competency spine. Everything a customer can declare about themselves without buying a tool. Specified separately as the Core Specification, because it is a contract every product depends on rather than a product with workflows.</w:t>
      </w:r>
    </w:p>
    <w:p>
      <w:pPr>
        <w:pStyle w:val="Heading3"/>
        <w:keepNext/>
        <w:spacing w:after="80" w:before="200"/>
      </w:pPr>
      <w:r>
        <w:rPr>
          <w:rFonts w:ascii="Arial" w:cs="Arial" w:eastAsia="Arial" w:hAnsi="Arial"/>
          <w:b/>
          <w:bCs/>
          <w:color w:val="44546A"/>
          <w:sz w:val="20"/>
          <w:szCs w:val="20"/>
        </w:rPr>
        <w:t xml:space="preserve">Job Evaluation</w:t>
      </w:r>
    </w:p>
    <w:p>
      <w:pPr>
        <w:spacing w:after="120" w:before="0" w:line="264"/>
      </w:pPr>
      <w:r>
        <w:rPr>
          <w:rFonts w:ascii="Arial" w:cs="Arial" w:eastAsia="Arial" w:hAnsi="Arial"/>
          <w:b w:val="false"/>
          <w:bCs w:val="false"/>
          <w:i w:val="false"/>
          <w:iCs w:val="false"/>
          <w:color w:val="1A1A1A"/>
          <w:sz w:val="20"/>
          <w:szCs w:val="20"/>
        </w:rPr>
        <w:t xml:space="preserve">Scores a job against a granted methodology and recommends a grade, with an immutable audit trail from grade back to the specific answers a named evaluator chose under a pinned version. For customers who do not have, or do not trust, their existing job-to-grade assignments.</w:t>
      </w:r>
    </w:p>
    <w:p>
      <w:pPr>
        <w:pStyle w:val="Heading3"/>
        <w:keepNext/>
        <w:spacing w:after="80" w:before="200"/>
      </w:pPr>
      <w:r>
        <w:rPr>
          <w:rFonts w:ascii="Arial" w:cs="Arial" w:eastAsia="Arial" w:hAnsi="Arial"/>
          <w:b/>
          <w:bCs/>
          <w:color w:val="44546A"/>
          <w:sz w:val="20"/>
          <w:szCs w:val="20"/>
        </w:rPr>
        <w:t xml:space="preserve">Compensation</w:t>
      </w:r>
    </w:p>
    <w:p>
      <w:pPr>
        <w:spacing w:after="120" w:before="0" w:line="264"/>
      </w:pPr>
      <w:r>
        <w:rPr>
          <w:rFonts w:ascii="Arial" w:cs="Arial" w:eastAsia="Arial" w:hAnsi="Arial"/>
          <w:b w:val="false"/>
          <w:bCs w:val="false"/>
          <w:i w:val="false"/>
          <w:iCs w:val="false"/>
          <w:color w:val="1A1A1A"/>
          <w:sz w:val="20"/>
          <w:szCs w:val="20"/>
        </w:rPr>
        <w:t xml:space="preserve">Prices grades into bands from market data and positioning, derives allowance amounts from policy rules, and lights up compa-ratio, internal equity, and merit planning once actual pay is present. Owns the pay basis declaration and the band design; reads pay amounts from the core.</w:t>
      </w:r>
    </w:p>
    <w:p>
      <w:pPr>
        <w:pStyle w:val="Heading3"/>
        <w:keepNext/>
        <w:spacing w:after="80" w:before="200"/>
      </w:pPr>
      <w:r>
        <w:rPr>
          <w:rFonts w:ascii="Arial" w:cs="Arial" w:eastAsia="Arial" w:hAnsi="Arial"/>
          <w:b/>
          <w:bCs/>
          <w:color w:val="44546A"/>
          <w:sz w:val="20"/>
          <w:szCs w:val="20"/>
        </w:rPr>
        <w:t xml:space="preserve">Methodology &amp; Competency Designer</w:t>
      </w:r>
    </w:p>
    <w:p>
      <w:pPr>
        <w:spacing w:after="120" w:before="0" w:line="264"/>
      </w:pPr>
      <w:r>
        <w:rPr>
          <w:rFonts w:ascii="Arial" w:cs="Arial" w:eastAsia="Arial" w:hAnsi="Arial"/>
          <w:b w:val="false"/>
          <w:bCs w:val="false"/>
          <w:i w:val="false"/>
          <w:iCs w:val="false"/>
          <w:color w:val="1A1A1A"/>
          <w:sz w:val="20"/>
          <w:szCs w:val="20"/>
        </w:rPr>
        <w:t xml:space="preserve">The control-plane authoring tool. One product with three content types — evaluation methodologies, competency banks, and assessment instruments — because the machinery is identical for all three: author, version, validate, grant, publish as an immutable snapshot into a tenant. Sold to consulting practices and sophisticated in-house HR functions, not to every tenant.</w:t>
      </w:r>
    </w:p>
    <w:p>
      <w:pPr>
        <w:pStyle w:val="Heading3"/>
        <w:keepNext/>
        <w:spacing w:after="80" w:before="200"/>
      </w:pPr>
      <w:r>
        <w:rPr>
          <w:rFonts w:ascii="Arial" w:cs="Arial" w:eastAsia="Arial" w:hAnsi="Arial"/>
          <w:b/>
          <w:bCs/>
          <w:color w:val="44546A"/>
          <w:sz w:val="20"/>
          <w:szCs w:val="20"/>
        </w:rPr>
        <w:t xml:space="preserve">Personnel / Core Admin</w:t>
      </w:r>
    </w:p>
    <w:p>
      <w:pPr>
        <w:spacing w:after="120" w:before="0" w:line="264"/>
      </w:pPr>
      <w:r>
        <w:rPr>
          <w:rFonts w:ascii="Arial" w:cs="Arial" w:eastAsia="Arial" w:hAnsi="Arial"/>
          <w:b w:val="false"/>
          <w:bCs w:val="false"/>
          <w:i w:val="false"/>
          <w:iCs w:val="false"/>
          <w:color w:val="1A1A1A"/>
          <w:sz w:val="20"/>
          <w:szCs w:val="20"/>
        </w:rPr>
        <w:t xml:space="preserve">Everything that happens to a person over time: contracts, attendance, leaves, documents, dependents, onboarding and offboarding, and the approval flows around them. The system of record that unlocks Payroll and sharpens capacity in Project Management.</w:t>
      </w:r>
    </w:p>
    <w:p>
      <w:pPr>
        <w:pStyle w:val="Heading3"/>
        <w:keepNext/>
        <w:spacing w:after="80" w:before="200"/>
      </w:pPr>
      <w:r>
        <w:rPr>
          <w:rFonts w:ascii="Arial" w:cs="Arial" w:eastAsia="Arial" w:hAnsi="Arial"/>
          <w:b/>
          <w:bCs/>
          <w:color w:val="44546A"/>
          <w:sz w:val="20"/>
          <w:szCs w:val="20"/>
        </w:rPr>
        <w:t xml:space="preserve">Project &amp; Task Management</w:t>
      </w:r>
    </w:p>
    <w:p>
      <w:pPr>
        <w:spacing w:after="120" w:before="0" w:line="264"/>
      </w:pPr>
      <w:r>
        <w:rPr>
          <w:rFonts w:ascii="Arial" w:cs="Arial" w:eastAsia="Arial" w:hAnsi="Arial"/>
          <w:b w:val="false"/>
          <w:bCs w:val="false"/>
          <w:i w:val="false"/>
          <w:iCs w:val="false"/>
          <w:color w:val="1A1A1A"/>
          <w:sz w:val="20"/>
          <w:szCs w:val="20"/>
        </w:rPr>
        <w:t xml:space="preserve">Projects, tasks, workload, capacity, allocation, and time tracking. Publishes the task-completion event that Performance, Goals, and Insights consume. Owns the value-attribution model and the billing module. Positioned as project management that feeds people data, not as a generic competitor.</w:t>
      </w:r>
    </w:p>
    <w:p>
      <w:pPr>
        <w:pStyle w:val="Heading3"/>
        <w:keepNext/>
        <w:spacing w:after="80" w:before="200"/>
      </w:pPr>
      <w:r>
        <w:rPr>
          <w:rFonts w:ascii="Arial" w:cs="Arial" w:eastAsia="Arial" w:hAnsi="Arial"/>
          <w:b/>
          <w:bCs/>
          <w:color w:val="44546A"/>
          <w:sz w:val="20"/>
          <w:szCs w:val="20"/>
        </w:rPr>
        <w:t xml:space="preserve">Performance &amp; Goals</w:t>
      </w:r>
    </w:p>
    <w:p>
      <w:pPr>
        <w:spacing w:after="120" w:before="0" w:line="264"/>
      </w:pPr>
      <w:r>
        <w:rPr>
          <w:rFonts w:ascii="Arial" w:cs="Arial" w:eastAsia="Arial" w:hAnsi="Arial"/>
          <w:b w:val="false"/>
          <w:bCs w:val="false"/>
          <w:i w:val="false"/>
          <w:iCs w:val="false"/>
          <w:color w:val="1A1A1A"/>
          <w:sz w:val="20"/>
          <w:szCs w:val="20"/>
        </w:rPr>
        <w:t xml:space="preserve">The objective cascade, the appraisal engine across three pillars, and continuous feedback. Emits clean performance signals for other products. Task evidence informs the rating; a human sets it.</w:t>
      </w:r>
    </w:p>
    <w:p>
      <w:pPr>
        <w:pStyle w:val="Heading3"/>
        <w:keepNext/>
        <w:spacing w:after="80" w:before="200"/>
      </w:pPr>
      <w:r>
        <w:rPr>
          <w:rFonts w:ascii="Arial" w:cs="Arial" w:eastAsia="Arial" w:hAnsi="Arial"/>
          <w:b/>
          <w:bCs/>
          <w:color w:val="44546A"/>
          <w:sz w:val="20"/>
          <w:szCs w:val="20"/>
        </w:rPr>
        <w:t xml:space="preserve">Payroll</w:t>
      </w:r>
    </w:p>
    <w:p>
      <w:pPr>
        <w:spacing w:after="120" w:before="0" w:line="264"/>
      </w:pPr>
      <w:r>
        <w:rPr>
          <w:rFonts w:ascii="Arial" w:cs="Arial" w:eastAsia="Arial" w:hAnsi="Arial"/>
          <w:b w:val="false"/>
          <w:bCs w:val="false"/>
          <w:i w:val="false"/>
          <w:iCs w:val="false"/>
          <w:color w:val="1A1A1A"/>
          <w:sz w:val="20"/>
          <w:szCs w:val="20"/>
        </w:rPr>
        <w:t xml:space="preserve">Runs pay from element amounts, time, and absence, under Egyptian tax, social-insurance, and labour law. Owns the fiscal treatment of each pay element — what is taxable, what is insurable, how partial months prorate. The most compliance-heavy build in the suite and the most sensitive to host.</w:t>
      </w:r>
    </w:p>
    <w:p>
      <w:pPr>
        <w:pStyle w:val="Heading3"/>
        <w:keepNext/>
        <w:spacing w:after="80" w:before="200"/>
      </w:pPr>
      <w:r>
        <w:rPr>
          <w:rFonts w:ascii="Arial" w:cs="Arial" w:eastAsia="Arial" w:hAnsi="Arial"/>
          <w:b/>
          <w:bCs/>
          <w:color w:val="44546A"/>
          <w:sz w:val="20"/>
          <w:szCs w:val="20"/>
        </w:rPr>
        <w:t xml:space="preserve">Talent Acquisition</w:t>
      </w:r>
    </w:p>
    <w:p>
      <w:pPr>
        <w:spacing w:after="120" w:before="0" w:line="264"/>
      </w:pPr>
      <w:r>
        <w:rPr>
          <w:rFonts w:ascii="Arial" w:cs="Arial" w:eastAsia="Arial" w:hAnsi="Arial"/>
          <w:b w:val="false"/>
          <w:bCs w:val="false"/>
          <w:i w:val="false"/>
          <w:iCs w:val="false"/>
          <w:color w:val="1A1A1A"/>
          <w:sz w:val="20"/>
          <w:szCs w:val="20"/>
        </w:rPr>
        <w:t xml:space="preserve">Requisition management, pipeline, and interviews, with candidate scoring and pay recommendation. Consumes required profiles from the spine and the shared assessment engine rather than owning assessment logic.</w:t>
      </w:r>
    </w:p>
    <w:p>
      <w:pPr>
        <w:pStyle w:val="Heading3"/>
        <w:keepNext/>
        <w:spacing w:after="80" w:before="200"/>
      </w:pPr>
      <w:r>
        <w:rPr>
          <w:rFonts w:ascii="Arial" w:cs="Arial" w:eastAsia="Arial" w:hAnsi="Arial"/>
          <w:b/>
          <w:bCs/>
          <w:color w:val="44546A"/>
          <w:sz w:val="20"/>
          <w:szCs w:val="20"/>
        </w:rPr>
        <w:t xml:space="preserve">Person Assessment</w:t>
      </w:r>
    </w:p>
    <w:p>
      <w:pPr>
        <w:spacing w:after="120" w:before="0" w:line="264"/>
      </w:pPr>
      <w:r>
        <w:rPr>
          <w:rFonts w:ascii="Arial" w:cs="Arial" w:eastAsia="Arial" w:hAnsi="Arial"/>
          <w:b w:val="false"/>
          <w:bCs w:val="false"/>
          <w:i w:val="false"/>
          <w:iCs w:val="false"/>
          <w:color w:val="1A1A1A"/>
          <w:sz w:val="20"/>
          <w:szCs w:val="20"/>
        </w:rPr>
        <w:t xml:space="preserve">Measures people rather than jobs, against instruments Farouk authors. Distinct from Performance: Performance measures delivery in a role already held, retrospectively and on a cycle; assessment measures capability for a role not yet held, predictively and on an event. One engine serves external candidates, internal movers, and succession pools.</w:t>
      </w:r>
    </w:p>
    <w:p>
      <w:pPr>
        <w:pStyle w:val="Heading3"/>
        <w:keepNext/>
        <w:spacing w:after="80" w:before="200"/>
      </w:pPr>
      <w:r>
        <w:rPr>
          <w:rFonts w:ascii="Arial" w:cs="Arial" w:eastAsia="Arial" w:hAnsi="Arial"/>
          <w:b/>
          <w:bCs/>
          <w:color w:val="44546A"/>
          <w:sz w:val="20"/>
          <w:szCs w:val="20"/>
        </w:rPr>
        <w:t xml:space="preserve">Learning (LMS)</w:t>
      </w:r>
    </w:p>
    <w:p>
      <w:pPr>
        <w:spacing w:after="120" w:before="0" w:line="264"/>
      </w:pPr>
      <w:r>
        <w:rPr>
          <w:rFonts w:ascii="Arial" w:cs="Arial" w:eastAsia="Arial" w:hAnsi="Arial"/>
          <w:b w:val="false"/>
          <w:bCs w:val="false"/>
          <w:i w:val="false"/>
          <w:iCs w:val="false"/>
          <w:color w:val="1A1A1A"/>
          <w:sz w:val="20"/>
          <w:szCs w:val="20"/>
        </w:rPr>
        <w:t xml:space="preserve">Course catalogue, delivery, and completion tracking. Consumes competency gaps to recommend training, with a manual catalogue as the fallback.</w:t>
      </w:r>
    </w:p>
    <w:p>
      <w:pPr>
        <w:pStyle w:val="Heading3"/>
        <w:keepNext/>
        <w:spacing w:after="80" w:before="200"/>
      </w:pPr>
      <w:r>
        <w:rPr>
          <w:rFonts w:ascii="Arial" w:cs="Arial" w:eastAsia="Arial" w:hAnsi="Arial"/>
          <w:b/>
          <w:bCs/>
          <w:color w:val="44546A"/>
          <w:sz w:val="20"/>
          <w:szCs w:val="20"/>
        </w:rPr>
        <w:t xml:space="preserve">Talent Management</w:t>
      </w:r>
    </w:p>
    <w:p>
      <w:pPr>
        <w:spacing w:after="120" w:before="0" w:line="264"/>
      </w:pPr>
      <w:r>
        <w:rPr>
          <w:rFonts w:ascii="Arial" w:cs="Arial" w:eastAsia="Arial" w:hAnsi="Arial"/>
          <w:b w:val="false"/>
          <w:bCs w:val="false"/>
          <w:i w:val="false"/>
          <w:iCs w:val="false"/>
          <w:color w:val="1A1A1A"/>
          <w:sz w:val="20"/>
          <w:szCs w:val="20"/>
        </w:rPr>
        <w:t xml:space="preserve">Succession planning, talent risk, and career-path qualification. Needs the spine, job architecture, and Performance beneath it; low standalone value by design.</w:t>
      </w:r>
    </w:p>
    <w:p>
      <w:pPr>
        <w:pStyle w:val="Heading3"/>
        <w:keepNext/>
        <w:spacing w:after="80" w:before="200"/>
      </w:pPr>
      <w:r>
        <w:rPr>
          <w:rFonts w:ascii="Arial" w:cs="Arial" w:eastAsia="Arial" w:hAnsi="Arial"/>
          <w:b/>
          <w:bCs/>
          <w:color w:val="44546A"/>
          <w:sz w:val="20"/>
          <w:szCs w:val="20"/>
        </w:rPr>
        <w:t xml:space="preserve">Insights</w:t>
      </w:r>
    </w:p>
    <w:p>
      <w:pPr>
        <w:spacing w:after="120" w:before="0" w:line="264"/>
      </w:pPr>
      <w:r>
        <w:rPr>
          <w:rFonts w:ascii="Arial" w:cs="Arial" w:eastAsia="Arial" w:hAnsi="Arial"/>
          <w:b w:val="false"/>
          <w:bCs w:val="false"/>
          <w:i w:val="false"/>
          <w:iCs w:val="false"/>
          <w:color w:val="1A1A1A"/>
          <w:sz w:val="20"/>
          <w:szCs w:val="20"/>
        </w:rPr>
        <w:t xml:space="preserve">Team heatmap and health for managers; CEO dashboard, ROI, and financial impact for executives. Owns the computed signals — burnout, blended health, utilization rollups — computed once and displayed in many places.</w:t>
      </w:r>
    </w:p>
    <w:p>
      <w:pPr>
        <w:pStyle w:val="Heading3"/>
        <w:keepNext/>
        <w:spacing w:after="80" w:before="200"/>
      </w:pPr>
      <w:r>
        <w:rPr>
          <w:rFonts w:ascii="Arial" w:cs="Arial" w:eastAsia="Arial" w:hAnsi="Arial"/>
          <w:b/>
          <w:bCs/>
          <w:color w:val="44546A"/>
          <w:sz w:val="20"/>
          <w:szCs w:val="20"/>
        </w:rPr>
        <w:t xml:space="preserve">Market Benchmark</w:t>
      </w:r>
    </w:p>
    <w:p>
      <w:pPr>
        <w:spacing w:after="120" w:before="0" w:line="264"/>
      </w:pPr>
      <w:r>
        <w:rPr>
          <w:rFonts w:ascii="Arial" w:cs="Arial" w:eastAsia="Arial" w:hAnsi="Arial"/>
          <w:b w:val="false"/>
          <w:bCs w:val="false"/>
          <w:i w:val="false"/>
          <w:iCs w:val="false"/>
          <w:color w:val="1A1A1A"/>
          <w:sz w:val="20"/>
          <w:szCs w:val="20"/>
        </w:rPr>
        <w:t xml:space="preserve">An anonymized, aggregated compensation dataset built from the customer base. Potentially the strongest differentiator, but it requires scale, consent, and rigorous anonymization. A vision item, not a v1.</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5. Product Rules</w:t>
      </w:r>
    </w:p>
    <w:p>
      <w:pPr>
        <w:spacing w:after="120" w:before="0" w:line="264"/>
      </w:pPr>
      <w:r>
        <w:rPr>
          <w:rFonts w:ascii="Arial" w:cs="Arial" w:eastAsia="Arial" w:hAnsi="Arial"/>
          <w:b w:val="false"/>
          <w:bCs w:val="false"/>
          <w:i w:val="false"/>
          <w:iCs w:val="false"/>
          <w:color w:val="1A1A1A"/>
          <w:sz w:val="20"/>
          <w:szCs w:val="20"/>
        </w:rPr>
        <w:t xml:space="preserve">Platform-wide rules that bind individual products. Each product’s own scope document inherits these and does not restate or override them.</w:t>
      </w:r>
    </w:p>
    <w:p>
      <w:pPr>
        <w:pStyle w:val="Heading2"/>
        <w:keepNext/>
        <w:spacing w:after="100" w:before="260"/>
      </w:pPr>
      <w:r>
        <w:rPr>
          <w:rFonts w:ascii="Arial" w:cs="Arial" w:eastAsia="Arial" w:hAnsi="Arial"/>
          <w:b/>
          <w:bCs/>
          <w:color w:val="2E5C8A"/>
          <w:sz w:val="23"/>
          <w:szCs w:val="23"/>
        </w:rPr>
        <w:t xml:space="preserve">Job evaluation</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Point-factor methodology, </w:t>
      </w:r>
      <w:r>
        <w:rPr>
          <w:rFonts w:ascii="Arial" w:cs="Arial" w:eastAsia="Arial" w:hAnsi="Arial"/>
          <w:b w:val="false"/>
          <w:bCs w:val="false"/>
          <w:i w:val="false"/>
          <w:iCs w:val="false"/>
          <w:color w:val="1A1A1A"/>
          <w:sz w:val="20"/>
          <w:szCs w:val="20"/>
        </w:rPr>
        <w:t xml:space="preserve">with Farouk owning factor definitions, weights, and thresholds. Point-factor is a preset of one configurable engine, not a separate code path.</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All five levels are evaluable, including C-level. </w:t>
      </w:r>
      <w:r>
        <w:rPr>
          <w:rFonts w:ascii="Arial" w:cs="Arial" w:eastAsia="Arial" w:hAnsi="Arial"/>
          <w:b w:val="false"/>
          <w:bCs w:val="false"/>
          <w:i w:val="false"/>
          <w:iCs w:val="false"/>
          <w:color w:val="1A1A1A"/>
          <w:sz w:val="20"/>
          <w:szCs w:val="20"/>
        </w:rPr>
        <w:t xml:space="preserve">There is no system-enforced eligibility gate: keeping a job out of the questionnaire is a process decision, and manual grade assignment is the escape hatch.</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Weights, not raw points. </w:t>
      </w:r>
      <w:r>
        <w:rPr>
          <w:rFonts w:ascii="Arial" w:cs="Arial" w:eastAsia="Arial" w:hAnsi="Arial"/>
          <w:b w:val="false"/>
          <w:bCs w:val="false"/>
          <w:i w:val="false"/>
          <w:iCs w:val="false"/>
          <w:color w:val="1A1A1A"/>
          <w:sz w:val="20"/>
          <w:szCs w:val="20"/>
        </w:rPr>
        <w:t xml:space="preserve">A version carries a points budget; factors and questions carry weight percentages; every question uses a unified 1–5 rating. Points are calculated, never entered.</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Grade mappings are tenant-owned, </w:t>
      </w:r>
      <w:r>
        <w:rPr>
          <w:rFonts w:ascii="Arial" w:cs="Arial" w:eastAsia="Arial" w:hAnsi="Arial"/>
          <w:b w:val="false"/>
          <w:bCs w:val="false"/>
          <w:i w:val="false"/>
          <w:iCs w:val="false"/>
          <w:color w:val="1A1A1A"/>
          <w:sz w:val="20"/>
          <w:szCs w:val="20"/>
        </w:rPr>
        <w:t xml:space="preserve">because they reference the customer’s own grade identifiers. The same granted methodology therefore yields different grades in different tenants — which is why the score, not the grade, is the cross-company identity the future benchmark keys on.</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Calibration is manual. </w:t>
      </w:r>
      <w:r>
        <w:rPr>
          <w:rFonts w:ascii="Arial" w:cs="Arial" w:eastAsia="Arial" w:hAnsi="Arial"/>
          <w:b w:val="false"/>
          <w:bCs w:val="false"/>
          <w:i w:val="false"/>
          <w:iCs w:val="false"/>
          <w:color w:val="1A1A1A"/>
          <w:sz w:val="20"/>
          <w:szCs w:val="20"/>
        </w:rPr>
        <w:t xml:space="preserve">Farouk calibrates on a scratch tenant with fabricated jobs. It is a practice discipline, not a product feature and not a release gate.</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Evaluation answers are immutable. </w:t>
      </w:r>
      <w:r>
        <w:rPr>
          <w:rFonts w:ascii="Arial" w:cs="Arial" w:eastAsia="Arial" w:hAnsi="Arial"/>
          <w:b w:val="false"/>
          <w:bCs w:val="false"/>
          <w:i w:val="false"/>
          <w:iCs w:val="false"/>
          <w:color w:val="1A1A1A"/>
          <w:sz w:val="20"/>
          <w:szCs w:val="20"/>
        </w:rPr>
        <w:t xml:space="preserve">A correction creates a new evaluation; history is never edited, because the traceability from grade back to answers is what makes the grade defensible.</w:t>
      </w:r>
    </w:p>
    <w:p>
      <w:pPr>
        <w:pStyle w:val="Heading2"/>
        <w:keepNext/>
        <w:spacing w:after="100" w:before="260"/>
      </w:pPr>
      <w:r>
        <w:rPr>
          <w:rFonts w:ascii="Arial" w:cs="Arial" w:eastAsia="Arial" w:hAnsi="Arial"/>
          <w:b/>
          <w:bCs/>
          <w:color w:val="2E5C8A"/>
          <w:sz w:val="23"/>
          <w:szCs w:val="23"/>
        </w:rPr>
        <w:t xml:space="preserve">Compensation &amp; pay</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Actual pay is not a single number. </w:t>
      </w:r>
      <w:r>
        <w:rPr>
          <w:rFonts w:ascii="Arial" w:cs="Arial" w:eastAsia="Arial" w:hAnsi="Arial"/>
          <w:b w:val="false"/>
          <w:bCs w:val="false"/>
          <w:i w:val="false"/>
          <w:iCs w:val="false"/>
          <w:color w:val="1A1A1A"/>
          <w:sz w:val="20"/>
          <w:szCs w:val="20"/>
        </w:rPr>
        <w:t xml:space="preserve">It is a set of elements — basic, transport and call allowances, bonus. The element catalogue and per-employee amounts live in the core, because Personnel, Compensation, and Payroll all write them and any single-product home would leave the other two broken or duplicating.</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Allowance policy rules belong to Compensation; </w:t>
      </w:r>
      <w:r>
        <w:rPr>
          <w:rFonts w:ascii="Arial" w:cs="Arial" w:eastAsia="Arial" w:hAnsi="Arial"/>
          <w:b w:val="false"/>
          <w:bCs w:val="false"/>
          <w:i w:val="false"/>
          <w:iCs w:val="false"/>
          <w:color w:val="1A1A1A"/>
          <w:sz w:val="20"/>
          <w:szCs w:val="20"/>
        </w:rPr>
        <w:t xml:space="preserve">fiscal treatment — what is taxable, what is insurable, how partial months prorate — belongs to Payroll. The core owns the element; each product owns its own view of it.</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Pay basis must be explicit. </w:t>
      </w:r>
      <w:r>
        <w:rPr>
          <w:rFonts w:ascii="Arial" w:cs="Arial" w:eastAsia="Arial" w:hAnsi="Arial"/>
          <w:b w:val="false"/>
          <w:bCs w:val="false"/>
          <w:i w:val="false"/>
          <w:iCs w:val="false"/>
          <w:color w:val="1A1A1A"/>
          <w:sz w:val="20"/>
          <w:szCs w:val="20"/>
        </w:rPr>
        <w:t xml:space="preserve">Bands and market data both declare which basis they price (basic, total fixed, total cash), and each pay element declares which basis it counts toward. In Egypt a modest basic with a large allowance share is common, so banding on basic alone would price a fraction of what people actually earn.</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Bands: min and max default to midpoint ±25%, </w:t>
      </w:r>
      <w:r>
        <w:rPr>
          <w:rFonts w:ascii="Arial" w:cs="Arial" w:eastAsia="Arial" w:hAnsi="Arial"/>
          <w:b w:val="false"/>
          <w:bCs w:val="false"/>
          <w:i w:val="false"/>
          <w:iCs w:val="false"/>
          <w:color w:val="1A1A1A"/>
          <w:sz w:val="20"/>
          <w:szCs w:val="20"/>
        </w:rPr>
        <w:t xml:space="preserve">giving a ~67% spread. The half-spread is stored per band and editable, because real structures widen toward senior grades. Overlap is midpoint progression, defaulting to 25%; because progression sits below spread, adjacent grades overlap by design.</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Manual bands are fully supported without Compensation. </w:t>
      </w:r>
      <w:r>
        <w:rPr>
          <w:rFonts w:ascii="Arial" w:cs="Arial" w:eastAsia="Arial" w:hAnsi="Arial"/>
          <w:b w:val="false"/>
          <w:bCs w:val="false"/>
          <w:i w:val="false"/>
          <w:iCs w:val="false"/>
          <w:color w:val="1A1A1A"/>
          <w:sz w:val="20"/>
          <w:szCs w:val="20"/>
        </w:rPr>
        <w:t xml:space="preserve">A customer enters min, midpoint, and max directly; spread and overlap become derived read-only values.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Market data binds to the job </w:t>
      </w:r>
      <w:r>
        <w:rPr>
          <w:rFonts w:ascii="Arial" w:cs="Arial" w:eastAsia="Arial" w:hAnsi="Arial"/>
          <w:b w:val="false"/>
          <w:bCs w:val="false"/>
          <w:i w:val="false"/>
          <w:iCs w:val="false"/>
          <w:color w:val="1A1A1A"/>
          <w:sz w:val="20"/>
          <w:szCs w:val="20"/>
        </w:rPr>
        <w:t xml:space="preserve">as primary grain, with family, level, and grade as fallback grains, tagged with geography, industry, size, and recency.</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Compa-ratio is pay ÷ midpoint on the declared basis; </w:t>
      </w:r>
      <w:r>
        <w:rPr>
          <w:rFonts w:ascii="Arial" w:cs="Arial" w:eastAsia="Arial" w:hAnsi="Arial"/>
          <w:b w:val="false"/>
          <w:bCs w:val="false"/>
          <w:i w:val="false"/>
          <w:iCs w:val="false"/>
          <w:color w:val="1A1A1A"/>
          <w:sz w:val="20"/>
          <w:szCs w:val="20"/>
        </w:rPr>
        <w:t xml:space="preserve">below 75% is below scale. HR-and-above only, enforced in permissions.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Internal equity v1 is statistical, not demographic. </w:t>
      </w:r>
      <w:r>
        <w:rPr>
          <w:rFonts w:ascii="Arial" w:cs="Arial" w:eastAsia="Arial" w:hAnsi="Arial"/>
          <w:b w:val="false"/>
          <w:bCs w:val="false"/>
          <w:i w:val="false"/>
          <w:iCs w:val="false"/>
          <w:color w:val="1A1A1A"/>
          <w:sz w:val="20"/>
          <w:szCs w:val="20"/>
        </w:rPr>
        <w:t xml:space="preserve">It answers whether people in the same job — and secondarily the same grade — are paid consistently, on a declared pay basis. Job is the primary grain because a grade deliberately spans many jobs and bands deliberately overlap, so dispersion within a grade is partly intended. With no protected-class dimension, v1 needs no legal review; adding a demographic cut makes it a different product that does.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Money is exact decimal with an explicit currency. </w:t>
      </w:r>
      <w:r>
        <w:rPr>
          <w:rFonts w:ascii="Arial" w:cs="Arial" w:eastAsia="Arial" w:hAnsi="Arial"/>
          <w:b w:val="false"/>
          <w:bCs w:val="false"/>
          <w:i w:val="false"/>
          <w:iCs w:val="false"/>
          <w:color w:val="1A1A1A"/>
          <w:sz w:val="20"/>
          <w:szCs w:val="20"/>
        </w:rPr>
        <w:t xml:space="preserve">Never floating point.</w:t>
      </w:r>
    </w:p>
    <w:p>
      <w:pPr>
        <w:pStyle w:val="Heading2"/>
        <w:keepNext/>
        <w:spacing w:after="100" w:before="260"/>
      </w:pPr>
      <w:r>
        <w:rPr>
          <w:rFonts w:ascii="Arial" w:cs="Arial" w:eastAsia="Arial" w:hAnsi="Arial"/>
          <w:b/>
          <w:bCs/>
          <w:color w:val="2E5C8A"/>
          <w:sz w:val="23"/>
          <w:szCs w:val="23"/>
        </w:rPr>
        <w:t xml:space="preserve">Skills &amp; competencies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Uniform 1–5 scale across all competencies </w:t>
      </w:r>
      <w:r>
        <w:rPr>
          <w:rFonts w:ascii="Arial" w:cs="Arial" w:eastAsia="Arial" w:hAnsi="Arial"/>
          <w:b w:val="false"/>
          <w:bCs w:val="false"/>
          <w:i w:val="false"/>
          <w:iCs w:val="false"/>
          <w:color w:val="1A1A1A"/>
          <w:sz w:val="20"/>
          <w:szCs w:val="20"/>
        </w:rPr>
        <w:t xml:space="preserve">— a platform rule, not a customer default. Per-competency scales make gap arithmetic incomparable and break the compute-once property that justifies the spine.</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A small seeded set ships with every tenant: </w:t>
      </w:r>
      <w:r>
        <w:rPr>
          <w:rFonts w:ascii="Arial" w:cs="Arial" w:eastAsia="Arial" w:hAnsi="Arial"/>
          <w:b w:val="false"/>
          <w:bCs w:val="false"/>
          <w:i w:val="false"/>
          <w:iCs w:val="false"/>
          <w:color w:val="1A1A1A"/>
          <w:sz w:val="20"/>
          <w:szCs w:val="20"/>
        </w:rPr>
        <w:t xml:space="preserve">five to eight universal behavioural competencies, bilingual, fully editable and deletable. Small on purpose — a forty-competency seed gets accepted unchanged and produces gaps that mean nothing while looking complete.</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The seeded set ships in the provisioning path </w:t>
      </w:r>
      <w:r>
        <w:rPr>
          <w:rFonts w:ascii="Arial" w:cs="Arial" w:eastAsia="Arial" w:hAnsi="Arial"/>
          <w:b w:val="false"/>
          <w:bCs w:val="false"/>
          <w:i w:val="false"/>
          <w:iCs w:val="false"/>
          <w:color w:val="1A1A1A"/>
          <w:sz w:val="20"/>
          <w:szCs w:val="20"/>
        </w:rPr>
        <w:t xml:space="preserve">as a versioned data file, with the seed version recorded per tenant, so an existing tenant can be offered a later seed without being changed by it.</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Required profiles bind to the job; templates bind to the family-and-level cell. </w:t>
      </w:r>
      <w:r>
        <w:rPr>
          <w:rFonts w:ascii="Arial" w:cs="Arial" w:eastAsia="Arial" w:hAnsi="Arial"/>
          <w:b w:val="false"/>
          <w:bCs w:val="false"/>
          <w:i w:val="false"/>
          <w:iCs w:val="false"/>
          <w:color w:val="1A1A1A"/>
          <w:sz w:val="20"/>
          <w:szCs w:val="20"/>
        </w:rPr>
        <w:t xml:space="preserve">Jobs inherit their cell template and may override individual competencies. The template grain is the grading grid coordinate, so templates and the grid share one coordinate system rather than running as parallel schemes.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A level-only fallback template applies while a job has no family. </w:t>
      </w:r>
      <w:r>
        <w:rPr>
          <w:rFonts w:ascii="Arial" w:cs="Arial" w:eastAsia="Arial" w:hAnsi="Arial"/>
          <w:b w:val="false"/>
          <w:bCs w:val="false"/>
          <w:i w:val="false"/>
          <w:iCs w:val="false"/>
          <w:color w:val="1A1A1A"/>
          <w:sz w:val="20"/>
          <w:szCs w:val="20"/>
        </w:rPr>
        <w:t xml:space="preserve">Families are nullable by design and a new customer may have none defined, so without a fallback no template would match any job at launch.</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Held profiles accept writes from more than one source, resolved by source precedence. </w:t>
      </w:r>
      <w:r>
        <w:rPr>
          <w:rFonts w:ascii="Arial" w:cs="Arial" w:eastAsia="Arial" w:hAnsi="Arial"/>
          <w:b w:val="false"/>
          <w:bCs w:val="false"/>
          <w:i w:val="false"/>
          <w:iCs w:val="false"/>
          <w:color w:val="1A1A1A"/>
          <w:sz w:val="20"/>
          <w:szCs w:val="20"/>
        </w:rPr>
        <w:t xml:space="preserve">Assessment outranks a Performance cycle, which outranks a self-declared level; recency breaks ties only within a source. Pure most-recent-wins would let a lenient appraisal overwrite a rigorous assessment. Consumers set their own bar — learning recommendations accept any provenance, a gating placement decision requires Assessment.</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Certifications are live, not dormant. </w:t>
      </w:r>
      <w:r>
        <w:rPr>
          <w:rFonts w:ascii="Arial" w:cs="Arial" w:eastAsia="Arial" w:hAnsi="Arial"/>
          <w:b w:val="false"/>
          <w:bCs w:val="false"/>
          <w:i w:val="false"/>
          <w:iCs w:val="false"/>
          <w:color w:val="1A1A1A"/>
          <w:sz w:val="20"/>
          <w:szCs w:val="20"/>
        </w:rPr>
        <w:t xml:space="preserve">Nothing is mandatory organization-wide, but specific jobs require specific certifications.</w:t>
      </w:r>
    </w:p>
    <w:p>
      <w:pPr>
        <w:pStyle w:val="Heading2"/>
        <w:keepNext/>
        <w:spacing w:after="100" w:before="260"/>
      </w:pPr>
      <w:r>
        <w:rPr>
          <w:rFonts w:ascii="Arial" w:cs="Arial" w:eastAsia="Arial" w:hAnsi="Arial"/>
          <w:b/>
          <w:bCs/>
          <w:color w:val="2E5C8A"/>
          <w:sz w:val="23"/>
          <w:szCs w:val="23"/>
        </w:rPr>
        <w:t xml:space="preserve">Performance &amp; people signals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Burnout risk and the Health Indicator are computed once </w:t>
      </w:r>
      <w:r>
        <w:rPr>
          <w:rFonts w:ascii="Arial" w:cs="Arial" w:eastAsia="Arial" w:hAnsi="Arial"/>
          <w:b w:val="false"/>
          <w:bCs w:val="false"/>
          <w:i w:val="false"/>
          <w:iCs w:val="false"/>
          <w:color w:val="1A1A1A"/>
          <w:sz w:val="20"/>
          <w:szCs w:val="20"/>
        </w:rPr>
        <w:t xml:space="preserve">and never shown to the employee — enforced in permissions, not convention.</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Task evidence informs the objectives pillar; </w:t>
      </w:r>
      <w:r>
        <w:rPr>
          <w:rFonts w:ascii="Arial" w:cs="Arial" w:eastAsia="Arial" w:hAnsi="Arial"/>
          <w:b w:val="false"/>
          <w:bCs w:val="false"/>
          <w:i w:val="false"/>
          <w:iCs w:val="false"/>
          <w:color w:val="1A1A1A"/>
          <w:sz w:val="20"/>
          <w:szCs w:val="20"/>
        </w:rPr>
        <w:t xml:space="preserve">a human sets the rating.</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ROI rolls up to project and team only, </w:t>
      </w:r>
      <w:r>
        <w:rPr>
          <w:rFonts w:ascii="Arial" w:cs="Arial" w:eastAsia="Arial" w:hAnsi="Arial"/>
          <w:b w:val="false"/>
          <w:bCs w:val="false"/>
          <w:i w:val="false"/>
          <w:iCs w:val="false"/>
          <w:color w:val="1A1A1A"/>
          <w:sz w:val="20"/>
          <w:szCs w:val="20"/>
        </w:rPr>
        <w:t xml:space="preserve">never to an individual.</w:t>
      </w:r>
    </w:p>
    <w:p>
      <w:pPr>
        <w:pStyle w:val="Heading2"/>
        <w:keepNext/>
        <w:spacing w:after="100" w:before="260"/>
      </w:pPr>
      <w:r>
        <w:rPr>
          <w:rFonts w:ascii="Arial" w:cs="Arial" w:eastAsia="Arial" w:hAnsi="Arial"/>
          <w:b/>
          <w:bCs/>
          <w:color w:val="2E5C8A"/>
          <w:sz w:val="23"/>
          <w:szCs w:val="23"/>
        </w:rPr>
        <w:t xml:space="preserve">Person assessment</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Assessment is gating, </w:t>
      </w:r>
      <w:r>
        <w:rPr>
          <w:rFonts w:ascii="Arial" w:cs="Arial" w:eastAsia="Arial" w:hAnsi="Arial"/>
          <w:b w:val="false"/>
          <w:bCs w:val="false"/>
          <w:i w:val="false"/>
          <w:iCs w:val="false"/>
          <w:color w:val="1A1A1A"/>
          <w:sz w:val="20"/>
          <w:szCs w:val="20"/>
        </w:rPr>
        <w:t xml:space="preserve">not advisory.</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The assessor is HR or the CEO; </w:t>
      </w:r>
      <w:r>
        <w:rPr>
          <w:rFonts w:ascii="Arial" w:cs="Arial" w:eastAsia="Arial" w:hAnsi="Arial"/>
          <w:b w:val="false"/>
          <w:bCs w:val="false"/>
          <w:i w:val="false"/>
          <w:iCs w:val="false"/>
          <w:color w:val="1A1A1A"/>
          <w:sz w:val="20"/>
          <w:szCs w:val="20"/>
        </w:rPr>
        <w:t xml:space="preserve">results are not shown to the person assessed.</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Farouk authors the instruments; </w:t>
      </w:r>
      <w:r>
        <w:rPr>
          <w:rFonts w:ascii="Arial" w:cs="Arial" w:eastAsia="Arial" w:hAnsi="Arial"/>
          <w:b w:val="false"/>
          <w:bCs w:val="false"/>
          <w:i w:val="false"/>
          <w:iCs w:val="false"/>
          <w:color w:val="1A1A1A"/>
          <w:sz w:val="20"/>
          <w:szCs w:val="20"/>
        </w:rPr>
        <w:t xml:space="preserve">no third-party instrument is licensed.</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Instrument types stay separate in the model </w:t>
      </w:r>
      <w:r>
        <w:rPr>
          <w:rFonts w:ascii="Arial" w:cs="Arial" w:eastAsia="Arial" w:hAnsi="Arial"/>
          <w:b w:val="false"/>
          <w:bCs w:val="false"/>
          <w:i w:val="false"/>
          <w:iCs w:val="false"/>
          <w:color w:val="1A1A1A"/>
          <w:sz w:val="20"/>
          <w:szCs w:val="20"/>
        </w:rPr>
        <w:t xml:space="preserve">— technical knowledge, competency behaviour, personality — so a placement decision records which instrument drove it, and one type can be revised later without disturbing the others.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One engine serves all three populations </w:t>
      </w:r>
      <w:r>
        <w:rPr>
          <w:rFonts w:ascii="Arial" w:cs="Arial" w:eastAsia="Arial" w:hAnsi="Arial"/>
          <w:b w:val="false"/>
          <w:bCs w:val="false"/>
          <w:i w:val="false"/>
          <w:iCs w:val="false"/>
          <w:color w:val="1A1A1A"/>
          <w:sz w:val="20"/>
          <w:szCs w:val="20"/>
        </w:rPr>
        <w:t xml:space="preserve">— external candidates, internal movers, and succession pools. Neither Talent Acquisition nor Talent Management owns assessment logic, because all three are the same measurement against the same framework.</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6. System Architecture</w:t>
      </w:r>
    </w:p>
    <w:p>
      <w:pPr>
        <w:spacing w:after="120" w:before="0" w:line="264"/>
      </w:pPr>
      <w:r>
        <w:rPr>
          <w:rFonts w:ascii="Arial" w:cs="Arial" w:eastAsia="Arial" w:hAnsi="Arial"/>
          <w:b w:val="false"/>
          <w:bCs w:val="false"/>
          <w:i w:val="false"/>
          <w:iCs w:val="false"/>
          <w:color w:val="1A1A1A"/>
          <w:sz w:val="20"/>
          <w:szCs w:val="20"/>
        </w:rPr>
        <w:t xml:space="preserve">Architectural detail belongs in the Core Specification. What follows is the portfolio-level shape — the decisions that constrain every product.</w:t>
      </w:r>
    </w:p>
    <w:p>
      <w:pPr>
        <w:pStyle w:val="Heading2"/>
        <w:keepNext/>
        <w:spacing w:after="100" w:before="260"/>
      </w:pPr>
      <w:r>
        <w:rPr>
          <w:rFonts w:ascii="Arial" w:cs="Arial" w:eastAsia="Arial" w:hAnsi="Arial"/>
          <w:b/>
          <w:bCs/>
          <w:color w:val="2E5C8A"/>
          <w:sz w:val="23"/>
          <w:szCs w:val="23"/>
        </w:rPr>
        <w:t xml:space="preserve">Modular monolith</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One deployable artifact, hard module boundaries. </w:t>
      </w:r>
      <w:r>
        <w:rPr>
          <w:rFonts w:ascii="Arial" w:cs="Arial" w:eastAsia="Arial" w:hAnsi="Arial"/>
          <w:b w:val="false"/>
          <w:bCs w:val="false"/>
          <w:i w:val="false"/>
          <w:iCs w:val="false"/>
          <w:color w:val="1A1A1A"/>
          <w:sz w:val="20"/>
          <w:szCs w:val="20"/>
        </w:rPr>
        <w:t xml:space="preserve">DB-per-tenant already provides the isolation microservices are usually reached for; the on-prem artifact must be a single deployable; and à-la-carte selling is a licensing concern, not a deployment one. Boundaries stay compiler-enforced — module entities are internal, so one product physically cannot reference another’s types — which keeps extraction available if a product ever develops a real independent scaling need.</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Products share contracts, not databases. </w:t>
      </w:r>
      <w:r>
        <w:rPr>
          <w:rFonts w:ascii="Arial" w:cs="Arial" w:eastAsia="Arial" w:hAnsi="Arial"/>
          <w:b w:val="false"/>
          <w:bCs w:val="false"/>
          <w:i w:val="false"/>
          <w:iCs w:val="false"/>
          <w:color w:val="1A1A1A"/>
          <w:sz w:val="20"/>
          <w:szCs w:val="20"/>
        </w:rPr>
        <w:t xml:space="preserve">This is what lets the suite sell à la carte, and what makes graceful degradation automatic: a product that is not installed has no subscriber and no caller.</w:t>
      </w:r>
    </w:p>
    <w:p>
      <w:pPr>
        <w:pStyle w:val="Heading2"/>
        <w:keepNext/>
        <w:spacing w:after="100" w:before="260"/>
      </w:pPr>
      <w:r>
        <w:rPr>
          <w:rFonts w:ascii="Arial" w:cs="Arial" w:eastAsia="Arial" w:hAnsi="Arial"/>
          <w:b/>
          <w:bCs/>
          <w:color w:val="2E5C8A"/>
          <w:sz w:val="23"/>
          <w:szCs w:val="23"/>
        </w:rPr>
        <w:t xml:space="preserve">Data &amp; tenancy</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DB-per-tenant on PostgreSQL. </w:t>
      </w:r>
      <w:r>
        <w:rPr>
          <w:rFonts w:ascii="Arial" w:cs="Arial" w:eastAsia="Arial" w:hAnsi="Arial"/>
          <w:b w:val="false"/>
          <w:bCs w:val="false"/>
          <w:i w:val="false"/>
          <w:iCs w:val="false"/>
          <w:color w:val="1A1A1A"/>
          <w:sz w:val="20"/>
          <w:szCs w:val="20"/>
        </w:rPr>
        <w:t xml:space="preserve">No per-tenant licensing cost, strongest isolation, cleanest on-prem path, and a fit for a small number of large accounts. A shared control-plane database holds the tenant registry, access grants, and the practice library; a separate benchmark store receives future anonymized extracts.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The database boundary is the tenant boundary. </w:t>
      </w:r>
      <w:r>
        <w:rPr>
          <w:rFonts w:ascii="Arial" w:cs="Arial" w:eastAsia="Arial" w:hAnsi="Arial"/>
          <w:b w:val="false"/>
          <w:bCs w:val="false"/>
          <w:i w:val="false"/>
          <w:iCs w:val="false"/>
          <w:color w:val="1A1A1A"/>
          <w:sz w:val="20"/>
          <w:szCs w:val="20"/>
        </w:rPr>
        <w:t xml:space="preserve">No tenant identifier columns anywhere in a tenant database.</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Queries stay provider-agnostic, </w:t>
      </w:r>
      <w:r>
        <w:rPr>
          <w:rFonts w:ascii="Arial" w:cs="Arial" w:eastAsia="Arial" w:hAnsi="Arial"/>
          <w:b w:val="false"/>
          <w:bCs w:val="false"/>
          <w:i w:val="false"/>
          <w:iCs w:val="false"/>
          <w:color w:val="1A1A1A"/>
          <w:sz w:val="20"/>
          <w:szCs w:val="20"/>
        </w:rPr>
        <w:t xml:space="preserve">against the possibility of a contractual SQL Server mandate in a government RFP.</w:t>
      </w:r>
    </w:p>
    <w:p>
      <w:pPr>
        <w:pStyle w:val="Heading2"/>
        <w:keepNext/>
        <w:spacing w:after="100" w:before="260"/>
      </w:pPr>
      <w:r>
        <w:rPr>
          <w:rFonts w:ascii="Arial" w:cs="Arial" w:eastAsia="Arial" w:hAnsi="Arial"/>
          <w:b/>
          <w:bCs/>
          <w:color w:val="2E5C8A"/>
          <w:sz w:val="23"/>
          <w:szCs w:val="23"/>
        </w:rPr>
        <w:t xml:space="preserve">The control plane</w:t>
      </w:r>
    </w:p>
    <w:p>
      <w:pPr>
        <w:spacing w:after="120" w:before="0" w:line="264"/>
      </w:pPr>
      <w:r>
        <w:rPr>
          <w:rFonts w:ascii="Arial" w:cs="Arial" w:eastAsia="Arial" w:hAnsi="Arial"/>
          <w:b w:val="false"/>
          <w:bCs w:val="false"/>
          <w:i w:val="false"/>
          <w:iCs w:val="false"/>
          <w:color w:val="1A1A1A"/>
          <w:sz w:val="20"/>
          <w:szCs w:val="20"/>
        </w:rPr>
        <w:t xml:space="preserve">The control plane holds the tenant registry, access grants, and the practice library. Content is authored once, granted to specific tenants, and published into each tenant database as an immutable versioned snapshot — so an evaluation pins a version that physically exists in its own database rather than referencing a central store that could change or disappear.</w:t>
      </w:r>
    </w:p>
    <w:p>
      <w:pPr>
        <w:pBdr>
          <w:left w:val="single" w:color="2E5C8A" w:sz="18" w:space="10"/>
        </w:pBdr>
        <w:shd w:fill="EDF1F7" w:val="clear"/>
        <w:spacing w:after="160" w:before="140" w:line="264"/>
        <w:ind w:left="220" w:right="220"/>
      </w:pPr>
      <w:r>
        <w:rPr>
          <w:rFonts w:ascii="Arial" w:cs="Arial" w:eastAsia="Arial" w:hAnsi="Arial"/>
          <w:b/>
          <w:bCs/>
          <w:i w:val="false"/>
          <w:iCs w:val="false"/>
          <w:color w:val="1A1A1A"/>
          <w:sz w:val="20"/>
          <w:szCs w:val="20"/>
        </w:rPr>
        <w:t xml:space="preserve">Revoking a grant never deletes published snapshots. </w:t>
      </w:r>
      <w:r>
        <w:rPr>
          <w:rFonts w:ascii="Arial" w:cs="Arial" w:eastAsia="Arial" w:hAnsi="Arial"/>
          <w:b w:val="false"/>
          <w:bCs w:val="false"/>
          <w:i w:val="false"/>
          <w:iCs w:val="false"/>
          <w:color w:val="1A1A1A"/>
          <w:sz w:val="20"/>
          <w:szCs w:val="20"/>
        </w:rPr>
        <w:t xml:space="preserve">An evaluation references a specific version. If revocation cascaded, historical evaluations would lose their audit trail — which is the product.</w:t>
      </w:r>
    </w:p>
    <w:p>
      <w:pPr>
        <w:pStyle w:val="Heading2"/>
        <w:keepNext/>
        <w:spacing w:after="100" w:before="260"/>
      </w:pPr>
      <w:r>
        <w:rPr>
          <w:rFonts w:ascii="Arial" w:cs="Arial" w:eastAsia="Arial" w:hAnsi="Arial"/>
          <w:b/>
          <w:bCs/>
          <w:color w:val="2E5C8A"/>
          <w:sz w:val="23"/>
          <w:szCs w:val="23"/>
        </w:rPr>
        <w:t xml:space="preserve">Shipping updates to tenants</w:t>
      </w:r>
    </w:p>
    <w:p>
      <w:pPr>
        <w:spacing w:after="120" w:before="0" w:line="264"/>
      </w:pPr>
      <w:r>
        <w:rPr>
          <w:rFonts w:ascii="Arial" w:cs="Arial" w:eastAsia="Arial" w:hAnsi="Arial"/>
          <w:b w:val="false"/>
          <w:bCs w:val="false"/>
          <w:i w:val="false"/>
          <w:iCs w:val="false"/>
          <w:color w:val="1A1A1A"/>
          <w:sz w:val="20"/>
          <w:szCs w:val="20"/>
        </w:rPr>
        <w:t xml:space="preserve">Two mechanisms, and they work differently.</w:t>
      </w:r>
    </w:p>
    <w:p>
      <w:pPr>
        <w:pStyle w:val="Heading3"/>
        <w:keepNext/>
        <w:spacing w:after="80" w:before="200"/>
      </w:pPr>
      <w:r>
        <w:rPr>
          <w:rFonts w:ascii="Arial" w:cs="Arial" w:eastAsia="Arial" w:hAnsi="Arial"/>
          <w:b/>
          <w:bCs/>
          <w:color w:val="44546A"/>
          <w:sz w:val="20"/>
          <w:szCs w:val="20"/>
        </w:rPr>
        <w:t xml:space="preserve">Schema changes fan out across every tenant database</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A schema-version registry in the control plane </w:t>
      </w:r>
      <w:r>
        <w:rPr>
          <w:rFonts w:ascii="Arial" w:cs="Arial" w:eastAsia="Arial" w:hAnsi="Arial"/>
          <w:b w:val="false"/>
          <w:bCs w:val="false"/>
          <w:i w:val="false"/>
          <w:iCs w:val="false"/>
          <w:color w:val="1A1A1A"/>
          <w:sz w:val="20"/>
          <w:szCs w:val="20"/>
        </w:rPr>
        <w:t xml:space="preserve">records per tenant which migration is applied, when, and with what outcome. Without it, a tenant’s state is only discoverable by running against it.</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The control plane migrates first, </w:t>
      </w:r>
      <w:r>
        <w:rPr>
          <w:rFonts w:ascii="Arial" w:cs="Arial" w:eastAsia="Arial" w:hAnsi="Arial"/>
          <w:b w:val="false"/>
          <w:bCs w:val="false"/>
          <w:i w:val="false"/>
          <w:iCs w:val="false"/>
          <w:color w:val="1A1A1A"/>
          <w:sz w:val="20"/>
          <w:szCs w:val="20"/>
        </w:rPr>
        <w:t xml:space="preserve">then tenants — grants and entitlements live there, and tenant schema may depend on the new shape.</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Scratch and Demo tenants migrate first as canaries.</w:t>
      </w:r>
      <w:r>
        <w:rPr>
          <w:rFonts w:ascii="Arial" w:cs="Arial" w:eastAsia="Arial" w:hAnsi="Arial"/>
          <w:b w:val="false"/>
          <w:bCs w:val="false"/>
          <w:i w:val="false"/>
          <w:iCs w:val="false"/>
          <w:color w:val="1A1A1A"/>
          <w:sz w:val="20"/>
          <w:szCs w:val="20"/>
        </w:rPr>
      </w:r>
    </w:p>
    <w:p>
      <w:pPr>
        <w:pStyle w:val="ListParagraph"/>
        <w:numPr>
          <w:ilvl w:val="0"/>
          <w:numId w:val="2"/>
        </w:numPr>
        <w:spacing w:after="90" w:line="264"/>
      </w:pPr>
      <w:r>
        <w:rPr>
          <w:rFonts w:ascii="Arial" w:cs="Arial" w:eastAsia="Arial" w:hAnsi="Arial"/>
          <w:b/>
          <w:bCs/>
          <w:i w:val="false"/>
          <w:iCs w:val="false"/>
          <w:color w:val="1A1A1A"/>
          <w:sz w:val="20"/>
          <w:szCs w:val="20"/>
        </w:rPr>
        <w:t xml:space="preserve">Expand and contract, without exception. </w:t>
      </w:r>
      <w:r>
        <w:rPr>
          <w:rFonts w:ascii="Arial" w:cs="Arial" w:eastAsia="Arial" w:hAnsi="Arial"/>
          <w:b w:val="false"/>
          <w:bCs w:val="false"/>
          <w:i w:val="false"/>
          <w:iCs w:val="false"/>
          <w:color w:val="1A1A1A"/>
          <w:sz w:val="20"/>
          <w:szCs w:val="20"/>
        </w:rPr>
        <w:t xml:space="preserve">The application and every tenant database cannot migrate atomically. Add a nullable column, deploy an application that tolerates both shapes, backfill, drop the old column in a later release.</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No destructive migration without an explicit flag. </w:t>
      </w:r>
      <w:r>
        <w:rPr>
          <w:rFonts w:ascii="Arial" w:cs="Arial" w:eastAsia="Arial" w:hAnsi="Arial"/>
          <w:b w:val="false"/>
          <w:bCs w:val="false"/>
          <w:i w:val="false"/>
          <w:iCs w:val="false"/>
          <w:color w:val="1A1A1A"/>
          <w:sz w:val="20"/>
          <w:szCs w:val="20"/>
        </w:rPr>
        <w:t xml:space="preserve">Dropping a column across client databases is unrecoverable.</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Declare a minimum supported schema version. </w:t>
      </w:r>
      <w:r>
        <w:rPr>
          <w:rFonts w:ascii="Arial" w:cs="Arial" w:eastAsia="Arial" w:hAnsi="Arial"/>
          <w:b w:val="false"/>
          <w:bCs w:val="false"/>
          <w:i w:val="false"/>
          <w:iCs w:val="false"/>
          <w:color w:val="1A1A1A"/>
          <w:sz w:val="20"/>
          <w:szCs w:val="20"/>
        </w:rPr>
        <w:t xml:space="preserve">On-prem tenants lag — a ministry may sit months behind — so the application cannot assume everyone is current.</w:t>
      </w:r>
    </w:p>
    <w:p>
      <w:pPr>
        <w:pStyle w:val="Heading3"/>
        <w:keepNext/>
        <w:spacing w:after="80" w:before="200"/>
      </w:pPr>
      <w:r>
        <w:rPr>
          <w:rFonts w:ascii="Arial" w:cs="Arial" w:eastAsia="Arial" w:hAnsi="Arial"/>
          <w:b/>
          <w:bCs/>
          <w:color w:val="44546A"/>
          <w:sz w:val="20"/>
          <w:szCs w:val="20"/>
        </w:rPr>
        <w:t xml:space="preserve">Content updates are offered, never applied</w:t>
      </w:r>
    </w:p>
    <w:p>
      <w:pPr>
        <w:spacing w:after="120" w:before="0" w:line="264"/>
      </w:pPr>
      <w:r>
        <w:rPr>
          <w:rFonts w:ascii="Arial" w:cs="Arial" w:eastAsia="Arial" w:hAnsi="Arial"/>
          <w:b w:val="false"/>
          <w:bCs w:val="false"/>
          <w:i w:val="false"/>
          <w:iCs w:val="false"/>
          <w:color w:val="1A1A1A"/>
          <w:sz w:val="20"/>
          <w:szCs w:val="20"/>
        </w:rPr>
        <w:t xml:space="preserve">Improved seed sets and new methodology versions are never pushed into an existing tenant. The tenant is shown that an update exists and chooses. Anything the customer has edited is theirs and is never overwritten — the same rule that protects a required profile built on seed v1 when v2 ships.</w:t>
      </w:r>
    </w:p>
    <w:p>
      <w:pPr>
        <w:pStyle w:val="Heading2"/>
        <w:keepNext/>
        <w:spacing w:after="100" w:before="260"/>
      </w:pPr>
      <w:r>
        <w:rPr>
          <w:rFonts w:ascii="Arial" w:cs="Arial" w:eastAsia="Arial" w:hAnsi="Arial"/>
          <w:b/>
          <w:bCs/>
          <w:color w:val="2E5C8A"/>
          <w:sz w:val="23"/>
          <w:szCs w:val="23"/>
        </w:rPr>
        <w:t xml:space="preserve">Integrating external systems</w:t>
      </w:r>
    </w:p>
    <w:p>
      <w:pPr>
        <w:spacing w:after="120" w:before="0" w:line="264"/>
      </w:pPr>
      <w:r>
        <w:rPr>
          <w:rFonts w:ascii="Arial" w:cs="Arial" w:eastAsia="Arial" w:hAnsi="Arial"/>
          <w:b w:val="false"/>
          <w:bCs w:val="false"/>
          <w:i w:val="false"/>
          <w:iCs w:val="false"/>
          <w:color w:val="1A1A1A"/>
          <w:sz w:val="20"/>
          <w:szCs w:val="20"/>
        </w:rPr>
        <w:t xml:space="preserve">A customer who already runs an established system for one function will not replace it. Each product therefore declares a named adapter contract, in one of three forms depending on how modern the counterpart is: an API connector, file import and export, or events and webhooks. An adapter sits at our boundary translating their format into ours, so their schema never leaks into our products.</w:t>
      </w:r>
    </w:p>
    <w:p>
      <w:pPr>
        <w:spacing w:after="120" w:before="0" w:line="264"/>
      </w:pPr>
      <w:r>
        <w:rPr>
          <w:rFonts w:ascii="Arial" w:cs="Arial" w:eastAsia="Arial" w:hAnsi="Arial"/>
          <w:b w:val="false"/>
          <w:bCs w:val="false"/>
          <w:i w:val="false"/>
          <w:iCs w:val="false"/>
          <w:color w:val="1A1A1A"/>
          <w:sz w:val="20"/>
          <w:szCs w:val="20"/>
        </w:rPr>
        <w:t xml:space="preserve">Adapter priority follows what a client is least likely to give up: time and attendance first, since it unblocks Payroll and is the system Egyptian clients most often keep; then payroll export; then HRIS employee import; then project tools, which are not needed until Phase 3.</w:t>
      </w:r>
    </w:p>
    <w:p>
      <w:pPr>
        <w:pStyle w:val="Heading2"/>
        <w:keepNext/>
        <w:spacing w:after="100" w:before="260"/>
      </w:pPr>
      <w:r>
        <w:rPr>
          <w:rFonts w:ascii="Arial" w:cs="Arial" w:eastAsia="Arial" w:hAnsi="Arial"/>
          <w:b/>
          <w:bCs/>
          <w:color w:val="2E5C8A"/>
          <w:sz w:val="23"/>
          <w:szCs w:val="23"/>
        </w:rPr>
        <w:t xml:space="preserve">How our products interact</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Events by default </w:t>
      </w:r>
      <w:r>
        <w:rPr>
          <w:rFonts w:ascii="Arial" w:cs="Arial" w:eastAsia="Arial" w:hAnsi="Arial"/>
          <w:b w:val="false"/>
          <w:bCs w:val="false"/>
          <w:i w:val="false"/>
          <w:iCs w:val="false"/>
          <w:color w:val="1A1A1A"/>
          <w:sz w:val="20"/>
          <w:szCs w:val="20"/>
        </w:rPr>
        <w:t xml:space="preserve">— one publisher, many subscribers, none aware of the others. Compute once, consume many.</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API contracts when a synchronous answer is needed.</w:t>
      </w:r>
      <w:r>
        <w:rPr>
          <w:rFonts w:ascii="Arial" w:cs="Arial" w:eastAsia="Arial" w:hAnsi="Arial"/>
          <w:b w:val="false"/>
          <w:bCs w:val="false"/>
          <w:i w:val="false"/>
          <w:iCs w:val="false"/>
          <w:color w:val="1A1A1A"/>
          <w:sz w:val="20"/>
          <w:szCs w:val="20"/>
        </w:rPr>
      </w:r>
    </w:p>
    <w:p>
      <w:pPr>
        <w:pStyle w:val="ListParagraph"/>
        <w:numPr>
          <w:ilvl w:val="0"/>
          <w:numId w:val="2"/>
        </w:numPr>
        <w:spacing w:after="90" w:line="264"/>
      </w:pPr>
      <w:r>
        <w:rPr>
          <w:rFonts w:ascii="Arial" w:cs="Arial" w:eastAsia="Arial" w:hAnsi="Arial"/>
          <w:b/>
          <w:bCs/>
          <w:i w:val="false"/>
          <w:iCs w:val="false"/>
          <w:color w:val="1A1A1A"/>
          <w:sz w:val="20"/>
          <w:szCs w:val="20"/>
        </w:rPr>
        <w:t xml:space="preserve">Shared core data </w:t>
      </w:r>
      <w:r>
        <w:rPr>
          <w:rFonts w:ascii="Arial" w:cs="Arial" w:eastAsia="Arial" w:hAnsi="Arial"/>
          <w:b w:val="false"/>
          <w:bCs w:val="false"/>
          <w:i w:val="false"/>
          <w:iCs w:val="false"/>
          <w:color w:val="1A1A1A"/>
          <w:sz w:val="20"/>
          <w:szCs w:val="20"/>
        </w:rPr>
        <w:t xml:space="preserve">— every product reads org structure, roster, grades, pay, and competencies from the core.</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7. Go-to-Market, Deployment &amp; Business Model</w:t>
      </w:r>
    </w:p>
    <w:p>
      <w:pPr>
        <w:pStyle w:val="Heading2"/>
        <w:keepNext/>
        <w:spacing w:after="100" w:before="260"/>
      </w:pPr>
      <w:r>
        <w:rPr>
          <w:rFonts w:ascii="Arial" w:cs="Arial" w:eastAsia="Arial" w:hAnsi="Arial"/>
          <w:b/>
          <w:bCs/>
          <w:color w:val="2E5C8A"/>
          <w:sz w:val="23"/>
          <w:szCs w:val="23"/>
        </w:rPr>
        <w:t xml:space="preserve">Market and motion</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Org size 150–250 employees — a small number of large accounts, not a long tail of small ones.</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Consulting-led for the design products; SaaS for the operational ones. Land with services, expand with software.</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HR owns payroll compliance on the customer side — Egyptian tax, social insurance, labour law.</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Pricing deferred until the end of Phase 3.</w:t>
      </w:r>
    </w:p>
    <w:p>
      <w:pPr>
        <w:pStyle w:val="Heading2"/>
        <w:keepNext/>
        <w:spacing w:after="100" w:before="260"/>
      </w:pPr>
      <w:r>
        <w:rPr>
          <w:rFonts w:ascii="Arial" w:cs="Arial" w:eastAsia="Arial" w:hAnsi="Arial"/>
          <w:b/>
          <w:bCs/>
          <w:color w:val="2E5C8A"/>
          <w:sz w:val="23"/>
          <w:szCs w:val="23"/>
        </w:rPr>
        <w:t xml:space="preserve">Deployment</w:t>
      </w:r>
    </w:p>
    <w:p>
      <w:pPr>
        <w:spacing w:after="120" w:before="0" w:line="264"/>
      </w:pPr>
      <w:r>
        <w:rPr>
          <w:rFonts w:ascii="Arial" w:cs="Arial" w:eastAsia="Arial" w:hAnsi="Arial"/>
          <w:b w:val="false"/>
          <w:bCs w:val="false"/>
          <w:i w:val="false"/>
          <w:iCs w:val="false"/>
          <w:color w:val="1A1A1A"/>
          <w:sz w:val="20"/>
          <w:szCs w:val="20"/>
        </w:rPr>
        <w:t xml:space="preserve">SaaS-first as the default, architected for both.</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The à-la-carte, recurring-revenue, easy-upsell motion is SaaS-native; on-prem one-time licensing fights the modular vision.</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The government and state-owned-enterprise channel changes the weighting: </w:t>
      </w:r>
      <w:r>
        <w:rPr>
          <w:rFonts w:ascii="Arial" w:cs="Arial" w:eastAsia="Arial" w:hAnsi="Arial"/>
          <w:b w:val="false"/>
          <w:bCs w:val="false"/>
          <w:i w:val="false"/>
          <w:iCs w:val="false"/>
          <w:color w:val="1A1A1A"/>
          <w:sz w:val="20"/>
          <w:szCs w:val="20"/>
        </w:rPr>
        <w:t xml:space="preserve">public-sector buyers in Egypt frequently require local hosting or on-prem for sensitive HR and salary data, and must navigate PDPL.</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The architecture stays deployment-agnostic — containerized, one deployable artifact — so a single-tenant, private-cloud, or on-prem option can be offered as a premium enterprise tier. DB-per-tenant makes the on-prem artifact one tenant database plus the application.</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Regional hosting neutralizes residency objections without abandoning SaaS.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Payroll, pay element amounts, held competency profiles, and assessment results are the most sensitive data in the suite. </w:t>
      </w:r>
      <w:r>
        <w:rPr>
          <w:rFonts w:ascii="Arial" w:cs="Arial" w:eastAsia="Arial" w:hAnsi="Arial"/>
          <w:b w:val="false"/>
          <w:bCs w:val="false"/>
          <w:i w:val="false"/>
          <w:iCs w:val="false"/>
          <w:color w:val="1A1A1A"/>
          <w:sz w:val="20"/>
          <w:szCs w:val="20"/>
        </w:rPr>
        <w:t xml:space="preserve">They are treated as one sensitivity class and permission-gated together, not as four separate concerns.</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8. Roadmap</w:t>
      </w:r>
    </w:p>
    <w:p>
      <w:pPr>
        <w:spacing w:after="120" w:before="0" w:line="264"/>
      </w:pPr>
      <w:r>
        <w:rPr>
          <w:rFonts w:ascii="Arial" w:cs="Arial" w:eastAsia="Arial" w:hAnsi="Arial"/>
          <w:b w:val="false"/>
          <w:bCs w:val="false"/>
          <w:i w:val="false"/>
          <w:iCs w:val="false"/>
          <w:color w:val="1A1A1A"/>
          <w:sz w:val="20"/>
          <w:szCs w:val="20"/>
        </w:rPr>
        <w:t xml:space="preserve">The phases here are commercial: what we sell, in what order. Build sequence lives in the Build Approach document and does not map one-to-one. Where they diverge, the Build Approach governs build order and this document governs packaging.</w:t>
      </w:r>
    </w:p>
    <w:p>
      <w:pPr>
        <w:pStyle w:val="Heading2"/>
        <w:keepNext/>
        <w:spacing w:after="100" w:before="260"/>
      </w:pPr>
      <w:r>
        <w:rPr>
          <w:rFonts w:ascii="Arial" w:cs="Arial" w:eastAsia="Arial" w:hAnsi="Arial"/>
          <w:b/>
          <w:bCs/>
          <w:color w:val="2E5C8A"/>
          <w:sz w:val="23"/>
          <w:szCs w:val="23"/>
        </w:rPr>
        <w:t xml:space="preserve">Phase 1 — Land</w:t>
      </w:r>
    </w:p>
    <w:p>
      <w:pPr>
        <w:spacing w:after="120" w:before="0" w:line="264"/>
      </w:pPr>
      <w:r>
        <w:rPr>
          <w:rFonts w:ascii="Arial" w:cs="Arial" w:eastAsia="Arial" w:hAnsi="Arial"/>
          <w:b w:val="false"/>
          <w:bCs w:val="false"/>
          <w:i w:val="false"/>
          <w:iCs w:val="false"/>
          <w:color w:val="1A1A1A"/>
          <w:sz w:val="20"/>
          <w:szCs w:val="20"/>
        </w:rPr>
        <w:t xml:space="preserve">Organization Builder, Job Evaluation, Compensation, and the Methodology &amp; Competency Designer. Sold consulting-led into state-owned enterprises through El-Delta’s board relationships, with El-Delta as the reference implementation.</w:t>
      </w:r>
    </w:p>
    <w:p>
      <w:pPr>
        <w:spacing w:after="120" w:before="0" w:line="264"/>
      </w:pPr>
      <w:r>
        <w:rPr>
          <w:rFonts w:ascii="Arial" w:cs="Arial" w:eastAsia="Arial" w:hAnsi="Arial"/>
          <w:b w:val="false"/>
          <w:bCs w:val="false"/>
          <w:i w:val="false"/>
          <w:iCs w:val="false"/>
          <w:color w:val="1A1A1A"/>
          <w:sz w:val="20"/>
          <w:szCs w:val="20"/>
        </w:rPr>
        <w:t xml:space="preserve">The Phase 1 slice of the competency spine is the framework, required profiles, and family/level templates. Held profiles and the gap need a source that can write them, and that source is the assessment engine in Phase 4 — the tables can exist earlier, the products that fill them do not.</w:t>
      </w:r>
    </w:p>
    <w:p>
      <w:pPr>
        <w:pBdr>
          <w:left w:val="single" w:color="2E5C8A" w:sz="18" w:space="10"/>
        </w:pBdr>
        <w:shd w:fill="EDF1F7" w:val="clear"/>
        <w:spacing w:after="160" w:before="140" w:line="264"/>
        <w:ind w:left="220" w:right="220"/>
      </w:pPr>
      <w:r>
        <w:rPr>
          <w:rFonts w:ascii="Arial" w:cs="Arial" w:eastAsia="Arial" w:hAnsi="Arial"/>
          <w:b/>
          <w:bCs/>
          <w:i w:val="false"/>
          <w:iCs w:val="false"/>
          <w:color w:val="1A1A1A"/>
          <w:sz w:val="20"/>
          <w:szCs w:val="20"/>
        </w:rPr>
        <w:t xml:space="preserve">Two structural items Phase 1 must not defer, </w:t>
      </w:r>
      <w:r>
        <w:rPr>
          <w:rFonts w:ascii="Arial" w:cs="Arial" w:eastAsia="Arial" w:hAnsi="Arial"/>
          <w:b w:val="false"/>
          <w:bCs w:val="false"/>
          <w:i w:val="false"/>
          <w:iCs w:val="false"/>
          <w:color w:val="1A1A1A"/>
          <w:sz w:val="20"/>
          <w:szCs w:val="20"/>
        </w:rPr>
        <w:t xml:space="preserve">because retrofitting either is expensive: provenance columns on grade, band, competency, held profile, and pay amount; and extraction of the core from the current single module, so Personnel and Payroll can reference the roster and org structure without violating module boundaries.</w:t>
      </w:r>
    </w:p>
    <w:p>
      <w:pPr>
        <w:pStyle w:val="Heading2"/>
        <w:keepNext/>
        <w:spacing w:after="100" w:before="260"/>
      </w:pPr>
      <w:r>
        <w:rPr>
          <w:rFonts w:ascii="Arial" w:cs="Arial" w:eastAsia="Arial" w:hAnsi="Arial"/>
          <w:b/>
          <w:bCs/>
          <w:color w:val="2E5C8A"/>
          <w:sz w:val="23"/>
          <w:szCs w:val="23"/>
        </w:rPr>
        <w:t xml:space="preserve">Phase 2 — Operationalize</w:t>
      </w:r>
    </w:p>
    <w:p>
      <w:pPr>
        <w:spacing w:after="120" w:before="0" w:line="264"/>
      </w:pPr>
      <w:r>
        <w:rPr>
          <w:rFonts w:ascii="Arial" w:cs="Arial" w:eastAsia="Arial" w:hAnsi="Arial"/>
          <w:b w:val="false"/>
          <w:bCs w:val="false"/>
          <w:i w:val="false"/>
          <w:iCs w:val="false"/>
          <w:color w:val="1A1A1A"/>
          <w:sz w:val="20"/>
          <w:szCs w:val="20"/>
        </w:rPr>
        <w:t xml:space="preserve">Personnel. Once structures are designed, the next natural sale is running them. Personnel is the system of record for what happens to people over time, and it is what unlocks Payroll.</w:t>
      </w:r>
    </w:p>
    <w:p>
      <w:pPr>
        <w:pStyle w:val="Heading2"/>
        <w:keepNext/>
        <w:spacing w:after="100" w:before="260"/>
      </w:pPr>
      <w:r>
        <w:rPr>
          <w:rFonts w:ascii="Arial" w:cs="Arial" w:eastAsia="Arial" w:hAnsi="Arial"/>
          <w:b/>
          <w:bCs/>
          <w:color w:val="2E5C8A"/>
          <w:sz w:val="23"/>
          <w:szCs w:val="23"/>
        </w:rPr>
        <w:t xml:space="preserve">Phase 3 — Run and measure</w:t>
      </w:r>
    </w:p>
    <w:p>
      <w:pPr>
        <w:spacing w:after="120" w:before="0" w:line="264"/>
      </w:pPr>
      <w:r>
        <w:rPr>
          <w:rFonts w:ascii="Arial" w:cs="Arial" w:eastAsia="Arial" w:hAnsi="Arial"/>
          <w:b w:val="false"/>
          <w:bCs w:val="false"/>
          <w:i w:val="false"/>
          <w:iCs w:val="false"/>
          <w:color w:val="1A1A1A"/>
          <w:sz w:val="20"/>
          <w:szCs w:val="20"/>
        </w:rPr>
        <w:t xml:space="preserve">Project &amp; Task Management, Performance &amp; Goals, then Payroll. Project Management and Performance ship close together because task and delivery data is what makes performance scoring, utilization, and burnout signals real rather than manually entered. Payroll comes last of the three: it is the highest-cost build, and the differentiating products land sooner without it.</w:t>
      </w:r>
    </w:p>
    <w:p>
      <w:pPr>
        <w:pStyle w:val="Heading2"/>
        <w:keepNext/>
        <w:spacing w:after="100" w:before="260"/>
      </w:pPr>
      <w:r>
        <w:rPr>
          <w:rFonts w:ascii="Arial" w:cs="Arial" w:eastAsia="Arial" w:hAnsi="Arial"/>
          <w:b/>
          <w:bCs/>
          <w:color w:val="2E5C8A"/>
          <w:sz w:val="23"/>
          <w:szCs w:val="23"/>
        </w:rPr>
        <w:t xml:space="preserve">Phase 4 — Expand &amp; moat</w:t>
      </w:r>
    </w:p>
    <w:p>
      <w:pPr>
        <w:spacing w:after="120" w:before="0" w:line="264"/>
      </w:pPr>
      <w:r>
        <w:rPr>
          <w:rFonts w:ascii="Arial" w:cs="Arial" w:eastAsia="Arial" w:hAnsi="Arial"/>
          <w:b w:val="false"/>
          <w:bCs w:val="false"/>
          <w:i w:val="false"/>
          <w:iCs w:val="false"/>
          <w:color w:val="1A1A1A"/>
          <w:sz w:val="20"/>
          <w:szCs w:val="20"/>
        </w:rPr>
        <w:t xml:space="preserve">Talent Acquisition, Person Assessment, Learning, Talent Management, and Insights, and eventually the anonymized market benchmark riding on the installed base. Person Assessment belongs here because it is the shared engine that Talent Acquisition and Talent Management both consume. Insights belongs here because it needs Projects and Performance beneath it to say anything at all.</w:t>
      </w:r>
    </w:p>
    <w:p>
      <w:pPr>
        <w:pStyle w:val="Heading2"/>
        <w:keepNext/>
        <w:spacing w:after="100" w:before="260"/>
      </w:pPr>
      <w:r>
        <w:rPr>
          <w:rFonts w:ascii="Arial" w:cs="Arial" w:eastAsia="Arial" w:hAnsi="Arial"/>
          <w:b/>
          <w:bCs/>
          <w:color w:val="2E5C8A"/>
          <w:sz w:val="23"/>
          <w:szCs w:val="23"/>
        </w:rPr>
        <w:t xml:space="preserve">Why this order</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Lowest dependency first. </w:t>
      </w:r>
      <w:r>
        <w:rPr>
          <w:rFonts w:ascii="Arial" w:cs="Arial" w:eastAsia="Arial" w:hAnsi="Arial"/>
          <w:b w:val="false"/>
          <w:bCs w:val="false"/>
          <w:i w:val="false"/>
          <w:iCs w:val="false"/>
          <w:color w:val="1A1A1A"/>
          <w:sz w:val="20"/>
          <w:szCs w:val="20"/>
        </w:rPr>
        <w:t xml:space="preserve">A job exists independently of who fills it, so Phase 1 needs almost no operational data and is buildable by a small team.</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Methodology-led, so it showcases Farouk. </w:t>
      </w:r>
      <w:r>
        <w:rPr>
          <w:rFonts w:ascii="Arial" w:cs="Arial" w:eastAsia="Arial" w:hAnsi="Arial"/>
          <w:b w:val="false"/>
          <w:bCs w:val="false"/>
          <w:i w:val="false"/>
          <w:iCs w:val="false"/>
          <w:color w:val="1A1A1A"/>
          <w:sz w:val="20"/>
          <w:szCs w:val="20"/>
        </w:rPr>
        <w:t xml:space="preserve">The factors, the questionnaire, and the grading logic are the intelligence — hard for pure-software competitors to copy.</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Consulting-compatible. </w:t>
      </w:r>
      <w:r>
        <w:rPr>
          <w:rFonts w:ascii="Arial" w:cs="Arial" w:eastAsia="Arial" w:hAnsi="Arial"/>
          <w:b w:val="false"/>
          <w:bCs w:val="false"/>
          <w:i w:val="false"/>
          <w:iCs w:val="false"/>
          <w:color w:val="1A1A1A"/>
          <w:sz w:val="20"/>
          <w:szCs w:val="20"/>
        </w:rPr>
        <w:t xml:space="preserve">Design tools, not daily-ops tools.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Direct fit for the SOE channel. </w:t>
      </w:r>
      <w:r>
        <w:rPr>
          <w:rFonts w:ascii="Arial" w:cs="Arial" w:eastAsia="Arial" w:hAnsi="Arial"/>
          <w:b w:val="false"/>
          <w:bCs w:val="false"/>
          <w:i w:val="false"/>
          <w:iCs w:val="false"/>
          <w:color w:val="1A1A1A"/>
          <w:sz w:val="20"/>
          <w:szCs w:val="20"/>
        </w:rPr>
        <w:t xml:space="preserve">Rationalizing bloated, inconsistent grading structures is exactly this work.</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Lower data sensitivity than payroll, </w:t>
      </w:r>
      <w:r>
        <w:rPr>
          <w:rFonts w:ascii="Arial" w:cs="Arial" w:eastAsia="Arial" w:hAnsi="Arial"/>
          <w:b w:val="false"/>
          <w:bCs w:val="false"/>
          <w:i w:val="false"/>
          <w:iCs w:val="false"/>
          <w:color w:val="1A1A1A"/>
          <w:sz w:val="20"/>
          <w:szCs w:val="20"/>
        </w:rPr>
        <w:t xml:space="preserve">so the residency objection is softer for a first release.</w:t>
      </w:r>
    </w:p>
    <w:p>
      <w:pPr>
        <w:pStyle w:val="Heading2"/>
        <w:keepNext/>
        <w:spacing w:after="100" w:before="260"/>
      </w:pPr>
      <w:r>
        <w:rPr>
          <w:rFonts w:ascii="Arial" w:cs="Arial" w:eastAsia="Arial" w:hAnsi="Arial"/>
          <w:b/>
          <w:bCs/>
          <w:color w:val="2E5C8A"/>
          <w:sz w:val="23"/>
          <w:szCs w:val="23"/>
        </w:rPr>
        <w:t xml:space="preserve">Task completion → value chain</w:t>
      </w:r>
    </w:p>
    <w:p>
      <w:pPr>
        <w:spacing w:after="120" w:before="0" w:line="264"/>
      </w:pPr>
      <w:r>
        <w:rPr>
          <w:rFonts w:ascii="Arial" w:cs="Arial" w:eastAsia="Arial" w:hAnsi="Arial"/>
          <w:b w:val="false"/>
          <w:bCs w:val="false"/>
          <w:i w:val="false"/>
          <w:iCs w:val="false"/>
          <w:color w:val="1A1A1A"/>
          <w:sz w:val="20"/>
          <w:szCs w:val="20"/>
        </w:rPr>
        <w:t xml:space="preserve">A single completed task is the seed of every higher-order number an executive cares about: one event fans out to goal progress, a performance evidence panel, team utilization and burnout, and a real cost. Cost is always real; value is honest only at the tier the work supports, and ROI rolls up to project and team, never to an individual.</w:t>
      </w:r>
    </w:p>
    <w:p>
      <w:pPr>
        <w:spacing w:after="120" w:before="0" w:line="264"/>
      </w:pPr>
      <w:r>
        <w:rPr>
          <w:rFonts w:ascii="Arial" w:cs="Arial" w:eastAsia="Arial" w:hAnsi="Arial"/>
          <w:b w:val="false"/>
          <w:bCs w:val="false"/>
          <w:i w:val="false"/>
          <w:iCs w:val="false"/>
          <w:color w:val="1A1A1A"/>
          <w:sz w:val="20"/>
          <w:szCs w:val="20"/>
        </w:rPr>
        <w:t xml:space="preserve">The full model — the four-tier value attribution ladder, the billing module, invoice lifecycle, ETA e-invoicing, VAT and withholding, multi-currency recognition, and retention handling — belongs to Project &amp; Task Management and is specified in that product’s scope document.</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9. Open Items</w:t>
      </w:r>
    </w:p>
    <w:p>
      <w:pPr>
        <w:spacing w:after="120" w:before="0" w:line="264"/>
      </w:pPr>
      <w:r>
        <w:rPr>
          <w:rFonts w:ascii="Arial" w:cs="Arial" w:eastAsia="Arial" w:hAnsi="Arial"/>
          <w:b w:val="false"/>
          <w:bCs w:val="false"/>
          <w:i w:val="false"/>
          <w:iCs w:val="false"/>
          <w:color w:val="1A1A1A"/>
          <w:sz w:val="20"/>
          <w:szCs w:val="20"/>
        </w:rPr>
        <w:t xml:space="preserve">What remains open, grouped by who closes it. Everything else in this document is settled.</w:t>
      </w:r>
    </w:p>
    <w:p>
      <w:pPr>
        <w:pStyle w:val="Heading2"/>
        <w:keepNext/>
        <w:spacing w:after="100" w:before="260"/>
      </w:pPr>
      <w:r>
        <w:rPr>
          <w:rFonts w:ascii="Arial" w:cs="Arial" w:eastAsia="Arial" w:hAnsi="Arial"/>
          <w:b/>
          <w:bCs/>
          <w:color w:val="2E5C8A"/>
          <w:sz w:val="23"/>
          <w:szCs w:val="23"/>
        </w:rPr>
        <w:t xml:space="preserve">Methodology backlog — Farouk owns</w:t>
      </w:r>
    </w:p>
    <w:p>
      <w:pPr>
        <w:spacing w:after="120" w:before="0" w:line="264"/>
      </w:pPr>
      <w:r>
        <w:rPr>
          <w:rFonts w:ascii="Arial" w:cs="Arial" w:eastAsia="Arial" w:hAnsi="Arial"/>
          <w:b w:val="false"/>
          <w:bCs w:val="false"/>
          <w:i w:val="false"/>
          <w:iCs w:val="false"/>
          <w:color w:val="1A1A1A"/>
          <w:sz w:val="20"/>
          <w:szCs w:val="20"/>
        </w:rPr>
        <w:t xml:space="preserve">Content authored in the Methodology &amp; Competency Designer once it is handed over. The tools do not depend on the answers; the deliverables do.</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Job Evaluation methodology: the exact factor definitions, weights, and grade thresholds.</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The job-content questionnaire: the actual questions, their weights, which are optional, and how ratings map to factor scores.</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The seeded five to eight competencies, with level 1–5 descriptors in English and Arabic.</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Which industry and function packs the practice library should hold first.</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Certification-to-competency mapping rules; which certifications are mandatory for which jobs.</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Band positioning policy per family; compa-ratio methodology.</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Compensation planning: how performance scores map to merit percentage (the merit matrix).</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The three performance pillars — objectives, competencies, behaviours: weighting, and whether it varies by role or grade.</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Burnout signals: what should and should not feed the computation.</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Internal equity: which dispersion thresholds constitute a finding worth reporting.</w:t>
      </w:r>
    </w:p>
    <w:p>
      <w:pPr>
        <w:pStyle w:val="Heading2"/>
        <w:keepNext/>
        <w:spacing w:after="100" w:before="260"/>
      </w:pPr>
      <w:r>
        <w:rPr>
          <w:rFonts w:ascii="Arial" w:cs="Arial" w:eastAsia="Arial" w:hAnsi="Arial"/>
          <w:b/>
          <w:bCs/>
          <w:color w:val="2E5C8A"/>
          <w:sz w:val="23"/>
          <w:szCs w:val="23"/>
        </w:rPr>
        <w:t xml:space="preserve">Tenant configuration — set per customer at onboarding</w:t>
      </w:r>
    </w:p>
    <w:p>
      <w:pPr>
        <w:spacing w:after="120" w:before="0" w:line="264"/>
      </w:pPr>
      <w:r>
        <w:rPr>
          <w:rFonts w:ascii="Arial" w:cs="Arial" w:eastAsia="Arial" w:hAnsi="Arial"/>
          <w:b w:val="false"/>
          <w:bCs w:val="false"/>
          <w:i w:val="false"/>
          <w:iCs w:val="false"/>
          <w:color w:val="1A1A1A"/>
          <w:sz w:val="20"/>
          <w:szCs w:val="20"/>
        </w:rPr>
        <w:t xml:space="preserve">Per-organization configuration with sensible defaults, set fresh for every client. Not seeded content, and not to be built as constants.</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Job families, and placing existing roles into the level-by-family grid.</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Promotion versus progression criteria, and what a promotion triggers downstream.</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Who sees the Performance Health Indicator.</w:t>
      </w:r>
    </w:p>
    <w:p>
      <w:pPr>
        <w:pStyle w:val="Heading2"/>
        <w:keepNext/>
        <w:spacing w:after="100" w:before="260"/>
      </w:pPr>
      <w:r>
        <w:rPr>
          <w:rFonts w:ascii="Arial" w:cs="Arial" w:eastAsia="Arial" w:hAnsi="Arial"/>
          <w:b/>
          <w:bCs/>
          <w:color w:val="2E5C8A"/>
          <w:sz w:val="23"/>
          <w:szCs w:val="23"/>
        </w:rPr>
        <w:t xml:space="preserve">Deferred by decision</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Pricing model, and what it requires us to meter — decided at the end of Phase 3.</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The account-and-subscription structure, and what the cross-organization dashboard shows.</w:t>
      </w:r>
    </w:p>
    <w:p>
      <w:pPr>
        <w:pStyle w:val="ListParagraph"/>
        <w:numPr>
          <w:ilvl w:val="0"/>
          <w:numId w:val="2"/>
        </w:numPr>
        <w:spacing w:after="90" w:line="264"/>
      </w:pPr>
      <w:r>
        <w:rPr>
          <w:rFonts w:ascii="Arial" w:cs="Arial" w:eastAsia="Arial" w:hAnsi="Arial"/>
          <w:b w:val="false"/>
          <w:bCs w:val="false"/>
          <w:i w:val="false"/>
          <w:iCs w:val="false"/>
          <w:color w:val="1A1A1A"/>
          <w:sz w:val="20"/>
          <w:szCs w:val="20"/>
        </w:rPr>
        <w:t xml:space="preserve">Market Benchmark product design, with its consent and anonymization thresholds.</w:t>
      </w:r>
    </w:p>
    <w:p>
      <w:r>
        <w:br w:type="page"/>
      </w:r>
    </w:p>
    <w:p>
      <w:pPr>
        <w:pStyle w:val="Heading1"/>
        <w:pBdr>
          <w:bottom w:val="single" w:color="BFC9D9" w:sz="8" w:space="6"/>
        </w:pBdr>
        <w:spacing w:after="160" w:before="320"/>
      </w:pPr>
      <w:r>
        <w:rPr>
          <w:rFonts w:ascii="Arial" w:cs="Arial" w:eastAsia="Arial" w:hAnsi="Arial"/>
          <w:b/>
          <w:bCs/>
          <w:color w:val="1F3864"/>
          <w:sz w:val="30"/>
          <w:szCs w:val="30"/>
        </w:rPr>
        <w:t xml:space="preserve">10. Cross-Cutting Principles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Core declares, products derive. </w:t>
      </w:r>
      <w:r>
        <w:rPr>
          <w:rFonts w:ascii="Arial" w:cs="Arial" w:eastAsia="Arial" w:hAnsi="Arial"/>
          <w:b w:val="false"/>
          <w:bCs w:val="false"/>
          <w:i w:val="false"/>
          <w:iCs w:val="false"/>
          <w:color w:val="1A1A1A"/>
          <w:sz w:val="20"/>
          <w:szCs w:val="20"/>
        </w:rPr>
        <w:t xml:space="preserve">A customer can always state what they already have, for free. Paid products automate the derivation. We charge for volume, defensibility, and market data — never for capability.</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Fan, not pipeline. </w:t>
      </w:r>
      <w:r>
        <w:rPr>
          <w:rFonts w:ascii="Arial" w:cs="Arial" w:eastAsia="Arial" w:hAnsi="Arial"/>
          <w:b w:val="false"/>
          <w:bCs w:val="false"/>
          <w:i w:val="false"/>
          <w:iCs w:val="false"/>
          <w:color w:val="1A1A1A"/>
          <w:sz w:val="20"/>
          <w:szCs w:val="20"/>
        </w:rPr>
        <w:t xml:space="preserve">Do not chain products sequentially when the dependencies do not require it. Independent products sold separately are both more honest and more flexible.</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Provenance is data. </w:t>
      </w:r>
      <w:r>
        <w:rPr>
          <w:rFonts w:ascii="Arial" w:cs="Arial" w:eastAsia="Arial" w:hAnsi="Arial"/>
          <w:b w:val="false"/>
          <w:bCs w:val="false"/>
          <w:i w:val="false"/>
          <w:iCs w:val="false"/>
          <w:color w:val="1A1A1A"/>
          <w:sz w:val="20"/>
          <w:szCs w:val="20"/>
        </w:rPr>
        <w:t xml:space="preserve">How a grade, band, competency, profile, or pay amount arrived is recorded on the row, not inferred and not split across tables.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One organization, one tenant, one database. </w:t>
      </w:r>
      <w:r>
        <w:rPr>
          <w:rFonts w:ascii="Arial" w:cs="Arial" w:eastAsia="Arial" w:hAnsi="Arial"/>
          <w:b w:val="false"/>
          <w:bCs w:val="false"/>
          <w:i w:val="false"/>
          <w:iCs w:val="false"/>
          <w:color w:val="1A1A1A"/>
          <w:sz w:val="20"/>
          <w:szCs w:val="20"/>
        </w:rPr>
        <w:t xml:space="preserve">Any grouping above the organization is a control-plane concern and never appears in a tenant database.</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Own your data, pull from siblings if present, import from an external equivalent, fall back to manual entry.</w:t>
      </w:r>
      <w:r>
        <w:rPr>
          <w:rFonts w:ascii="Arial" w:cs="Arial" w:eastAsia="Arial" w:hAnsi="Arial"/>
          <w:b w:val="false"/>
          <w:bCs w:val="false"/>
          <w:i w:val="false"/>
          <w:iCs w:val="false"/>
          <w:color w:val="1A1A1A"/>
          <w:sz w:val="20"/>
          <w:szCs w:val="20"/>
        </w:rPr>
      </w:r>
    </w:p>
    <w:p>
      <w:pPr>
        <w:pStyle w:val="ListParagraph"/>
        <w:numPr>
          <w:ilvl w:val="0"/>
          <w:numId w:val="2"/>
        </w:numPr>
        <w:spacing w:after="90" w:line="264"/>
      </w:pPr>
      <w:r>
        <w:rPr>
          <w:rFonts w:ascii="Arial" w:cs="Arial" w:eastAsia="Arial" w:hAnsi="Arial"/>
          <w:b/>
          <w:bCs/>
          <w:i w:val="false"/>
          <w:iCs w:val="false"/>
          <w:color w:val="1A1A1A"/>
          <w:sz w:val="20"/>
          <w:szCs w:val="20"/>
        </w:rPr>
        <w:t xml:space="preserve">Version immutability is load-bearing. </w:t>
      </w:r>
      <w:r>
        <w:rPr>
          <w:rFonts w:ascii="Arial" w:cs="Arial" w:eastAsia="Arial" w:hAnsi="Arial"/>
          <w:b w:val="false"/>
          <w:bCs w:val="false"/>
          <w:i w:val="false"/>
          <w:iCs w:val="false"/>
          <w:color w:val="1A1A1A"/>
          <w:sz w:val="20"/>
          <w:szCs w:val="20"/>
        </w:rPr>
        <w:t xml:space="preserve">Published snapshots are never mutated and never deleted, because evaluations and assessments reference them.</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Content is offered, never pushed. </w:t>
      </w:r>
      <w:r>
        <w:rPr>
          <w:rFonts w:ascii="Arial" w:cs="Arial" w:eastAsia="Arial" w:hAnsi="Arial"/>
          <w:b w:val="false"/>
          <w:bCs w:val="false"/>
          <w:i w:val="false"/>
          <w:iCs w:val="false"/>
          <w:color w:val="1A1A1A"/>
          <w:sz w:val="20"/>
          <w:szCs w:val="20"/>
        </w:rPr>
        <w:t xml:space="preserve">No control-plane update is auto-applied to an existing tenant.</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Compute shared signals once </w:t>
      </w:r>
      <w:r>
        <w:rPr>
          <w:rFonts w:ascii="Arial" w:cs="Arial" w:eastAsia="Arial" w:hAnsi="Arial"/>
          <w:b w:val="false"/>
          <w:bCs w:val="false"/>
          <w:i w:val="false"/>
          <w:iCs w:val="false"/>
          <w:color w:val="1A1A1A"/>
          <w:sz w:val="20"/>
          <w:szCs w:val="20"/>
        </w:rPr>
        <w:t xml:space="preserve">— gap, burnout, health indicator, utilization — and display them in many places.</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If a metric needs financial data to compute, it is Insights, not Performance.</w:t>
      </w:r>
      <w:r>
        <w:rPr>
          <w:rFonts w:ascii="Arial" w:cs="Arial" w:eastAsia="Arial" w:hAnsi="Arial"/>
          <w:b w:val="false"/>
          <w:bCs w:val="false"/>
          <w:i w:val="false"/>
          <w:iCs w:val="false"/>
          <w:color w:val="1A1A1A"/>
          <w:sz w:val="20"/>
          <w:szCs w:val="20"/>
        </w:rPr>
      </w:r>
    </w:p>
    <w:p>
      <w:pPr>
        <w:pStyle w:val="ListParagraph"/>
        <w:numPr>
          <w:ilvl w:val="0"/>
          <w:numId w:val="2"/>
        </w:numPr>
        <w:spacing w:after="90" w:line="264"/>
      </w:pPr>
      <w:r>
        <w:rPr>
          <w:rFonts w:ascii="Arial" w:cs="Arial" w:eastAsia="Arial" w:hAnsi="Arial"/>
          <w:b/>
          <w:bCs/>
          <w:i w:val="false"/>
          <w:iCs w:val="false"/>
          <w:color w:val="1A1A1A"/>
          <w:sz w:val="20"/>
          <w:szCs w:val="20"/>
        </w:rPr>
        <w:t xml:space="preserve">Data flows up. </w:t>
      </w:r>
      <w:r>
        <w:rPr>
          <w:rFonts w:ascii="Arial" w:cs="Arial" w:eastAsia="Arial" w:hAnsi="Arial"/>
          <w:b w:val="false"/>
          <w:bCs w:val="false"/>
          <w:i w:val="false"/>
          <w:iCs w:val="false"/>
          <w:color w:val="1A1A1A"/>
          <w:sz w:val="20"/>
          <w:szCs w:val="20"/>
        </w:rPr>
        <w:t xml:space="preserve">Operational products produce signals; analytics products synthesize them. Never rebuild the synthesis layer inside a product that feeds it.</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Cost is always real; value is honest only at the tier the work supports. </w:t>
      </w:r>
      <w:r>
        <w:rPr>
          <w:rFonts w:ascii="Arial" w:cs="Arial" w:eastAsia="Arial" w:hAnsi="Arial"/>
          <w:b w:val="false"/>
          <w:bCs w:val="false"/>
          <w:i w:val="false"/>
          <w:iCs w:val="false"/>
          <w:color w:val="1A1A1A"/>
          <w:sz w:val="20"/>
          <w:szCs w:val="20"/>
        </w:rPr>
        <w:t xml:space="preserve">Never fabricate individual revenue.</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ROI rolls up to project and team, never individual </w:t>
      </w:r>
      <w:r>
        <w:rPr>
          <w:rFonts w:ascii="Arial" w:cs="Arial" w:eastAsia="Arial" w:hAnsi="Arial"/>
          <w:b w:val="false"/>
          <w:bCs w:val="false"/>
          <w:i w:val="false"/>
          <w:iCs w:val="false"/>
          <w:color w:val="1A1A1A"/>
          <w:sz w:val="20"/>
          <w:szCs w:val="20"/>
        </w:rPr>
        <w:t xml:space="preserve">— for statistical honesty and ethical safety.</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Output is evidence; outcome is what you evaluate. </w:t>
      </w:r>
      <w:r>
        <w:rPr>
          <w:rFonts w:ascii="Arial" w:cs="Arial" w:eastAsia="Arial" w:hAnsi="Arial"/>
          <w:b w:val="false"/>
          <w:bCs w:val="false"/>
          <w:i w:val="false"/>
          <w:iCs w:val="false"/>
          <w:color w:val="1A1A1A"/>
          <w:sz w:val="20"/>
          <w:szCs w:val="20"/>
        </w:rPr>
        <w:t xml:space="preserve">Equip human judgment with data; never replace it.</w:t>
      </w:r>
    </w:p>
    <w:p>
      <w:pPr>
        <w:pStyle w:val="ListParagraph"/>
        <w:numPr>
          <w:ilvl w:val="0"/>
          <w:numId w:val="2"/>
        </w:numPr>
        <w:spacing w:after="90" w:line="264"/>
      </w:pPr>
      <w:r>
        <w:rPr>
          <w:rFonts w:ascii="Arial" w:cs="Arial" w:eastAsia="Arial" w:hAnsi="Arial"/>
          <w:b/>
          <w:bCs/>
          <w:i w:val="false"/>
          <w:iCs w:val="false"/>
          <w:color w:val="1A1A1A"/>
          <w:sz w:val="20"/>
          <w:szCs w:val="20"/>
        </w:rPr>
        <w:t xml:space="preserve">Sensitive data is one class, not several. </w:t>
      </w:r>
      <w:r>
        <w:rPr>
          <w:rFonts w:ascii="Arial" w:cs="Arial" w:eastAsia="Arial" w:hAnsi="Arial"/>
          <w:b w:val="false"/>
          <w:bCs w:val="false"/>
          <w:i w:val="false"/>
          <w:iCs w:val="false"/>
          <w:color w:val="1A1A1A"/>
          <w:sz w:val="20"/>
          <w:szCs w:val="20"/>
        </w:rPr>
        <w:t xml:space="preserve">Pay amounts, compa-ratio, held profiles, assessment results, and burnout signals are permission-gated together.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4546A"/>
        <w:sz w:val="16"/>
        <w:szCs w:val="16"/>
      </w:rPr>
      <w:t xml:space="preserve">Page </w:t>
    </w:r>
    <w:r>
      <w:rPr>
        <w:rFonts w:ascii="Arial" w:cs="Arial" w:eastAsia="Arial" w:hAnsi="Arial"/>
        <w:color w:val="44546A"/>
        <w:sz w:val="16"/>
        <w:szCs w:val="16"/>
      </w:rPr>
      <w:fldChar w:fldCharType="begin"/>
      <w:instrText xml:space="preserve">PAGE</w:instrText>
      <w:fldChar w:fldCharType="separate"/>
      <w:fldChar w:fldCharType="end"/>
    </w:r>
    <w:r>
      <w:rPr>
        <w:rFonts w:ascii="Arial" w:cs="Arial" w:eastAsia="Arial" w:hAnsi="Arial"/>
        <w:color w:val="44546A"/>
        <w:sz w:val="16"/>
        <w:szCs w:val="16"/>
      </w:rPr>
      <w:t xml:space="preserve">   —   Working document,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9" w:sz="4" w:space="4"/>
      </w:pBdr>
      <w:spacing w:after="100"/>
      <w:jc w:val="right"/>
    </w:pPr>
    <w:r>
      <w:rPr>
        <w:rFonts w:ascii="Arial" w:cs="Arial" w:eastAsia="Arial" w:hAnsi="Arial"/>
        <w:color w:val="44546A"/>
        <w:sz w:val="16"/>
        <w:szCs w:val="16"/>
      </w:rPr>
      <w:t xml:space="preserve">People Rise  —  Product Portfolio &amp;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rPr>
        <w:rFonts w:ascii="Arial" w:cs="Arial" w:eastAsia="Arial" w:hAnsi="Arial"/>
        <w:color w:val="2E5C8A"/>
        <w:sz w:val="20"/>
        <w:szCs w:val="20"/>
      </w:rPr>
    </w:lvl>
    <w:lvl w:ilvl="1" w15:tentative="1">
      <w:start w:val="1"/>
      <w:numFmt w:val="bullet"/>
      <w:lvlText w:val="–"/>
      <w:lvlJc w:val="left"/>
      <w:pPr>
        <w:ind w:left="760" w:hanging="220"/>
      </w:pPr>
      <w:rPr>
        <w:rFonts w:ascii="Arial" w:cs="Arial" w:eastAsia="Arial" w:hAnsi="Arial"/>
        <w:color w:val="2E5C8A"/>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39819d0a4487108807278252ad83d14f581fcd.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Rise — Product Portfolio &amp; Strategy</dc:title>
  <dc:creator>People Rise</dc:creator>
  <cp:lastModifiedBy>Un-named</cp:lastModifiedBy>
  <cp:revision>1</cp:revision>
  <dcterms:created xsi:type="dcterms:W3CDTF">2026-08-11T12:35:52.814Z</dcterms:created>
  <dcterms:modified xsi:type="dcterms:W3CDTF">2026-08-11T12:35:52.814Z</dcterms:modified>
</cp:coreProperties>
</file>

<file path=docProps/custom.xml><?xml version="1.0" encoding="utf-8"?>
<Properties xmlns="http://schemas.openxmlformats.org/officeDocument/2006/custom-properties" xmlns:vt="http://schemas.openxmlformats.org/officeDocument/2006/docPropsVTypes"/>
</file>