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588E2" w14:textId="77777777" w:rsidR="00D12676" w:rsidRPr="00E52ECA" w:rsidRDefault="00D12676" w:rsidP="009723DF">
      <w:pPr>
        <w:spacing w:line="360" w:lineRule="auto"/>
        <w:jc w:val="center"/>
        <w:rPr>
          <w:rFonts w:ascii="Arial" w:hAnsi="Arial" w:cs="Arial"/>
          <w:lang w:val="fr-CA"/>
        </w:rPr>
      </w:pPr>
    </w:p>
    <w:p w14:paraId="363E161F" w14:textId="2E873381" w:rsidR="00D12676" w:rsidRPr="00E52ECA" w:rsidRDefault="00D12676" w:rsidP="009723DF">
      <w:pPr>
        <w:spacing w:line="360" w:lineRule="auto"/>
        <w:jc w:val="center"/>
        <w:rPr>
          <w:rFonts w:ascii="Arial" w:hAnsi="Arial" w:cs="Arial"/>
          <w:lang w:val="fr-FR"/>
        </w:rPr>
      </w:pPr>
    </w:p>
    <w:p w14:paraId="55030CD7" w14:textId="77777777" w:rsidR="007F5500" w:rsidRPr="00E52ECA" w:rsidRDefault="007F5500" w:rsidP="009723DF">
      <w:pPr>
        <w:spacing w:line="360" w:lineRule="auto"/>
        <w:jc w:val="center"/>
        <w:rPr>
          <w:rFonts w:ascii="Arial" w:hAnsi="Arial" w:cs="Arial"/>
          <w:lang w:val="fr-FR"/>
        </w:rPr>
      </w:pPr>
    </w:p>
    <w:p w14:paraId="47FB132F" w14:textId="77777777" w:rsidR="00760F45" w:rsidRPr="00E52ECA" w:rsidRDefault="00760F45" w:rsidP="009723DF">
      <w:pPr>
        <w:spacing w:line="360" w:lineRule="auto"/>
        <w:jc w:val="center"/>
        <w:rPr>
          <w:rFonts w:ascii="Arial" w:hAnsi="Arial" w:cs="Arial"/>
          <w:lang w:val="fr-FR"/>
        </w:rPr>
      </w:pPr>
    </w:p>
    <w:p w14:paraId="734DE2F8" w14:textId="77777777" w:rsidR="00760F45" w:rsidRPr="00E52ECA" w:rsidRDefault="00760F45" w:rsidP="009723DF">
      <w:pPr>
        <w:spacing w:line="360" w:lineRule="auto"/>
        <w:jc w:val="center"/>
        <w:rPr>
          <w:rFonts w:ascii="Arial" w:hAnsi="Arial" w:cs="Arial"/>
          <w:lang w:val="fr-FR"/>
        </w:rPr>
      </w:pPr>
    </w:p>
    <w:p w14:paraId="2A34AF4B" w14:textId="0BE2FF4D" w:rsidR="00BB5165" w:rsidRPr="0034127D" w:rsidRDefault="006960E6" w:rsidP="00BB5165">
      <w:pPr>
        <w:spacing w:line="360" w:lineRule="auto"/>
        <w:jc w:val="center"/>
        <w:rPr>
          <w:rFonts w:ascii="Arial" w:hAnsi="Arial" w:cs="Arial"/>
          <w:b/>
          <w:sz w:val="44"/>
          <w:szCs w:val="44"/>
          <w:lang w:val="fr-FR"/>
        </w:rPr>
      </w:pPr>
      <w:r w:rsidRPr="0034127D">
        <w:rPr>
          <w:rFonts w:ascii="Arial" w:hAnsi="Arial" w:cs="Arial"/>
          <w:b/>
          <w:sz w:val="44"/>
          <w:szCs w:val="44"/>
          <w:lang w:val="fr-FR"/>
        </w:rPr>
        <w:t xml:space="preserve">Optimisation sous contrainte du portefeuille de </w:t>
      </w:r>
      <w:proofErr w:type="spellStart"/>
      <w:r w:rsidRPr="0034127D">
        <w:rPr>
          <w:rFonts w:ascii="Arial" w:hAnsi="Arial" w:cs="Arial"/>
          <w:b/>
          <w:sz w:val="44"/>
          <w:szCs w:val="44"/>
          <w:lang w:val="fr-FR"/>
        </w:rPr>
        <w:t>PolyFinances</w:t>
      </w:r>
      <w:proofErr w:type="spellEnd"/>
    </w:p>
    <w:p w14:paraId="723F642C" w14:textId="77777777" w:rsidR="0034127D" w:rsidRPr="0034127D" w:rsidRDefault="0034127D" w:rsidP="002770FC">
      <w:pPr>
        <w:spacing w:line="360" w:lineRule="auto"/>
        <w:jc w:val="center"/>
        <w:rPr>
          <w:rFonts w:ascii="Arial" w:hAnsi="Arial" w:cs="Arial"/>
          <w:b/>
          <w:sz w:val="32"/>
          <w:szCs w:val="32"/>
          <w:lang w:val="fr-FR"/>
        </w:rPr>
      </w:pPr>
    </w:p>
    <w:p w14:paraId="054195F5" w14:textId="67C456B6" w:rsidR="002770FC" w:rsidRPr="00E52ECA" w:rsidRDefault="002770FC" w:rsidP="002770FC">
      <w:pPr>
        <w:spacing w:line="360" w:lineRule="auto"/>
        <w:jc w:val="center"/>
        <w:rPr>
          <w:rFonts w:ascii="Arial" w:hAnsi="Arial" w:cs="Arial"/>
          <w:b/>
          <w:sz w:val="28"/>
          <w:szCs w:val="28"/>
          <w:lang w:val="fr-FR"/>
        </w:rPr>
      </w:pPr>
      <w:r w:rsidRPr="0034127D">
        <w:rPr>
          <w:rFonts w:ascii="Arial" w:hAnsi="Arial" w:cs="Arial"/>
          <w:b/>
          <w:sz w:val="32"/>
          <w:szCs w:val="32"/>
          <w:lang w:val="fr-FR"/>
        </w:rPr>
        <w:t>Rapport</w:t>
      </w:r>
      <w:r w:rsidR="0034127D" w:rsidRPr="0034127D">
        <w:rPr>
          <w:rFonts w:ascii="Arial" w:hAnsi="Arial" w:cs="Arial"/>
          <w:b/>
          <w:sz w:val="32"/>
          <w:szCs w:val="32"/>
          <w:lang w:val="fr-FR"/>
        </w:rPr>
        <w:t xml:space="preserve"> des résultats</w:t>
      </w:r>
      <w:r w:rsidRPr="00E52ECA">
        <w:rPr>
          <w:rFonts w:ascii="Arial" w:hAnsi="Arial" w:cs="Arial"/>
          <w:b/>
          <w:sz w:val="28"/>
          <w:szCs w:val="28"/>
          <w:lang w:val="fr-FR"/>
        </w:rPr>
        <w:br/>
      </w:r>
    </w:p>
    <w:p w14:paraId="3C7DAA6F" w14:textId="77777777" w:rsidR="00567E09" w:rsidRPr="00E52ECA" w:rsidRDefault="00567E09" w:rsidP="00BB5165">
      <w:pPr>
        <w:spacing w:line="360" w:lineRule="auto"/>
        <w:rPr>
          <w:rFonts w:ascii="Arial" w:hAnsi="Arial" w:cs="Arial"/>
          <w:lang w:val="fr-CA"/>
        </w:rPr>
      </w:pPr>
    </w:p>
    <w:p w14:paraId="6D1088F3" w14:textId="77777777" w:rsidR="00567E09" w:rsidRPr="00E52ECA" w:rsidRDefault="00567E09" w:rsidP="00BB5165">
      <w:pPr>
        <w:spacing w:line="360" w:lineRule="auto"/>
        <w:rPr>
          <w:rFonts w:ascii="Arial" w:hAnsi="Arial" w:cs="Arial"/>
          <w:lang w:val="fr-CA"/>
        </w:rPr>
      </w:pPr>
    </w:p>
    <w:p w14:paraId="388ED85B" w14:textId="41A44990" w:rsidR="00D12676" w:rsidRPr="0034127D" w:rsidRDefault="006960E6" w:rsidP="0034127D">
      <w:pPr>
        <w:spacing w:line="360" w:lineRule="auto"/>
        <w:jc w:val="center"/>
        <w:rPr>
          <w:rFonts w:ascii="Arial" w:hAnsi="Arial" w:cs="Arial"/>
          <w:lang w:val="fr-FR"/>
        </w:rPr>
      </w:pPr>
      <w:r>
        <w:rPr>
          <w:rFonts w:ascii="Arial" w:hAnsi="Arial" w:cs="Arial"/>
          <w:lang w:val="fr-FR"/>
        </w:rPr>
        <w:t xml:space="preserve"> </w:t>
      </w:r>
    </w:p>
    <w:p w14:paraId="73830575" w14:textId="230B1D01" w:rsidR="00206878" w:rsidRPr="00E52ECA" w:rsidRDefault="00206878" w:rsidP="00BB67A6">
      <w:pPr>
        <w:spacing w:line="360" w:lineRule="auto"/>
        <w:jc w:val="center"/>
        <w:rPr>
          <w:rFonts w:ascii="Arial" w:hAnsi="Arial" w:cs="Arial"/>
        </w:rPr>
      </w:pPr>
      <w:r>
        <w:rPr>
          <w:rFonts w:ascii="Arial" w:hAnsi="Arial" w:cs="Arial"/>
          <w:noProof/>
          <w14:ligatures w14:val="standardContextual"/>
        </w:rPr>
        <w:drawing>
          <wp:inline distT="0" distB="0" distL="0" distR="0" wp14:anchorId="7C6483E1" wp14:editId="56A6E417">
            <wp:extent cx="1846680" cy="2392071"/>
            <wp:effectExtent l="0" t="0" r="0" b="0"/>
            <wp:docPr id="299961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1658" name="Image 2999616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1853" cy="2437632"/>
                    </a:xfrm>
                    <a:prstGeom prst="rect">
                      <a:avLst/>
                    </a:prstGeom>
                  </pic:spPr>
                </pic:pic>
              </a:graphicData>
            </a:graphic>
          </wp:inline>
        </w:drawing>
      </w:r>
    </w:p>
    <w:p w14:paraId="69B55976" w14:textId="77777777" w:rsidR="005D374A" w:rsidRDefault="005D374A" w:rsidP="00BB67A6">
      <w:pPr>
        <w:spacing w:line="360" w:lineRule="auto"/>
        <w:jc w:val="center"/>
        <w:rPr>
          <w:rFonts w:ascii="Arial" w:hAnsi="Arial" w:cs="Arial"/>
          <w:lang w:val="en-US"/>
        </w:rPr>
      </w:pPr>
    </w:p>
    <w:p w14:paraId="49D17488" w14:textId="77777777" w:rsidR="005D374A" w:rsidRDefault="005D374A" w:rsidP="00BB67A6">
      <w:pPr>
        <w:spacing w:line="360" w:lineRule="auto"/>
        <w:jc w:val="center"/>
        <w:rPr>
          <w:rFonts w:ascii="Arial" w:hAnsi="Arial" w:cs="Arial"/>
          <w:lang w:val="en-US"/>
        </w:rPr>
      </w:pPr>
    </w:p>
    <w:p w14:paraId="5B0EF173" w14:textId="6D35F3A8" w:rsidR="00D12676" w:rsidRPr="0034127D" w:rsidRDefault="005D374A" w:rsidP="00BB67A6">
      <w:pPr>
        <w:spacing w:line="360" w:lineRule="auto"/>
        <w:jc w:val="center"/>
        <w:rPr>
          <w:rFonts w:ascii="Arial" w:hAnsi="Arial" w:cs="Arial"/>
          <w:sz w:val="32"/>
          <w:szCs w:val="32"/>
          <w:lang w:val="en-US"/>
        </w:rPr>
      </w:pPr>
      <w:r w:rsidRPr="0034127D">
        <w:rPr>
          <w:rFonts w:ascii="Arial" w:hAnsi="Arial" w:cs="Arial"/>
          <w:sz w:val="32"/>
          <w:szCs w:val="32"/>
          <w:lang w:val="en-US"/>
        </w:rPr>
        <w:t xml:space="preserve">1er </w:t>
      </w:r>
      <w:proofErr w:type="spellStart"/>
      <w:r w:rsidRPr="0034127D">
        <w:rPr>
          <w:rFonts w:ascii="Arial" w:hAnsi="Arial" w:cs="Arial"/>
          <w:sz w:val="32"/>
          <w:szCs w:val="32"/>
          <w:lang w:val="en-US"/>
        </w:rPr>
        <w:t>mai</w:t>
      </w:r>
      <w:proofErr w:type="spellEnd"/>
      <w:r w:rsidRPr="0034127D">
        <w:rPr>
          <w:rFonts w:ascii="Arial" w:hAnsi="Arial" w:cs="Arial"/>
          <w:sz w:val="32"/>
          <w:szCs w:val="32"/>
          <w:lang w:val="en-US"/>
        </w:rPr>
        <w:t xml:space="preserve"> 2025</w:t>
      </w:r>
    </w:p>
    <w:p w14:paraId="6751B32C" w14:textId="77777777" w:rsidR="00D12676" w:rsidRPr="00E52ECA" w:rsidRDefault="00D12676" w:rsidP="00673BFE">
      <w:pPr>
        <w:spacing w:line="360" w:lineRule="auto"/>
        <w:jc w:val="both"/>
        <w:rPr>
          <w:rFonts w:ascii="Arial" w:hAnsi="Arial" w:cs="Arial"/>
          <w:lang w:val="en-US"/>
        </w:rPr>
      </w:pPr>
    </w:p>
    <w:p w14:paraId="55D30620" w14:textId="77777777" w:rsidR="00442ECC" w:rsidRPr="00E52ECA" w:rsidRDefault="00442ECC" w:rsidP="00673BFE">
      <w:pPr>
        <w:jc w:val="both"/>
        <w:rPr>
          <w:rFonts w:ascii="Arial" w:hAnsi="Arial" w:cs="Arial"/>
        </w:rPr>
      </w:pPr>
    </w:p>
    <w:p w14:paraId="599720AC" w14:textId="77777777" w:rsidR="005D374A" w:rsidRDefault="005D374A">
      <w:pPr>
        <w:rPr>
          <w:rFonts w:ascii="Arial" w:eastAsiaTheme="minorEastAsia" w:hAnsi="Arial" w:cs="Arial"/>
          <w:kern w:val="2"/>
          <w14:ligatures w14:val="standardContextual"/>
        </w:rPr>
      </w:pPr>
      <w:r>
        <w:rPr>
          <w:rFonts w:ascii="Arial" w:eastAsiaTheme="minorEastAsia" w:hAnsi="Arial" w:cs="Arial"/>
          <w:b/>
          <w:bCs/>
          <w:kern w:val="2"/>
          <w14:ligatures w14:val="standardContextual"/>
        </w:rPr>
        <w:br w:type="page"/>
      </w:r>
    </w:p>
    <w:sdt>
      <w:sdtPr>
        <w:rPr>
          <w:rFonts w:ascii="Arial" w:eastAsiaTheme="minorEastAsia" w:hAnsi="Arial" w:cs="Arial"/>
          <w:b w:val="0"/>
          <w:bCs w:val="0"/>
          <w:color w:val="auto"/>
          <w:kern w:val="2"/>
          <w:sz w:val="24"/>
          <w:szCs w:val="24"/>
          <w:lang w:val="en-CA"/>
          <w14:ligatures w14:val="standardContextual"/>
        </w:rPr>
        <w:id w:val="1046498236"/>
        <w:docPartObj>
          <w:docPartGallery w:val="Table of Contents"/>
          <w:docPartUnique/>
        </w:docPartObj>
      </w:sdtPr>
      <w:sdtEndPr>
        <w:rPr>
          <w:kern w:val="0"/>
          <w14:ligatures w14:val="none"/>
        </w:rPr>
      </w:sdtEndPr>
      <w:sdtContent>
        <w:p w14:paraId="31979DA7" w14:textId="6FEC5C20" w:rsidR="00442ECC" w:rsidRPr="00E52ECA" w:rsidRDefault="00442ECC" w:rsidP="00673BFE">
          <w:pPr>
            <w:pStyle w:val="En-ttedetabledesmatires"/>
            <w:jc w:val="both"/>
            <w:rPr>
              <w:rFonts w:ascii="Arial" w:hAnsi="Arial" w:cs="Arial"/>
            </w:rPr>
          </w:pPr>
          <w:r w:rsidRPr="00E52ECA">
            <w:rPr>
              <w:rFonts w:ascii="Arial" w:hAnsi="Arial" w:cs="Arial"/>
            </w:rPr>
            <w:t xml:space="preserve">Table </w:t>
          </w:r>
          <w:r w:rsidR="002D5B9B" w:rsidRPr="00E52ECA">
            <w:rPr>
              <w:rFonts w:ascii="Arial" w:hAnsi="Arial" w:cs="Arial"/>
            </w:rPr>
            <w:t>de matières</w:t>
          </w:r>
        </w:p>
        <w:p w14:paraId="4CB5FC42" w14:textId="3C5A88F6" w:rsidR="006960E6" w:rsidRDefault="00442ECC">
          <w:pPr>
            <w:pStyle w:val="TM1"/>
            <w:tabs>
              <w:tab w:val="right" w:leader="dot" w:pos="9350"/>
            </w:tabs>
            <w:rPr>
              <w:rFonts w:asciiTheme="minorHAnsi" w:eastAsiaTheme="minorEastAsia" w:hAnsiTheme="minorHAnsi" w:cstheme="minorBidi"/>
              <w:b w:val="0"/>
              <w:bCs w:val="0"/>
              <w:i w:val="0"/>
              <w:iCs w:val="0"/>
              <w:noProof/>
              <w:kern w:val="2"/>
              <w:lang w:val="fr-CA" w:eastAsia="ja-JP"/>
              <w14:ligatures w14:val="standardContextual"/>
            </w:rPr>
          </w:pPr>
          <w:r w:rsidRPr="009A48AC">
            <w:rPr>
              <w:rFonts w:ascii="Arial" w:hAnsi="Arial" w:cs="Arial"/>
              <w:b w:val="0"/>
              <w:bCs w:val="0"/>
            </w:rPr>
            <w:fldChar w:fldCharType="begin"/>
          </w:r>
          <w:r w:rsidRPr="009A48AC">
            <w:rPr>
              <w:rFonts w:ascii="Arial" w:hAnsi="Arial" w:cs="Arial"/>
            </w:rPr>
            <w:instrText xml:space="preserve"> TOC \o "1-3" \h \z \u </w:instrText>
          </w:r>
          <w:r w:rsidRPr="009A48AC">
            <w:rPr>
              <w:rFonts w:ascii="Arial" w:hAnsi="Arial" w:cs="Arial"/>
              <w:b w:val="0"/>
              <w:bCs w:val="0"/>
            </w:rPr>
            <w:fldChar w:fldCharType="separate"/>
          </w:r>
          <w:hyperlink w:anchor="_Toc199594604" w:history="1">
            <w:r w:rsidR="006960E6" w:rsidRPr="00C05D64">
              <w:rPr>
                <w:rStyle w:val="Hyperlien"/>
                <w:rFonts w:ascii="Arial" w:hAnsi="Arial" w:cs="Arial"/>
                <w:noProof/>
                <w:lang w:val="fr-CA"/>
              </w:rPr>
              <w:t>1.Introduction</w:t>
            </w:r>
            <w:r w:rsidR="006960E6">
              <w:rPr>
                <w:noProof/>
                <w:webHidden/>
              </w:rPr>
              <w:tab/>
            </w:r>
            <w:r w:rsidR="006960E6">
              <w:rPr>
                <w:noProof/>
                <w:webHidden/>
              </w:rPr>
              <w:fldChar w:fldCharType="begin"/>
            </w:r>
            <w:r w:rsidR="006960E6">
              <w:rPr>
                <w:noProof/>
                <w:webHidden/>
              </w:rPr>
              <w:instrText xml:space="preserve"> PAGEREF _Toc199594604 \h </w:instrText>
            </w:r>
            <w:r w:rsidR="006960E6">
              <w:rPr>
                <w:noProof/>
                <w:webHidden/>
              </w:rPr>
            </w:r>
            <w:r w:rsidR="006960E6">
              <w:rPr>
                <w:noProof/>
                <w:webHidden/>
              </w:rPr>
              <w:fldChar w:fldCharType="separate"/>
            </w:r>
            <w:r w:rsidR="006960E6">
              <w:rPr>
                <w:noProof/>
                <w:webHidden/>
              </w:rPr>
              <w:t>4</w:t>
            </w:r>
            <w:r w:rsidR="006960E6">
              <w:rPr>
                <w:noProof/>
                <w:webHidden/>
              </w:rPr>
              <w:fldChar w:fldCharType="end"/>
            </w:r>
          </w:hyperlink>
        </w:p>
        <w:p w14:paraId="7C9B5E1E" w14:textId="0EE7C4A3" w:rsidR="006960E6" w:rsidRDefault="006960E6">
          <w:pPr>
            <w:pStyle w:val="TM1"/>
            <w:tabs>
              <w:tab w:val="right" w:leader="dot" w:pos="9350"/>
            </w:tabs>
            <w:rPr>
              <w:rFonts w:asciiTheme="minorHAnsi" w:eastAsiaTheme="minorEastAsia" w:hAnsiTheme="minorHAnsi" w:cstheme="minorBidi"/>
              <w:b w:val="0"/>
              <w:bCs w:val="0"/>
              <w:i w:val="0"/>
              <w:iCs w:val="0"/>
              <w:noProof/>
              <w:kern w:val="2"/>
              <w:lang w:val="fr-CA" w:eastAsia="ja-JP"/>
              <w14:ligatures w14:val="standardContextual"/>
            </w:rPr>
          </w:pPr>
          <w:hyperlink w:anchor="_Toc199594605" w:history="1">
            <w:r w:rsidRPr="00C05D64">
              <w:rPr>
                <w:rStyle w:val="Hyperlien"/>
                <w:rFonts w:ascii="Arial" w:hAnsi="Arial" w:cs="Arial"/>
                <w:noProof/>
                <w:lang w:val="fr-CA"/>
              </w:rPr>
              <w:t>2. Méthodologie utilisée</w:t>
            </w:r>
            <w:r>
              <w:rPr>
                <w:noProof/>
                <w:webHidden/>
              </w:rPr>
              <w:tab/>
            </w:r>
            <w:r>
              <w:rPr>
                <w:noProof/>
                <w:webHidden/>
              </w:rPr>
              <w:fldChar w:fldCharType="begin"/>
            </w:r>
            <w:r>
              <w:rPr>
                <w:noProof/>
                <w:webHidden/>
              </w:rPr>
              <w:instrText xml:space="preserve"> PAGEREF _Toc199594605 \h </w:instrText>
            </w:r>
            <w:r>
              <w:rPr>
                <w:noProof/>
                <w:webHidden/>
              </w:rPr>
            </w:r>
            <w:r>
              <w:rPr>
                <w:noProof/>
                <w:webHidden/>
              </w:rPr>
              <w:fldChar w:fldCharType="separate"/>
            </w:r>
            <w:r>
              <w:rPr>
                <w:noProof/>
                <w:webHidden/>
              </w:rPr>
              <w:t>5</w:t>
            </w:r>
            <w:r>
              <w:rPr>
                <w:noProof/>
                <w:webHidden/>
              </w:rPr>
              <w:fldChar w:fldCharType="end"/>
            </w:r>
          </w:hyperlink>
        </w:p>
        <w:p w14:paraId="6F76A58C" w14:textId="059261AB" w:rsidR="006960E6" w:rsidRDefault="006960E6">
          <w:pPr>
            <w:pStyle w:val="TM1"/>
            <w:tabs>
              <w:tab w:val="right" w:leader="dot" w:pos="9350"/>
            </w:tabs>
            <w:rPr>
              <w:rFonts w:asciiTheme="minorHAnsi" w:eastAsiaTheme="minorEastAsia" w:hAnsiTheme="minorHAnsi" w:cstheme="minorBidi"/>
              <w:b w:val="0"/>
              <w:bCs w:val="0"/>
              <w:i w:val="0"/>
              <w:iCs w:val="0"/>
              <w:noProof/>
              <w:kern w:val="2"/>
              <w:lang w:val="fr-CA" w:eastAsia="ja-JP"/>
              <w14:ligatures w14:val="standardContextual"/>
            </w:rPr>
          </w:pPr>
          <w:hyperlink w:anchor="_Toc199594606" w:history="1">
            <w:r w:rsidRPr="00C05D64">
              <w:rPr>
                <w:rStyle w:val="Hyperlien"/>
                <w:rFonts w:ascii="Arial" w:hAnsi="Arial" w:cs="Arial"/>
                <w:noProof/>
                <w:lang w:val="fr-CA"/>
              </w:rPr>
              <w:t>3. Principaux résultats</w:t>
            </w:r>
            <w:r>
              <w:rPr>
                <w:noProof/>
                <w:webHidden/>
              </w:rPr>
              <w:tab/>
            </w:r>
            <w:r>
              <w:rPr>
                <w:noProof/>
                <w:webHidden/>
              </w:rPr>
              <w:fldChar w:fldCharType="begin"/>
            </w:r>
            <w:r>
              <w:rPr>
                <w:noProof/>
                <w:webHidden/>
              </w:rPr>
              <w:instrText xml:space="preserve"> PAGEREF _Toc199594606 \h </w:instrText>
            </w:r>
            <w:r>
              <w:rPr>
                <w:noProof/>
                <w:webHidden/>
              </w:rPr>
            </w:r>
            <w:r>
              <w:rPr>
                <w:noProof/>
                <w:webHidden/>
              </w:rPr>
              <w:fldChar w:fldCharType="separate"/>
            </w:r>
            <w:r>
              <w:rPr>
                <w:noProof/>
                <w:webHidden/>
              </w:rPr>
              <w:t>7</w:t>
            </w:r>
            <w:r>
              <w:rPr>
                <w:noProof/>
                <w:webHidden/>
              </w:rPr>
              <w:fldChar w:fldCharType="end"/>
            </w:r>
          </w:hyperlink>
        </w:p>
        <w:p w14:paraId="35B9E76B" w14:textId="774F21E0" w:rsidR="006960E6" w:rsidRDefault="006960E6">
          <w:pPr>
            <w:pStyle w:val="TM2"/>
            <w:tabs>
              <w:tab w:val="right" w:leader="dot" w:pos="9350"/>
            </w:tabs>
            <w:rPr>
              <w:rFonts w:asciiTheme="minorHAnsi" w:eastAsiaTheme="minorEastAsia" w:hAnsiTheme="minorHAnsi" w:cstheme="minorBidi"/>
              <w:b w:val="0"/>
              <w:bCs w:val="0"/>
              <w:noProof/>
              <w:kern w:val="2"/>
              <w:sz w:val="24"/>
              <w:szCs w:val="24"/>
              <w:lang w:val="fr-CA" w:eastAsia="ja-JP"/>
              <w14:ligatures w14:val="standardContextual"/>
            </w:rPr>
          </w:pPr>
          <w:hyperlink w:anchor="_Toc199594607" w:history="1">
            <w:r w:rsidRPr="00C05D64">
              <w:rPr>
                <w:rStyle w:val="Hyperlien"/>
                <w:rFonts w:ascii="Arial" w:hAnsi="Arial" w:cs="Arial"/>
                <w:noProof/>
                <w:lang w:val="fr-CA"/>
              </w:rPr>
              <w:t>3.1 Tendance générale du portefeuille</w:t>
            </w:r>
            <w:r>
              <w:rPr>
                <w:noProof/>
                <w:webHidden/>
              </w:rPr>
              <w:tab/>
            </w:r>
            <w:r>
              <w:rPr>
                <w:noProof/>
                <w:webHidden/>
              </w:rPr>
              <w:fldChar w:fldCharType="begin"/>
            </w:r>
            <w:r>
              <w:rPr>
                <w:noProof/>
                <w:webHidden/>
              </w:rPr>
              <w:instrText xml:space="preserve"> PAGEREF _Toc199594607 \h </w:instrText>
            </w:r>
            <w:r>
              <w:rPr>
                <w:noProof/>
                <w:webHidden/>
              </w:rPr>
            </w:r>
            <w:r>
              <w:rPr>
                <w:noProof/>
                <w:webHidden/>
              </w:rPr>
              <w:fldChar w:fldCharType="separate"/>
            </w:r>
            <w:r>
              <w:rPr>
                <w:noProof/>
                <w:webHidden/>
              </w:rPr>
              <w:t>7</w:t>
            </w:r>
            <w:r>
              <w:rPr>
                <w:noProof/>
                <w:webHidden/>
              </w:rPr>
              <w:fldChar w:fldCharType="end"/>
            </w:r>
          </w:hyperlink>
        </w:p>
        <w:p w14:paraId="37EFBB94" w14:textId="18F27978" w:rsidR="006960E6" w:rsidRDefault="006960E6">
          <w:pPr>
            <w:pStyle w:val="TM2"/>
            <w:tabs>
              <w:tab w:val="right" w:leader="dot" w:pos="9350"/>
            </w:tabs>
            <w:rPr>
              <w:rFonts w:asciiTheme="minorHAnsi" w:eastAsiaTheme="minorEastAsia" w:hAnsiTheme="minorHAnsi" w:cstheme="minorBidi"/>
              <w:b w:val="0"/>
              <w:bCs w:val="0"/>
              <w:noProof/>
              <w:kern w:val="2"/>
              <w:sz w:val="24"/>
              <w:szCs w:val="24"/>
              <w:lang w:val="fr-CA" w:eastAsia="ja-JP"/>
              <w14:ligatures w14:val="standardContextual"/>
            </w:rPr>
          </w:pPr>
          <w:hyperlink w:anchor="_Toc199594608" w:history="1">
            <w:r w:rsidRPr="00C05D64">
              <w:rPr>
                <w:rStyle w:val="Hyperlien"/>
                <w:rFonts w:ascii="Arial" w:hAnsi="Arial" w:cs="Arial"/>
                <w:noProof/>
                <w:lang w:val="fr-CA"/>
              </w:rPr>
              <w:t>3.2 Analyse sectorielle</w:t>
            </w:r>
            <w:r>
              <w:rPr>
                <w:noProof/>
                <w:webHidden/>
              </w:rPr>
              <w:tab/>
            </w:r>
            <w:r>
              <w:rPr>
                <w:noProof/>
                <w:webHidden/>
              </w:rPr>
              <w:fldChar w:fldCharType="begin"/>
            </w:r>
            <w:r>
              <w:rPr>
                <w:noProof/>
                <w:webHidden/>
              </w:rPr>
              <w:instrText xml:space="preserve"> PAGEREF _Toc199594608 \h </w:instrText>
            </w:r>
            <w:r>
              <w:rPr>
                <w:noProof/>
                <w:webHidden/>
              </w:rPr>
            </w:r>
            <w:r>
              <w:rPr>
                <w:noProof/>
                <w:webHidden/>
              </w:rPr>
              <w:fldChar w:fldCharType="separate"/>
            </w:r>
            <w:r>
              <w:rPr>
                <w:noProof/>
                <w:webHidden/>
              </w:rPr>
              <w:t>9</w:t>
            </w:r>
            <w:r>
              <w:rPr>
                <w:noProof/>
                <w:webHidden/>
              </w:rPr>
              <w:fldChar w:fldCharType="end"/>
            </w:r>
          </w:hyperlink>
        </w:p>
        <w:p w14:paraId="02FBF017" w14:textId="6415F603"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09" w:history="1">
            <w:r w:rsidRPr="00C05D64">
              <w:rPr>
                <w:rStyle w:val="Hyperlien"/>
                <w:rFonts w:ascii="Arial" w:hAnsi="Arial" w:cs="Arial"/>
                <w:noProof/>
                <w:lang w:val="fr-CA"/>
              </w:rPr>
              <w:t>3.2.1 Consommation discrétionnaire</w:t>
            </w:r>
            <w:r>
              <w:rPr>
                <w:noProof/>
                <w:webHidden/>
              </w:rPr>
              <w:tab/>
            </w:r>
            <w:r>
              <w:rPr>
                <w:noProof/>
                <w:webHidden/>
              </w:rPr>
              <w:fldChar w:fldCharType="begin"/>
            </w:r>
            <w:r>
              <w:rPr>
                <w:noProof/>
                <w:webHidden/>
              </w:rPr>
              <w:instrText xml:space="preserve"> PAGEREF _Toc199594609 \h </w:instrText>
            </w:r>
            <w:r>
              <w:rPr>
                <w:noProof/>
                <w:webHidden/>
              </w:rPr>
            </w:r>
            <w:r>
              <w:rPr>
                <w:noProof/>
                <w:webHidden/>
              </w:rPr>
              <w:fldChar w:fldCharType="separate"/>
            </w:r>
            <w:r>
              <w:rPr>
                <w:noProof/>
                <w:webHidden/>
              </w:rPr>
              <w:t>9</w:t>
            </w:r>
            <w:r>
              <w:rPr>
                <w:noProof/>
                <w:webHidden/>
              </w:rPr>
              <w:fldChar w:fldCharType="end"/>
            </w:r>
          </w:hyperlink>
        </w:p>
        <w:p w14:paraId="1636553C" w14:textId="3F17D366"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0" w:history="1">
            <w:r w:rsidRPr="00C05D64">
              <w:rPr>
                <w:rStyle w:val="Hyperlien"/>
                <w:rFonts w:ascii="Arial" w:hAnsi="Arial" w:cs="Arial"/>
                <w:noProof/>
                <w:lang w:val="fr-CA"/>
              </w:rPr>
              <w:t>3.2.2 Consommation de produits de base (Consumer Staples)</w:t>
            </w:r>
            <w:r>
              <w:rPr>
                <w:noProof/>
                <w:webHidden/>
              </w:rPr>
              <w:tab/>
            </w:r>
            <w:r>
              <w:rPr>
                <w:noProof/>
                <w:webHidden/>
              </w:rPr>
              <w:fldChar w:fldCharType="begin"/>
            </w:r>
            <w:r>
              <w:rPr>
                <w:noProof/>
                <w:webHidden/>
              </w:rPr>
              <w:instrText xml:space="preserve"> PAGEREF _Toc199594610 \h </w:instrText>
            </w:r>
            <w:r>
              <w:rPr>
                <w:noProof/>
                <w:webHidden/>
              </w:rPr>
            </w:r>
            <w:r>
              <w:rPr>
                <w:noProof/>
                <w:webHidden/>
              </w:rPr>
              <w:fldChar w:fldCharType="separate"/>
            </w:r>
            <w:r>
              <w:rPr>
                <w:noProof/>
                <w:webHidden/>
              </w:rPr>
              <w:t>10</w:t>
            </w:r>
            <w:r>
              <w:rPr>
                <w:noProof/>
                <w:webHidden/>
              </w:rPr>
              <w:fldChar w:fldCharType="end"/>
            </w:r>
          </w:hyperlink>
        </w:p>
        <w:p w14:paraId="3D709F17" w14:textId="2F598314"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1" w:history="1">
            <w:r w:rsidRPr="00C05D64">
              <w:rPr>
                <w:rStyle w:val="Hyperlien"/>
                <w:rFonts w:ascii="Arial" w:hAnsi="Arial" w:cs="Arial"/>
                <w:noProof/>
                <w:lang w:val="fr-CA"/>
              </w:rPr>
              <w:t>3.2.3 Énergie</w:t>
            </w:r>
            <w:r>
              <w:rPr>
                <w:noProof/>
                <w:webHidden/>
              </w:rPr>
              <w:tab/>
            </w:r>
            <w:r>
              <w:rPr>
                <w:noProof/>
                <w:webHidden/>
              </w:rPr>
              <w:fldChar w:fldCharType="begin"/>
            </w:r>
            <w:r>
              <w:rPr>
                <w:noProof/>
                <w:webHidden/>
              </w:rPr>
              <w:instrText xml:space="preserve"> PAGEREF _Toc199594611 \h </w:instrText>
            </w:r>
            <w:r>
              <w:rPr>
                <w:noProof/>
                <w:webHidden/>
              </w:rPr>
            </w:r>
            <w:r>
              <w:rPr>
                <w:noProof/>
                <w:webHidden/>
              </w:rPr>
              <w:fldChar w:fldCharType="separate"/>
            </w:r>
            <w:r>
              <w:rPr>
                <w:noProof/>
                <w:webHidden/>
              </w:rPr>
              <w:t>11</w:t>
            </w:r>
            <w:r>
              <w:rPr>
                <w:noProof/>
                <w:webHidden/>
              </w:rPr>
              <w:fldChar w:fldCharType="end"/>
            </w:r>
          </w:hyperlink>
        </w:p>
        <w:p w14:paraId="2493F9FE" w14:textId="4A1BAC93"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2" w:history="1">
            <w:r w:rsidRPr="00C05D64">
              <w:rPr>
                <w:rStyle w:val="Hyperlien"/>
                <w:rFonts w:ascii="Arial" w:hAnsi="Arial" w:cs="Arial"/>
                <w:noProof/>
                <w:lang w:val="fr-CA"/>
              </w:rPr>
              <w:t>3.2.4 Industriel</w:t>
            </w:r>
            <w:r>
              <w:rPr>
                <w:noProof/>
                <w:webHidden/>
              </w:rPr>
              <w:tab/>
            </w:r>
            <w:r>
              <w:rPr>
                <w:noProof/>
                <w:webHidden/>
              </w:rPr>
              <w:fldChar w:fldCharType="begin"/>
            </w:r>
            <w:r>
              <w:rPr>
                <w:noProof/>
                <w:webHidden/>
              </w:rPr>
              <w:instrText xml:space="preserve"> PAGEREF _Toc199594612 \h </w:instrText>
            </w:r>
            <w:r>
              <w:rPr>
                <w:noProof/>
                <w:webHidden/>
              </w:rPr>
            </w:r>
            <w:r>
              <w:rPr>
                <w:noProof/>
                <w:webHidden/>
              </w:rPr>
              <w:fldChar w:fldCharType="separate"/>
            </w:r>
            <w:r>
              <w:rPr>
                <w:noProof/>
                <w:webHidden/>
              </w:rPr>
              <w:t>11</w:t>
            </w:r>
            <w:r>
              <w:rPr>
                <w:noProof/>
                <w:webHidden/>
              </w:rPr>
              <w:fldChar w:fldCharType="end"/>
            </w:r>
          </w:hyperlink>
        </w:p>
        <w:p w14:paraId="5BEA476F" w14:textId="1739B58D"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3" w:history="1">
            <w:r w:rsidRPr="00C05D64">
              <w:rPr>
                <w:rStyle w:val="Hyperlien"/>
                <w:rFonts w:ascii="Arial" w:hAnsi="Arial" w:cs="Arial"/>
                <w:noProof/>
                <w:lang w:val="fr-CA"/>
              </w:rPr>
              <w:t>3.2.5 Technologies de l’information</w:t>
            </w:r>
            <w:r>
              <w:rPr>
                <w:noProof/>
                <w:webHidden/>
              </w:rPr>
              <w:tab/>
            </w:r>
            <w:r>
              <w:rPr>
                <w:noProof/>
                <w:webHidden/>
              </w:rPr>
              <w:fldChar w:fldCharType="begin"/>
            </w:r>
            <w:r>
              <w:rPr>
                <w:noProof/>
                <w:webHidden/>
              </w:rPr>
              <w:instrText xml:space="preserve"> PAGEREF _Toc199594613 \h </w:instrText>
            </w:r>
            <w:r>
              <w:rPr>
                <w:noProof/>
                <w:webHidden/>
              </w:rPr>
            </w:r>
            <w:r>
              <w:rPr>
                <w:noProof/>
                <w:webHidden/>
              </w:rPr>
              <w:fldChar w:fldCharType="separate"/>
            </w:r>
            <w:r>
              <w:rPr>
                <w:noProof/>
                <w:webHidden/>
              </w:rPr>
              <w:t>12</w:t>
            </w:r>
            <w:r>
              <w:rPr>
                <w:noProof/>
                <w:webHidden/>
              </w:rPr>
              <w:fldChar w:fldCharType="end"/>
            </w:r>
          </w:hyperlink>
        </w:p>
        <w:p w14:paraId="45C35613" w14:textId="5DCB6658"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4" w:history="1">
            <w:r w:rsidRPr="00C05D64">
              <w:rPr>
                <w:rStyle w:val="Hyperlien"/>
                <w:rFonts w:ascii="Arial" w:hAnsi="Arial" w:cs="Arial"/>
                <w:noProof/>
                <w:lang w:val="fr-CA"/>
              </w:rPr>
              <w:t>3.2.6 Matériaux</w:t>
            </w:r>
            <w:r>
              <w:rPr>
                <w:noProof/>
                <w:webHidden/>
              </w:rPr>
              <w:tab/>
            </w:r>
            <w:r>
              <w:rPr>
                <w:noProof/>
                <w:webHidden/>
              </w:rPr>
              <w:fldChar w:fldCharType="begin"/>
            </w:r>
            <w:r>
              <w:rPr>
                <w:noProof/>
                <w:webHidden/>
              </w:rPr>
              <w:instrText xml:space="preserve"> PAGEREF _Toc199594614 \h </w:instrText>
            </w:r>
            <w:r>
              <w:rPr>
                <w:noProof/>
                <w:webHidden/>
              </w:rPr>
            </w:r>
            <w:r>
              <w:rPr>
                <w:noProof/>
                <w:webHidden/>
              </w:rPr>
              <w:fldChar w:fldCharType="separate"/>
            </w:r>
            <w:r>
              <w:rPr>
                <w:noProof/>
                <w:webHidden/>
              </w:rPr>
              <w:t>12</w:t>
            </w:r>
            <w:r>
              <w:rPr>
                <w:noProof/>
                <w:webHidden/>
              </w:rPr>
              <w:fldChar w:fldCharType="end"/>
            </w:r>
          </w:hyperlink>
        </w:p>
        <w:p w14:paraId="71C9EE31" w14:textId="3CFD6F15"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5" w:history="1">
            <w:r w:rsidRPr="00C05D64">
              <w:rPr>
                <w:rStyle w:val="Hyperlien"/>
                <w:rFonts w:ascii="Arial" w:hAnsi="Arial" w:cs="Arial"/>
                <w:noProof/>
                <w:lang w:val="fr-CA"/>
              </w:rPr>
              <w:t>3.2.7 REITs</w:t>
            </w:r>
            <w:r>
              <w:rPr>
                <w:noProof/>
                <w:webHidden/>
              </w:rPr>
              <w:tab/>
            </w:r>
            <w:r>
              <w:rPr>
                <w:noProof/>
                <w:webHidden/>
              </w:rPr>
              <w:fldChar w:fldCharType="begin"/>
            </w:r>
            <w:r>
              <w:rPr>
                <w:noProof/>
                <w:webHidden/>
              </w:rPr>
              <w:instrText xml:space="preserve"> PAGEREF _Toc199594615 \h </w:instrText>
            </w:r>
            <w:r>
              <w:rPr>
                <w:noProof/>
                <w:webHidden/>
              </w:rPr>
            </w:r>
            <w:r>
              <w:rPr>
                <w:noProof/>
                <w:webHidden/>
              </w:rPr>
              <w:fldChar w:fldCharType="separate"/>
            </w:r>
            <w:r>
              <w:rPr>
                <w:noProof/>
                <w:webHidden/>
              </w:rPr>
              <w:t>13</w:t>
            </w:r>
            <w:r>
              <w:rPr>
                <w:noProof/>
                <w:webHidden/>
              </w:rPr>
              <w:fldChar w:fldCharType="end"/>
            </w:r>
          </w:hyperlink>
        </w:p>
        <w:p w14:paraId="6AC3BF17" w14:textId="1F3EB131"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6" w:history="1">
            <w:r w:rsidRPr="00C05D64">
              <w:rPr>
                <w:rStyle w:val="Hyperlien"/>
                <w:rFonts w:ascii="Arial" w:hAnsi="Arial" w:cs="Arial"/>
                <w:noProof/>
                <w:lang w:val="fr-CA"/>
              </w:rPr>
              <w:t>3.2.8 Télécommunications</w:t>
            </w:r>
            <w:r>
              <w:rPr>
                <w:noProof/>
                <w:webHidden/>
              </w:rPr>
              <w:tab/>
            </w:r>
            <w:r>
              <w:rPr>
                <w:noProof/>
                <w:webHidden/>
              </w:rPr>
              <w:fldChar w:fldCharType="begin"/>
            </w:r>
            <w:r>
              <w:rPr>
                <w:noProof/>
                <w:webHidden/>
              </w:rPr>
              <w:instrText xml:space="preserve"> PAGEREF _Toc199594616 \h </w:instrText>
            </w:r>
            <w:r>
              <w:rPr>
                <w:noProof/>
                <w:webHidden/>
              </w:rPr>
            </w:r>
            <w:r>
              <w:rPr>
                <w:noProof/>
                <w:webHidden/>
              </w:rPr>
              <w:fldChar w:fldCharType="separate"/>
            </w:r>
            <w:r>
              <w:rPr>
                <w:noProof/>
                <w:webHidden/>
              </w:rPr>
              <w:t>13</w:t>
            </w:r>
            <w:r>
              <w:rPr>
                <w:noProof/>
                <w:webHidden/>
              </w:rPr>
              <w:fldChar w:fldCharType="end"/>
            </w:r>
          </w:hyperlink>
        </w:p>
        <w:p w14:paraId="7286C7C5" w14:textId="4A8E5179"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7" w:history="1">
            <w:r w:rsidRPr="00C05D64">
              <w:rPr>
                <w:rStyle w:val="Hyperlien"/>
                <w:rFonts w:ascii="Arial" w:hAnsi="Arial" w:cs="Arial"/>
                <w:noProof/>
                <w:lang w:val="fr-CA"/>
              </w:rPr>
              <w:t>3.2.9 Services publics (Utilities)</w:t>
            </w:r>
            <w:r>
              <w:rPr>
                <w:noProof/>
                <w:webHidden/>
              </w:rPr>
              <w:tab/>
            </w:r>
            <w:r>
              <w:rPr>
                <w:noProof/>
                <w:webHidden/>
              </w:rPr>
              <w:fldChar w:fldCharType="begin"/>
            </w:r>
            <w:r>
              <w:rPr>
                <w:noProof/>
                <w:webHidden/>
              </w:rPr>
              <w:instrText xml:space="preserve"> PAGEREF _Toc199594617 \h </w:instrText>
            </w:r>
            <w:r>
              <w:rPr>
                <w:noProof/>
                <w:webHidden/>
              </w:rPr>
            </w:r>
            <w:r>
              <w:rPr>
                <w:noProof/>
                <w:webHidden/>
              </w:rPr>
              <w:fldChar w:fldCharType="separate"/>
            </w:r>
            <w:r>
              <w:rPr>
                <w:noProof/>
                <w:webHidden/>
              </w:rPr>
              <w:t>14</w:t>
            </w:r>
            <w:r>
              <w:rPr>
                <w:noProof/>
                <w:webHidden/>
              </w:rPr>
              <w:fldChar w:fldCharType="end"/>
            </w:r>
          </w:hyperlink>
        </w:p>
        <w:p w14:paraId="37AAB86B" w14:textId="1B0DB6B4" w:rsidR="006960E6" w:rsidRDefault="006960E6">
          <w:pPr>
            <w:pStyle w:val="TM3"/>
            <w:tabs>
              <w:tab w:val="right" w:leader="dot" w:pos="9350"/>
            </w:tabs>
            <w:rPr>
              <w:rFonts w:asciiTheme="minorHAnsi" w:eastAsiaTheme="minorEastAsia" w:hAnsiTheme="minorHAnsi" w:cstheme="minorBidi"/>
              <w:noProof/>
              <w:kern w:val="2"/>
              <w:sz w:val="24"/>
              <w:szCs w:val="24"/>
              <w:lang w:val="fr-CA" w:eastAsia="ja-JP"/>
              <w14:ligatures w14:val="standardContextual"/>
            </w:rPr>
          </w:pPr>
          <w:hyperlink w:anchor="_Toc199594618" w:history="1">
            <w:r w:rsidRPr="00C05D64">
              <w:rPr>
                <w:rStyle w:val="Hyperlien"/>
                <w:rFonts w:ascii="Arial" w:hAnsi="Arial" w:cs="Arial"/>
                <w:noProof/>
                <w:lang w:val="fr-CA"/>
              </w:rPr>
              <w:t>3.2.10 Financier</w:t>
            </w:r>
            <w:r>
              <w:rPr>
                <w:noProof/>
                <w:webHidden/>
              </w:rPr>
              <w:tab/>
            </w:r>
            <w:r>
              <w:rPr>
                <w:noProof/>
                <w:webHidden/>
              </w:rPr>
              <w:fldChar w:fldCharType="begin"/>
            </w:r>
            <w:r>
              <w:rPr>
                <w:noProof/>
                <w:webHidden/>
              </w:rPr>
              <w:instrText xml:space="preserve"> PAGEREF _Toc199594618 \h </w:instrText>
            </w:r>
            <w:r>
              <w:rPr>
                <w:noProof/>
                <w:webHidden/>
              </w:rPr>
            </w:r>
            <w:r>
              <w:rPr>
                <w:noProof/>
                <w:webHidden/>
              </w:rPr>
              <w:fldChar w:fldCharType="separate"/>
            </w:r>
            <w:r>
              <w:rPr>
                <w:noProof/>
                <w:webHidden/>
              </w:rPr>
              <w:t>14</w:t>
            </w:r>
            <w:r>
              <w:rPr>
                <w:noProof/>
                <w:webHidden/>
              </w:rPr>
              <w:fldChar w:fldCharType="end"/>
            </w:r>
          </w:hyperlink>
        </w:p>
        <w:p w14:paraId="2B71B16C" w14:textId="0601B8A4" w:rsidR="006960E6" w:rsidRDefault="006960E6">
          <w:pPr>
            <w:pStyle w:val="TM1"/>
            <w:tabs>
              <w:tab w:val="right" w:leader="dot" w:pos="9350"/>
            </w:tabs>
            <w:rPr>
              <w:rFonts w:asciiTheme="minorHAnsi" w:eastAsiaTheme="minorEastAsia" w:hAnsiTheme="minorHAnsi" w:cstheme="minorBidi"/>
              <w:b w:val="0"/>
              <w:bCs w:val="0"/>
              <w:i w:val="0"/>
              <w:iCs w:val="0"/>
              <w:noProof/>
              <w:kern w:val="2"/>
              <w:lang w:val="fr-CA" w:eastAsia="ja-JP"/>
              <w14:ligatures w14:val="standardContextual"/>
            </w:rPr>
          </w:pPr>
          <w:hyperlink w:anchor="_Toc199594619" w:history="1">
            <w:r w:rsidRPr="00C05D64">
              <w:rPr>
                <w:rStyle w:val="Hyperlien"/>
                <w:noProof/>
                <w:lang w:val="fr-CA"/>
              </w:rPr>
              <w:t>4. Analyse du portefeuille optimisé</w:t>
            </w:r>
            <w:r>
              <w:rPr>
                <w:noProof/>
                <w:webHidden/>
              </w:rPr>
              <w:tab/>
            </w:r>
            <w:r>
              <w:rPr>
                <w:noProof/>
                <w:webHidden/>
              </w:rPr>
              <w:fldChar w:fldCharType="begin"/>
            </w:r>
            <w:r>
              <w:rPr>
                <w:noProof/>
                <w:webHidden/>
              </w:rPr>
              <w:instrText xml:space="preserve"> PAGEREF _Toc199594619 \h </w:instrText>
            </w:r>
            <w:r>
              <w:rPr>
                <w:noProof/>
                <w:webHidden/>
              </w:rPr>
            </w:r>
            <w:r>
              <w:rPr>
                <w:noProof/>
                <w:webHidden/>
              </w:rPr>
              <w:fldChar w:fldCharType="separate"/>
            </w:r>
            <w:r>
              <w:rPr>
                <w:noProof/>
                <w:webHidden/>
              </w:rPr>
              <w:t>15</w:t>
            </w:r>
            <w:r>
              <w:rPr>
                <w:noProof/>
                <w:webHidden/>
              </w:rPr>
              <w:fldChar w:fldCharType="end"/>
            </w:r>
          </w:hyperlink>
        </w:p>
        <w:p w14:paraId="43B039D3" w14:textId="4272437C" w:rsidR="006960E6" w:rsidRDefault="006960E6">
          <w:pPr>
            <w:pStyle w:val="TM2"/>
            <w:tabs>
              <w:tab w:val="right" w:leader="dot" w:pos="9350"/>
            </w:tabs>
            <w:rPr>
              <w:rFonts w:asciiTheme="minorHAnsi" w:eastAsiaTheme="minorEastAsia" w:hAnsiTheme="minorHAnsi" w:cstheme="minorBidi"/>
              <w:b w:val="0"/>
              <w:bCs w:val="0"/>
              <w:noProof/>
              <w:kern w:val="2"/>
              <w:sz w:val="24"/>
              <w:szCs w:val="24"/>
              <w:lang w:val="fr-CA" w:eastAsia="ja-JP"/>
              <w14:ligatures w14:val="standardContextual"/>
            </w:rPr>
          </w:pPr>
          <w:hyperlink w:anchor="_Toc199594620" w:history="1">
            <w:r w:rsidRPr="00C05D64">
              <w:rPr>
                <w:rStyle w:val="Hyperlien"/>
                <w:noProof/>
                <w:lang w:val="fr-CA"/>
              </w:rPr>
              <w:t>4.1 Analyse comparative</w:t>
            </w:r>
            <w:r>
              <w:rPr>
                <w:noProof/>
                <w:webHidden/>
              </w:rPr>
              <w:tab/>
            </w:r>
            <w:r>
              <w:rPr>
                <w:noProof/>
                <w:webHidden/>
              </w:rPr>
              <w:fldChar w:fldCharType="begin"/>
            </w:r>
            <w:r>
              <w:rPr>
                <w:noProof/>
                <w:webHidden/>
              </w:rPr>
              <w:instrText xml:space="preserve"> PAGEREF _Toc199594620 \h </w:instrText>
            </w:r>
            <w:r>
              <w:rPr>
                <w:noProof/>
                <w:webHidden/>
              </w:rPr>
            </w:r>
            <w:r>
              <w:rPr>
                <w:noProof/>
                <w:webHidden/>
              </w:rPr>
              <w:fldChar w:fldCharType="separate"/>
            </w:r>
            <w:r>
              <w:rPr>
                <w:noProof/>
                <w:webHidden/>
              </w:rPr>
              <w:t>15</w:t>
            </w:r>
            <w:r>
              <w:rPr>
                <w:noProof/>
                <w:webHidden/>
              </w:rPr>
              <w:fldChar w:fldCharType="end"/>
            </w:r>
          </w:hyperlink>
        </w:p>
        <w:p w14:paraId="5AA73954" w14:textId="244F24D0" w:rsidR="006960E6" w:rsidRDefault="006960E6">
          <w:pPr>
            <w:pStyle w:val="TM2"/>
            <w:tabs>
              <w:tab w:val="right" w:leader="dot" w:pos="9350"/>
            </w:tabs>
            <w:rPr>
              <w:rFonts w:asciiTheme="minorHAnsi" w:eastAsiaTheme="minorEastAsia" w:hAnsiTheme="minorHAnsi" w:cstheme="minorBidi"/>
              <w:b w:val="0"/>
              <w:bCs w:val="0"/>
              <w:noProof/>
              <w:kern w:val="2"/>
              <w:sz w:val="24"/>
              <w:szCs w:val="24"/>
              <w:lang w:val="fr-CA" w:eastAsia="ja-JP"/>
              <w14:ligatures w14:val="standardContextual"/>
            </w:rPr>
          </w:pPr>
          <w:hyperlink w:anchor="_Toc199594621" w:history="1">
            <w:r w:rsidRPr="00C05D64">
              <w:rPr>
                <w:rStyle w:val="Hyperlien"/>
                <w:noProof/>
                <w:lang w:val="fr-FR"/>
              </w:rPr>
              <w:t>4.2 Évaluation du portefeuille : métriques globales</w:t>
            </w:r>
            <w:r>
              <w:rPr>
                <w:noProof/>
                <w:webHidden/>
              </w:rPr>
              <w:tab/>
            </w:r>
            <w:r>
              <w:rPr>
                <w:noProof/>
                <w:webHidden/>
              </w:rPr>
              <w:fldChar w:fldCharType="begin"/>
            </w:r>
            <w:r>
              <w:rPr>
                <w:noProof/>
                <w:webHidden/>
              </w:rPr>
              <w:instrText xml:space="preserve"> PAGEREF _Toc199594621 \h </w:instrText>
            </w:r>
            <w:r>
              <w:rPr>
                <w:noProof/>
                <w:webHidden/>
              </w:rPr>
            </w:r>
            <w:r>
              <w:rPr>
                <w:noProof/>
                <w:webHidden/>
              </w:rPr>
              <w:fldChar w:fldCharType="separate"/>
            </w:r>
            <w:r>
              <w:rPr>
                <w:noProof/>
                <w:webHidden/>
              </w:rPr>
              <w:t>16</w:t>
            </w:r>
            <w:r>
              <w:rPr>
                <w:noProof/>
                <w:webHidden/>
              </w:rPr>
              <w:fldChar w:fldCharType="end"/>
            </w:r>
          </w:hyperlink>
        </w:p>
        <w:p w14:paraId="5C4F3803" w14:textId="492014AF" w:rsidR="006960E6" w:rsidRDefault="006960E6">
          <w:pPr>
            <w:pStyle w:val="TM2"/>
            <w:tabs>
              <w:tab w:val="right" w:leader="dot" w:pos="9350"/>
            </w:tabs>
            <w:rPr>
              <w:rFonts w:asciiTheme="minorHAnsi" w:eastAsiaTheme="minorEastAsia" w:hAnsiTheme="minorHAnsi" w:cstheme="minorBidi"/>
              <w:b w:val="0"/>
              <w:bCs w:val="0"/>
              <w:noProof/>
              <w:kern w:val="2"/>
              <w:sz w:val="24"/>
              <w:szCs w:val="24"/>
              <w:lang w:val="fr-CA" w:eastAsia="ja-JP"/>
              <w14:ligatures w14:val="standardContextual"/>
            </w:rPr>
          </w:pPr>
          <w:hyperlink w:anchor="_Toc199594622" w:history="1">
            <w:r w:rsidRPr="00C05D64">
              <w:rPr>
                <w:rStyle w:val="Hyperlien"/>
                <w:noProof/>
                <w:lang w:val="fr-FR"/>
              </w:rPr>
              <w:t>4.3 Analyse sectorielle du portefeuille optimisé</w:t>
            </w:r>
            <w:r>
              <w:rPr>
                <w:noProof/>
                <w:webHidden/>
              </w:rPr>
              <w:tab/>
            </w:r>
            <w:r>
              <w:rPr>
                <w:noProof/>
                <w:webHidden/>
              </w:rPr>
              <w:fldChar w:fldCharType="begin"/>
            </w:r>
            <w:r>
              <w:rPr>
                <w:noProof/>
                <w:webHidden/>
              </w:rPr>
              <w:instrText xml:space="preserve"> PAGEREF _Toc199594622 \h </w:instrText>
            </w:r>
            <w:r>
              <w:rPr>
                <w:noProof/>
                <w:webHidden/>
              </w:rPr>
            </w:r>
            <w:r>
              <w:rPr>
                <w:noProof/>
                <w:webHidden/>
              </w:rPr>
              <w:fldChar w:fldCharType="separate"/>
            </w:r>
            <w:r>
              <w:rPr>
                <w:noProof/>
                <w:webHidden/>
              </w:rPr>
              <w:t>19</w:t>
            </w:r>
            <w:r>
              <w:rPr>
                <w:noProof/>
                <w:webHidden/>
              </w:rPr>
              <w:fldChar w:fldCharType="end"/>
            </w:r>
          </w:hyperlink>
        </w:p>
        <w:p w14:paraId="6624A587" w14:textId="49F79079" w:rsidR="006960E6" w:rsidRDefault="006960E6">
          <w:pPr>
            <w:pStyle w:val="TM1"/>
            <w:tabs>
              <w:tab w:val="right" w:leader="dot" w:pos="9350"/>
            </w:tabs>
            <w:rPr>
              <w:rFonts w:asciiTheme="minorHAnsi" w:eastAsiaTheme="minorEastAsia" w:hAnsiTheme="minorHAnsi" w:cstheme="minorBidi"/>
              <w:b w:val="0"/>
              <w:bCs w:val="0"/>
              <w:i w:val="0"/>
              <w:iCs w:val="0"/>
              <w:noProof/>
              <w:kern w:val="2"/>
              <w:lang w:val="fr-CA" w:eastAsia="ja-JP"/>
              <w14:ligatures w14:val="standardContextual"/>
            </w:rPr>
          </w:pPr>
          <w:hyperlink w:anchor="_Toc199594623" w:history="1">
            <w:r w:rsidRPr="00C05D64">
              <w:rPr>
                <w:rStyle w:val="Hyperlien"/>
                <w:rFonts w:ascii="Arial" w:hAnsi="Arial" w:cs="Arial"/>
                <w:noProof/>
                <w:lang w:val="fr-CA"/>
              </w:rPr>
              <w:t>5. Conclusion</w:t>
            </w:r>
            <w:r>
              <w:rPr>
                <w:noProof/>
                <w:webHidden/>
              </w:rPr>
              <w:tab/>
            </w:r>
            <w:r>
              <w:rPr>
                <w:noProof/>
                <w:webHidden/>
              </w:rPr>
              <w:fldChar w:fldCharType="begin"/>
            </w:r>
            <w:r>
              <w:rPr>
                <w:noProof/>
                <w:webHidden/>
              </w:rPr>
              <w:instrText xml:space="preserve"> PAGEREF _Toc199594623 \h </w:instrText>
            </w:r>
            <w:r>
              <w:rPr>
                <w:noProof/>
                <w:webHidden/>
              </w:rPr>
            </w:r>
            <w:r>
              <w:rPr>
                <w:noProof/>
                <w:webHidden/>
              </w:rPr>
              <w:fldChar w:fldCharType="separate"/>
            </w:r>
            <w:r>
              <w:rPr>
                <w:noProof/>
                <w:webHidden/>
              </w:rPr>
              <w:t>25</w:t>
            </w:r>
            <w:r>
              <w:rPr>
                <w:noProof/>
                <w:webHidden/>
              </w:rPr>
              <w:fldChar w:fldCharType="end"/>
            </w:r>
          </w:hyperlink>
        </w:p>
        <w:p w14:paraId="6D9A8673" w14:textId="54624971" w:rsidR="00574A87" w:rsidRPr="006960E6" w:rsidRDefault="00442ECC" w:rsidP="006960E6">
          <w:pPr>
            <w:jc w:val="both"/>
            <w:rPr>
              <w:rFonts w:ascii="Arial" w:eastAsiaTheme="majorEastAsia" w:hAnsi="Arial" w:cs="Arial"/>
              <w:b/>
            </w:rPr>
          </w:pPr>
          <w:r w:rsidRPr="009A48AC">
            <w:rPr>
              <w:rFonts w:ascii="Arial" w:hAnsi="Arial" w:cs="Arial"/>
              <w:b/>
              <w:bCs/>
              <w:noProof/>
            </w:rPr>
            <w:fldChar w:fldCharType="end"/>
          </w:r>
        </w:p>
      </w:sdtContent>
    </w:sdt>
    <w:p w14:paraId="3C0F415B" w14:textId="77777777" w:rsidR="000632D1" w:rsidRDefault="000632D1">
      <w:pPr>
        <w:rPr>
          <w:rFonts w:ascii="Arial" w:hAnsi="Arial" w:cs="Arial"/>
          <w:lang w:val="fr-CA"/>
        </w:rPr>
      </w:pPr>
    </w:p>
    <w:p w14:paraId="2BDB9B99" w14:textId="7E4937D9" w:rsidR="00FC11EF" w:rsidRPr="00E52ECA" w:rsidRDefault="00FC11EF">
      <w:pPr>
        <w:rPr>
          <w:rFonts w:ascii="Arial" w:eastAsiaTheme="majorEastAsia" w:hAnsi="Arial" w:cs="Arial"/>
          <w:color w:val="0F4761" w:themeColor="accent1" w:themeShade="BF"/>
          <w:sz w:val="40"/>
          <w:szCs w:val="40"/>
          <w:lang w:val="fr-CA"/>
        </w:rPr>
      </w:pPr>
      <w:r w:rsidRPr="00E52ECA">
        <w:rPr>
          <w:rFonts w:ascii="Arial" w:hAnsi="Arial" w:cs="Arial"/>
          <w:lang w:val="fr-CA"/>
        </w:rPr>
        <w:br w:type="page"/>
      </w:r>
    </w:p>
    <w:p w14:paraId="039FA429" w14:textId="1DCC36B2" w:rsidR="00FD0632" w:rsidRPr="00E52ECA" w:rsidRDefault="00386E17" w:rsidP="009A48AC">
      <w:pPr>
        <w:pStyle w:val="Titre1"/>
        <w:spacing w:line="276" w:lineRule="auto"/>
        <w:jc w:val="both"/>
        <w:rPr>
          <w:rFonts w:ascii="Arial" w:hAnsi="Arial" w:cs="Arial"/>
          <w:lang w:val="fr-CA"/>
        </w:rPr>
      </w:pPr>
      <w:bookmarkStart w:id="0" w:name="_Toc1931657732"/>
      <w:bookmarkStart w:id="1" w:name="_Toc932015415"/>
      <w:bookmarkStart w:id="2" w:name="_Toc199594604"/>
      <w:r w:rsidRPr="00E52ECA">
        <w:rPr>
          <w:rFonts w:ascii="Arial" w:hAnsi="Arial" w:cs="Arial"/>
          <w:lang w:val="fr-CA"/>
        </w:rPr>
        <w:lastRenderedPageBreak/>
        <w:t>1.</w:t>
      </w:r>
      <w:r w:rsidR="00CA7AE3" w:rsidRPr="00E52ECA">
        <w:rPr>
          <w:rFonts w:ascii="Arial" w:hAnsi="Arial" w:cs="Arial"/>
          <w:lang w:val="fr-CA"/>
        </w:rPr>
        <w:t>Introduction</w:t>
      </w:r>
      <w:bookmarkEnd w:id="0"/>
      <w:bookmarkEnd w:id="1"/>
      <w:bookmarkEnd w:id="2"/>
      <w:r w:rsidR="00CA7AE3" w:rsidRPr="00E52ECA">
        <w:rPr>
          <w:rFonts w:ascii="Arial" w:hAnsi="Arial" w:cs="Arial"/>
          <w:lang w:val="fr-CA"/>
        </w:rPr>
        <w:t xml:space="preserve"> </w:t>
      </w:r>
    </w:p>
    <w:p w14:paraId="016B07DF" w14:textId="77777777" w:rsidR="003B6FCB" w:rsidRPr="003B6FCB" w:rsidRDefault="003B6FCB" w:rsidP="009A48AC">
      <w:pPr>
        <w:spacing w:line="276" w:lineRule="auto"/>
        <w:jc w:val="both"/>
        <w:rPr>
          <w:rFonts w:ascii="Arial" w:hAnsi="Arial" w:cs="Arial"/>
          <w:lang w:val="fr-CA"/>
        </w:rPr>
      </w:pPr>
      <w:bookmarkStart w:id="3" w:name="_Toc1669885645"/>
      <w:bookmarkStart w:id="4" w:name="_Toc1577452455"/>
      <w:r w:rsidRPr="003B6FCB">
        <w:rPr>
          <w:rFonts w:ascii="Arial" w:hAnsi="Arial" w:cs="Arial"/>
          <w:lang w:val="fr-CA"/>
        </w:rPr>
        <w:t xml:space="preserve">L’industrie financière est en pleine mutation, propulsée par des avancées technologiques qui redéfinissent la manière dont les actifs sont gérés et optimisés. Dans un environnement de marché de plus en plus complexe et volatile, l'optimisation des portefeuilles financiers devient essentielle pour équilibrer rentabilité et risques. Les approches classiques, bien qu’encore courantes, cèdent progressivement la place à des stratégies quantitatives et automatisées, largement utilisées dans les </w:t>
      </w:r>
      <w:proofErr w:type="spellStart"/>
      <w:r w:rsidRPr="003B6FCB">
        <w:rPr>
          <w:rFonts w:ascii="Arial" w:hAnsi="Arial" w:cs="Arial"/>
          <w:lang w:val="fr-CA"/>
        </w:rPr>
        <w:t>hedge</w:t>
      </w:r>
      <w:proofErr w:type="spellEnd"/>
      <w:r w:rsidRPr="003B6FCB">
        <w:rPr>
          <w:rFonts w:ascii="Arial" w:hAnsi="Arial" w:cs="Arial"/>
          <w:lang w:val="fr-CA"/>
        </w:rPr>
        <w:t xml:space="preserve"> </w:t>
      </w:r>
      <w:proofErr w:type="spellStart"/>
      <w:r w:rsidRPr="003B6FCB">
        <w:rPr>
          <w:rFonts w:ascii="Arial" w:hAnsi="Arial" w:cs="Arial"/>
          <w:lang w:val="fr-CA"/>
        </w:rPr>
        <w:t>funds</w:t>
      </w:r>
      <w:proofErr w:type="spellEnd"/>
      <w:r w:rsidRPr="003B6FCB">
        <w:rPr>
          <w:rFonts w:ascii="Arial" w:hAnsi="Arial" w:cs="Arial"/>
          <w:lang w:val="fr-CA"/>
        </w:rPr>
        <w:t>, les banques et les fintechs. Ces nouvelles méthodes offrent une efficacité accrue, permettant de mieux répondre aux attentes des investisseurs tout en gérant la volatilité des marchés.</w:t>
      </w:r>
    </w:p>
    <w:p w14:paraId="0219B76E" w14:textId="77777777" w:rsidR="003B6FCB" w:rsidRPr="003B6FCB" w:rsidRDefault="003B6FCB" w:rsidP="009A48AC">
      <w:pPr>
        <w:spacing w:line="276" w:lineRule="auto"/>
        <w:jc w:val="both"/>
        <w:rPr>
          <w:rFonts w:ascii="Arial" w:hAnsi="Arial" w:cs="Arial"/>
          <w:lang w:val="fr-CA"/>
        </w:rPr>
      </w:pPr>
    </w:p>
    <w:p w14:paraId="2F9E9A08" w14:textId="77777777" w:rsidR="003B6FCB" w:rsidRPr="003B6FCB" w:rsidRDefault="003B6FCB" w:rsidP="009A48AC">
      <w:pPr>
        <w:spacing w:line="276" w:lineRule="auto"/>
        <w:jc w:val="both"/>
        <w:rPr>
          <w:rFonts w:ascii="Arial" w:hAnsi="Arial" w:cs="Arial"/>
          <w:lang w:val="fr-CA"/>
        </w:rPr>
      </w:pPr>
      <w:r w:rsidRPr="003B6FCB">
        <w:rPr>
          <w:rFonts w:ascii="Arial" w:hAnsi="Arial" w:cs="Arial"/>
          <w:lang w:val="fr-CA"/>
        </w:rPr>
        <w:t>Le projet que nous proposons s’inscrit dans cette dynamique de transformation de l'industrie financière. En s’appuyant sur des algorithmes d'optimisation modernes, nous proposons une solution innovante visant à maximiser les rendements tout en réduisant les risques d'un portefeuille d'actifs. À travers des stratégies telles que la minimisation de la variance, le Sharpe Ratio et l’</w:t>
      </w:r>
      <w:proofErr w:type="spellStart"/>
      <w:r w:rsidRPr="003B6FCB">
        <w:rPr>
          <w:rFonts w:ascii="Arial" w:hAnsi="Arial" w:cs="Arial"/>
          <w:lang w:val="fr-CA"/>
        </w:rPr>
        <w:t>Expected</w:t>
      </w:r>
      <w:proofErr w:type="spellEnd"/>
      <w:r w:rsidRPr="003B6FCB">
        <w:rPr>
          <w:rFonts w:ascii="Arial" w:hAnsi="Arial" w:cs="Arial"/>
          <w:lang w:val="fr-CA"/>
        </w:rPr>
        <w:t xml:space="preserve"> </w:t>
      </w:r>
      <w:proofErr w:type="spellStart"/>
      <w:r w:rsidRPr="003B6FCB">
        <w:rPr>
          <w:rFonts w:ascii="Arial" w:hAnsi="Arial" w:cs="Arial"/>
          <w:lang w:val="fr-CA"/>
        </w:rPr>
        <w:t>Shortfall</w:t>
      </w:r>
      <w:proofErr w:type="spellEnd"/>
      <w:r w:rsidRPr="003B6FCB">
        <w:rPr>
          <w:rFonts w:ascii="Arial" w:hAnsi="Arial" w:cs="Arial"/>
          <w:lang w:val="fr-CA"/>
        </w:rPr>
        <w:t xml:space="preserve">, notre application vise à révolutionner la gestion de portefeuilles en alliant performance et gestion des risques. Le modèle est appliqué à un portefeuille réel de </w:t>
      </w:r>
      <w:proofErr w:type="spellStart"/>
      <w:r w:rsidRPr="003B6FCB">
        <w:rPr>
          <w:rFonts w:ascii="Arial" w:hAnsi="Arial" w:cs="Arial"/>
          <w:lang w:val="fr-CA"/>
        </w:rPr>
        <w:t>PolyFinances</w:t>
      </w:r>
      <w:proofErr w:type="spellEnd"/>
      <w:r w:rsidRPr="003B6FCB">
        <w:rPr>
          <w:rFonts w:ascii="Arial" w:hAnsi="Arial" w:cs="Arial"/>
          <w:lang w:val="fr-CA"/>
        </w:rPr>
        <w:t>, dont la valeur dépasse les 100 000 $. Ce cas concret représente une application pédagogique qui met en lumière les défis d’un petit gestionnaire ou d'un club d'investissement, tout en offrant une solution réplicable à plus grande échelle.</w:t>
      </w:r>
    </w:p>
    <w:p w14:paraId="7287E42E" w14:textId="77777777" w:rsidR="003B6FCB" w:rsidRPr="003B6FCB" w:rsidRDefault="003B6FCB" w:rsidP="009A48AC">
      <w:pPr>
        <w:spacing w:line="276" w:lineRule="auto"/>
        <w:jc w:val="both"/>
        <w:rPr>
          <w:rFonts w:ascii="Arial" w:hAnsi="Arial" w:cs="Arial"/>
          <w:lang w:val="fr-CA"/>
        </w:rPr>
      </w:pPr>
    </w:p>
    <w:p w14:paraId="62499DE6" w14:textId="22B7DB47" w:rsidR="003B6FCB" w:rsidRPr="003B6FCB" w:rsidRDefault="003B6FCB" w:rsidP="009A48AC">
      <w:pPr>
        <w:spacing w:line="276" w:lineRule="auto"/>
        <w:jc w:val="both"/>
        <w:rPr>
          <w:rFonts w:ascii="Arial" w:hAnsi="Arial" w:cs="Arial"/>
          <w:lang w:val="fr-CA"/>
        </w:rPr>
      </w:pPr>
      <w:r w:rsidRPr="003B6FCB">
        <w:rPr>
          <w:rFonts w:ascii="Arial" w:hAnsi="Arial" w:cs="Arial"/>
          <w:lang w:val="fr-CA"/>
        </w:rPr>
        <w:t>La pertinence de ce projet ne se limite pas à l’industrie financière traditionnelle, mais s’étend également à l’univers des Fintech. Ce secteur connaît une croissance rapide et devrait atteindre plus de 300 milliards de dollars d’ici 202</w:t>
      </w:r>
      <w:r w:rsidR="000B0F15">
        <w:rPr>
          <w:rFonts w:ascii="Arial" w:hAnsi="Arial" w:cs="Arial"/>
          <w:lang w:val="fr-CA"/>
        </w:rPr>
        <w:t>4.</w:t>
      </w:r>
      <w:r w:rsidRPr="003B6FCB">
        <w:rPr>
          <w:rFonts w:ascii="Arial" w:hAnsi="Arial" w:cs="Arial"/>
          <w:lang w:val="fr-CA"/>
        </w:rPr>
        <w:t xml:space="preserve"> En apportant des solutions d’optimisation de portefeuille accessibles et automatisées, ce projet s’inscrit pleinement dans cette dynamique. À long terme, la solution pourrait même être utilisée pour automatiser la gestion de portefeuilles dans un cadre plus large, à la fois pour </w:t>
      </w:r>
      <w:proofErr w:type="spellStart"/>
      <w:r w:rsidRPr="003B6FCB">
        <w:rPr>
          <w:rFonts w:ascii="Arial" w:hAnsi="Arial" w:cs="Arial"/>
          <w:lang w:val="fr-CA"/>
        </w:rPr>
        <w:t>PolyFinances</w:t>
      </w:r>
      <w:proofErr w:type="spellEnd"/>
      <w:r w:rsidRPr="003B6FCB">
        <w:rPr>
          <w:rFonts w:ascii="Arial" w:hAnsi="Arial" w:cs="Arial"/>
          <w:lang w:val="fr-CA"/>
        </w:rPr>
        <w:t xml:space="preserve"> et pour d’autres entreprises du secteur, avec des possibilités d'intégration de critères ESG et d'autres stratégies d’optimisation avancées. La question qui se pose désormais est : comment cette application peut-elle redéfinir la manière dont les portefeuilles d’actifs sont gérés dans un contexte financier de plus en plus </w:t>
      </w:r>
      <w:proofErr w:type="gramStart"/>
      <w:r w:rsidRPr="003B6FCB">
        <w:rPr>
          <w:rFonts w:ascii="Arial" w:hAnsi="Arial" w:cs="Arial"/>
          <w:lang w:val="fr-CA"/>
        </w:rPr>
        <w:t>automatisé</w:t>
      </w:r>
      <w:proofErr w:type="gramEnd"/>
      <w:r w:rsidRPr="003B6FCB">
        <w:rPr>
          <w:rFonts w:ascii="Arial" w:hAnsi="Arial" w:cs="Arial"/>
          <w:lang w:val="fr-CA"/>
        </w:rPr>
        <w:t xml:space="preserve"> et orienté vers la Fintech ? Notre projet vise à répondre à cette question en offrant une solution tangible et scalable pour la gestion de portefeuilles dans un environnement global et numérique.</w:t>
      </w:r>
    </w:p>
    <w:p w14:paraId="66EA55D9" w14:textId="77777777" w:rsidR="00F77164" w:rsidRDefault="00F77164" w:rsidP="009A48AC">
      <w:pPr>
        <w:spacing w:line="276" w:lineRule="auto"/>
        <w:rPr>
          <w:rFonts w:ascii="Arial" w:eastAsiaTheme="majorEastAsia" w:hAnsi="Arial" w:cs="Arial"/>
          <w:color w:val="0F4761" w:themeColor="accent1" w:themeShade="BF"/>
          <w:sz w:val="40"/>
          <w:szCs w:val="40"/>
          <w:lang w:val="fr-CA"/>
        </w:rPr>
      </w:pPr>
      <w:r>
        <w:rPr>
          <w:rFonts w:ascii="Arial" w:hAnsi="Arial" w:cs="Arial"/>
          <w:lang w:val="fr-CA"/>
        </w:rPr>
        <w:br w:type="page"/>
      </w:r>
    </w:p>
    <w:p w14:paraId="1E384269" w14:textId="26BA28D1" w:rsidR="00285103" w:rsidRPr="00285103" w:rsidRDefault="00E829F0" w:rsidP="009A48AC">
      <w:pPr>
        <w:pStyle w:val="Titre1"/>
        <w:spacing w:line="276" w:lineRule="auto"/>
        <w:rPr>
          <w:rFonts w:ascii="Arial" w:hAnsi="Arial" w:cs="Arial"/>
          <w:lang w:val="fr-CA"/>
        </w:rPr>
      </w:pPr>
      <w:bookmarkStart w:id="5" w:name="_Toc579338902"/>
      <w:bookmarkStart w:id="6" w:name="_Toc940045407"/>
      <w:bookmarkStart w:id="7" w:name="_Toc199594605"/>
      <w:bookmarkEnd w:id="3"/>
      <w:bookmarkEnd w:id="4"/>
      <w:r>
        <w:rPr>
          <w:rFonts w:ascii="Arial" w:hAnsi="Arial" w:cs="Arial"/>
          <w:lang w:val="fr-CA"/>
        </w:rPr>
        <w:lastRenderedPageBreak/>
        <w:t>2</w:t>
      </w:r>
      <w:r w:rsidR="00A21608" w:rsidRPr="00E52ECA">
        <w:rPr>
          <w:rFonts w:ascii="Arial" w:hAnsi="Arial" w:cs="Arial"/>
          <w:lang w:val="fr-CA"/>
        </w:rPr>
        <w:t>.</w:t>
      </w:r>
      <w:bookmarkEnd w:id="5"/>
      <w:bookmarkEnd w:id="6"/>
      <w:r w:rsidR="00A21608" w:rsidRPr="00E52ECA">
        <w:rPr>
          <w:rFonts w:ascii="Arial" w:hAnsi="Arial" w:cs="Arial"/>
          <w:lang w:val="fr-CA"/>
        </w:rPr>
        <w:t xml:space="preserve"> </w:t>
      </w:r>
      <w:r w:rsidR="00BB191F">
        <w:rPr>
          <w:rFonts w:ascii="Arial" w:hAnsi="Arial" w:cs="Arial"/>
          <w:lang w:val="fr-CA"/>
        </w:rPr>
        <w:t>Méthodologie utilisée</w:t>
      </w:r>
      <w:bookmarkEnd w:id="7"/>
    </w:p>
    <w:p w14:paraId="6F588112" w14:textId="77777777" w:rsidR="00285103" w:rsidRPr="0067593F" w:rsidRDefault="00285103" w:rsidP="009A48AC">
      <w:pPr>
        <w:pStyle w:val="NormalWeb"/>
        <w:spacing w:line="276" w:lineRule="auto"/>
        <w:jc w:val="both"/>
        <w:rPr>
          <w:rFonts w:ascii="Arial" w:hAnsi="Arial" w:cs="Arial"/>
          <w:lang w:val="fr-CA"/>
        </w:rPr>
      </w:pPr>
      <w:r w:rsidRPr="0067593F">
        <w:rPr>
          <w:rFonts w:ascii="Arial" w:hAnsi="Arial" w:cs="Arial"/>
          <w:lang w:val="fr-CA"/>
        </w:rPr>
        <w:t xml:space="preserve">Le projet d'optimisation du portefeuille de </w:t>
      </w:r>
      <w:proofErr w:type="spellStart"/>
      <w:r w:rsidRPr="0067593F">
        <w:rPr>
          <w:rStyle w:val="lev"/>
          <w:rFonts w:ascii="Arial" w:eastAsiaTheme="majorEastAsia" w:hAnsi="Arial" w:cs="Arial"/>
          <w:b w:val="0"/>
          <w:bCs w:val="0"/>
          <w:lang w:val="fr-CA"/>
        </w:rPr>
        <w:t>PolyFinances</w:t>
      </w:r>
      <w:proofErr w:type="spellEnd"/>
      <w:r w:rsidRPr="0067593F">
        <w:rPr>
          <w:rFonts w:ascii="Arial" w:hAnsi="Arial" w:cs="Arial"/>
          <w:lang w:val="fr-CA"/>
        </w:rPr>
        <w:t xml:space="preserve"> repose sur l’utilisation de techniques quantitatives avancées pour maximiser les rendements tout en minimisant les risques associés aux investissements. Les principales stratégies d'optimisation appliquées incluent la </w:t>
      </w:r>
      <w:r w:rsidRPr="0067593F">
        <w:rPr>
          <w:rStyle w:val="lev"/>
          <w:rFonts w:ascii="Arial" w:eastAsiaTheme="majorEastAsia" w:hAnsi="Arial" w:cs="Arial"/>
          <w:b w:val="0"/>
          <w:bCs w:val="0"/>
          <w:lang w:val="fr-CA"/>
        </w:rPr>
        <w:t>minimisation de la variance</w:t>
      </w:r>
      <w:r w:rsidRPr="0067593F">
        <w:rPr>
          <w:rFonts w:ascii="Arial" w:hAnsi="Arial" w:cs="Arial"/>
          <w:b/>
          <w:bCs/>
          <w:lang w:val="fr-CA"/>
        </w:rPr>
        <w:t>,</w:t>
      </w:r>
      <w:r w:rsidRPr="0067593F">
        <w:rPr>
          <w:rFonts w:ascii="Arial" w:hAnsi="Arial" w:cs="Arial"/>
          <w:lang w:val="fr-CA"/>
        </w:rPr>
        <w:t xml:space="preserve"> le</w:t>
      </w:r>
      <w:r w:rsidRPr="0067593F">
        <w:rPr>
          <w:rFonts w:ascii="Arial" w:hAnsi="Arial" w:cs="Arial"/>
          <w:b/>
          <w:bCs/>
          <w:lang w:val="fr-CA"/>
        </w:rPr>
        <w:t xml:space="preserve"> </w:t>
      </w:r>
      <w:r w:rsidRPr="0067593F">
        <w:rPr>
          <w:rStyle w:val="lev"/>
          <w:rFonts w:ascii="Arial" w:eastAsiaTheme="majorEastAsia" w:hAnsi="Arial" w:cs="Arial"/>
          <w:b w:val="0"/>
          <w:bCs w:val="0"/>
          <w:lang w:val="fr-CA"/>
        </w:rPr>
        <w:t>Sharpe ratio maximal</w:t>
      </w:r>
      <w:r w:rsidRPr="0067593F">
        <w:rPr>
          <w:rFonts w:ascii="Arial" w:hAnsi="Arial" w:cs="Arial"/>
          <w:b/>
          <w:bCs/>
          <w:lang w:val="fr-CA"/>
        </w:rPr>
        <w:t xml:space="preserve">, </w:t>
      </w:r>
      <w:r w:rsidRPr="0067593F">
        <w:rPr>
          <w:rFonts w:ascii="Arial" w:hAnsi="Arial" w:cs="Arial"/>
          <w:lang w:val="fr-CA"/>
        </w:rPr>
        <w:t xml:space="preserve">et </w:t>
      </w:r>
      <w:r w:rsidRPr="0067593F">
        <w:rPr>
          <w:rFonts w:ascii="Arial" w:hAnsi="Arial" w:cs="Arial"/>
          <w:b/>
          <w:bCs/>
          <w:lang w:val="fr-CA"/>
        </w:rPr>
        <w:t>l’</w:t>
      </w:r>
      <w:proofErr w:type="spellStart"/>
      <w:r w:rsidRPr="0067593F">
        <w:rPr>
          <w:rStyle w:val="lev"/>
          <w:rFonts w:ascii="Arial" w:eastAsiaTheme="majorEastAsia" w:hAnsi="Arial" w:cs="Arial"/>
          <w:b w:val="0"/>
          <w:bCs w:val="0"/>
          <w:lang w:val="fr-CA"/>
        </w:rPr>
        <w:t>Expected</w:t>
      </w:r>
      <w:proofErr w:type="spellEnd"/>
      <w:r w:rsidRPr="0067593F">
        <w:rPr>
          <w:rStyle w:val="lev"/>
          <w:rFonts w:ascii="Arial" w:eastAsiaTheme="majorEastAsia" w:hAnsi="Arial" w:cs="Arial"/>
          <w:b w:val="0"/>
          <w:bCs w:val="0"/>
          <w:lang w:val="fr-CA"/>
        </w:rPr>
        <w:t xml:space="preserve"> </w:t>
      </w:r>
      <w:proofErr w:type="spellStart"/>
      <w:r w:rsidRPr="0067593F">
        <w:rPr>
          <w:rStyle w:val="lev"/>
          <w:rFonts w:ascii="Arial" w:eastAsiaTheme="majorEastAsia" w:hAnsi="Arial" w:cs="Arial"/>
          <w:b w:val="0"/>
          <w:bCs w:val="0"/>
          <w:lang w:val="fr-CA"/>
        </w:rPr>
        <w:t>Shortfall</w:t>
      </w:r>
      <w:proofErr w:type="spellEnd"/>
      <w:r w:rsidRPr="0067593F">
        <w:rPr>
          <w:rStyle w:val="lev"/>
          <w:rFonts w:ascii="Arial" w:eastAsiaTheme="majorEastAsia" w:hAnsi="Arial" w:cs="Arial"/>
          <w:b w:val="0"/>
          <w:bCs w:val="0"/>
          <w:lang w:val="fr-CA"/>
        </w:rPr>
        <w:t xml:space="preserve"> minimal</w:t>
      </w:r>
      <w:r w:rsidRPr="0067593F">
        <w:rPr>
          <w:rFonts w:ascii="Arial" w:hAnsi="Arial" w:cs="Arial"/>
          <w:lang w:val="fr-CA"/>
        </w:rPr>
        <w:t>. Ces approches ont été sélectionnées pour leur capacité à trouver un équilibre optimal entre performance et risque, essentiel pour une gestion efficace des portefeuilles dans un environnement financier de plus en plus complexe et volatil.</w:t>
      </w:r>
    </w:p>
    <w:p w14:paraId="315C81F5" w14:textId="77777777" w:rsidR="00285103" w:rsidRPr="0067593F" w:rsidRDefault="00285103" w:rsidP="009A48AC">
      <w:pPr>
        <w:pStyle w:val="NormalWeb"/>
        <w:spacing w:line="276" w:lineRule="auto"/>
        <w:jc w:val="both"/>
        <w:rPr>
          <w:rFonts w:ascii="Arial" w:hAnsi="Arial" w:cs="Arial"/>
          <w:lang w:val="fr-CA"/>
        </w:rPr>
      </w:pPr>
      <w:r w:rsidRPr="0067593F">
        <w:rPr>
          <w:rFonts w:ascii="Arial" w:hAnsi="Arial" w:cs="Arial"/>
          <w:lang w:val="fr-CA"/>
        </w:rPr>
        <w:t xml:space="preserve">Le choix du logiciel s’est porté sur </w:t>
      </w:r>
      <w:r w:rsidRPr="0067593F">
        <w:rPr>
          <w:rStyle w:val="lev"/>
          <w:rFonts w:ascii="Arial" w:eastAsiaTheme="majorEastAsia" w:hAnsi="Arial" w:cs="Arial"/>
          <w:b w:val="0"/>
          <w:bCs w:val="0"/>
          <w:lang w:val="fr-CA"/>
        </w:rPr>
        <w:t>Python</w:t>
      </w:r>
      <w:r w:rsidRPr="0067593F">
        <w:rPr>
          <w:rFonts w:ascii="Arial" w:hAnsi="Arial" w:cs="Arial"/>
          <w:lang w:val="fr-CA"/>
        </w:rPr>
        <w:t xml:space="preserve">, une plateforme largement utilisée dans le domaine de la </w:t>
      </w:r>
      <w:r w:rsidRPr="0067593F">
        <w:rPr>
          <w:rStyle w:val="lev"/>
          <w:rFonts w:ascii="Arial" w:eastAsiaTheme="majorEastAsia" w:hAnsi="Arial" w:cs="Arial"/>
          <w:b w:val="0"/>
          <w:bCs w:val="0"/>
          <w:lang w:val="fr-CA"/>
        </w:rPr>
        <w:t>Fintech</w:t>
      </w:r>
      <w:r w:rsidRPr="0067593F">
        <w:rPr>
          <w:rFonts w:ascii="Arial" w:hAnsi="Arial" w:cs="Arial"/>
          <w:lang w:val="fr-CA"/>
        </w:rPr>
        <w:t xml:space="preserve"> en raison de sa flexibilité et de la puissance de ses bibliothèques, telles que </w:t>
      </w:r>
      <w:r w:rsidRPr="0067593F">
        <w:rPr>
          <w:rStyle w:val="lev"/>
          <w:rFonts w:ascii="Arial" w:eastAsiaTheme="majorEastAsia" w:hAnsi="Arial" w:cs="Arial"/>
          <w:b w:val="0"/>
          <w:bCs w:val="0"/>
          <w:lang w:val="fr-CA"/>
        </w:rPr>
        <w:t>Pandas</w:t>
      </w:r>
      <w:r w:rsidRPr="0067593F">
        <w:rPr>
          <w:rFonts w:ascii="Arial" w:hAnsi="Arial" w:cs="Arial"/>
          <w:b/>
          <w:bCs/>
          <w:lang w:val="fr-CA"/>
        </w:rPr>
        <w:t xml:space="preserve">, </w:t>
      </w:r>
      <w:proofErr w:type="spellStart"/>
      <w:r w:rsidRPr="0067593F">
        <w:rPr>
          <w:rStyle w:val="lev"/>
          <w:rFonts w:ascii="Arial" w:eastAsiaTheme="majorEastAsia" w:hAnsi="Arial" w:cs="Arial"/>
          <w:b w:val="0"/>
          <w:bCs w:val="0"/>
          <w:lang w:val="fr-CA"/>
        </w:rPr>
        <w:t>NumPy</w:t>
      </w:r>
      <w:proofErr w:type="spellEnd"/>
      <w:r w:rsidRPr="0067593F">
        <w:rPr>
          <w:rFonts w:ascii="Arial" w:hAnsi="Arial" w:cs="Arial"/>
          <w:lang w:val="fr-CA"/>
        </w:rPr>
        <w:t xml:space="preserve"> et </w:t>
      </w:r>
      <w:proofErr w:type="spellStart"/>
      <w:r w:rsidRPr="0067593F">
        <w:rPr>
          <w:rStyle w:val="lev"/>
          <w:rFonts w:ascii="Arial" w:eastAsiaTheme="majorEastAsia" w:hAnsi="Arial" w:cs="Arial"/>
          <w:b w:val="0"/>
          <w:bCs w:val="0"/>
          <w:lang w:val="fr-CA"/>
        </w:rPr>
        <w:t>SciPy</w:t>
      </w:r>
      <w:proofErr w:type="spellEnd"/>
      <w:r w:rsidRPr="0067593F">
        <w:rPr>
          <w:rFonts w:ascii="Arial" w:hAnsi="Arial" w:cs="Arial"/>
          <w:lang w:val="fr-CA"/>
        </w:rPr>
        <w:t>, qui facilitent le traitement des données et l’application des algorithmes d’optimisation. Python permet non seulement une analyse statistique avancée, mais aussi l’automatisation des processus, ce qui réduit le besoin d’intervention humaine et accroît l’efficacité du processus d’optimisation. Ce choix est renforcé par la capacité de Python à intégrer facilement des modèles financiers complexes et à interagir avec des bases de données externes, ce qui en fait un choix idéal pour ce type de projet.</w:t>
      </w:r>
    </w:p>
    <w:p w14:paraId="44F25591" w14:textId="4F8B1F75" w:rsidR="00285103" w:rsidRPr="0067593F" w:rsidRDefault="00285103" w:rsidP="009A48AC">
      <w:pPr>
        <w:pStyle w:val="NormalWeb"/>
        <w:spacing w:line="276" w:lineRule="auto"/>
        <w:jc w:val="both"/>
        <w:rPr>
          <w:rFonts w:ascii="Arial" w:hAnsi="Arial" w:cs="Arial"/>
          <w:lang w:val="fr-CA"/>
        </w:rPr>
      </w:pPr>
      <w:r w:rsidRPr="0067593F">
        <w:rPr>
          <w:rFonts w:ascii="Arial" w:hAnsi="Arial" w:cs="Arial"/>
          <w:lang w:val="fr-CA"/>
        </w:rPr>
        <w:t xml:space="preserve">Le processus débute par la collecte des données financières, spécifiquement les rendements mensuels des actifs du portefeuille de </w:t>
      </w:r>
      <w:proofErr w:type="spellStart"/>
      <w:r w:rsidRPr="0067593F">
        <w:rPr>
          <w:rStyle w:val="lev"/>
          <w:rFonts w:ascii="Arial" w:eastAsiaTheme="majorEastAsia" w:hAnsi="Arial" w:cs="Arial"/>
          <w:b w:val="0"/>
          <w:bCs w:val="0"/>
          <w:lang w:val="fr-CA"/>
        </w:rPr>
        <w:t>PolyFinances</w:t>
      </w:r>
      <w:proofErr w:type="spellEnd"/>
      <w:r w:rsidRPr="0067593F">
        <w:rPr>
          <w:rFonts w:ascii="Arial" w:hAnsi="Arial" w:cs="Arial"/>
          <w:lang w:val="fr-CA"/>
        </w:rPr>
        <w:t xml:space="preserve"> entre novembre 2019 et avril 202</w:t>
      </w:r>
      <w:r w:rsidR="000B0F15">
        <w:rPr>
          <w:rFonts w:ascii="Arial" w:hAnsi="Arial" w:cs="Arial"/>
          <w:lang w:val="fr-CA"/>
        </w:rPr>
        <w:t>4.</w:t>
      </w:r>
      <w:r w:rsidRPr="0067593F">
        <w:rPr>
          <w:rFonts w:ascii="Arial" w:hAnsi="Arial" w:cs="Arial"/>
          <w:lang w:val="fr-CA"/>
        </w:rPr>
        <w:t xml:space="preserve"> Ces données sont ensuite normalisées et nettoyées pour garantir leur fiabilité, en éliminant les valeurs manquantes ou erronées. L’échantillon d’entraînement couvre une période de trois ans et demi (novembre 2019 à avril 2023), tandis que l’échantillon de test s’étend sur deux ans (avril 2023 à avril 2025). Cela permet de vérifier la robustesse du modèle sur des données réelles et non utilisées pour l’entraînement.</w:t>
      </w:r>
    </w:p>
    <w:p w14:paraId="33850E62" w14:textId="77777777" w:rsidR="0067593F" w:rsidRDefault="00285103" w:rsidP="009A48AC">
      <w:pPr>
        <w:pStyle w:val="NormalWeb"/>
        <w:spacing w:line="276" w:lineRule="auto"/>
        <w:jc w:val="both"/>
        <w:rPr>
          <w:rFonts w:ascii="Arial" w:hAnsi="Arial" w:cs="Arial"/>
          <w:lang w:val="fr-CA"/>
        </w:rPr>
      </w:pPr>
      <w:r w:rsidRPr="0067593F">
        <w:rPr>
          <w:rFonts w:ascii="Arial" w:hAnsi="Arial" w:cs="Arial"/>
          <w:lang w:val="fr-CA"/>
        </w:rPr>
        <w:t xml:space="preserve">Voici la liste des actions </w:t>
      </w:r>
      <w:proofErr w:type="spellStart"/>
      <w:r w:rsidR="0067593F" w:rsidRPr="0067593F">
        <w:rPr>
          <w:rFonts w:ascii="Arial" w:hAnsi="Arial" w:cs="Arial"/>
          <w:lang w:val="fr-CA"/>
        </w:rPr>
        <w:t>aquises</w:t>
      </w:r>
      <w:proofErr w:type="spellEnd"/>
      <w:r w:rsidR="0067593F" w:rsidRPr="0067593F">
        <w:rPr>
          <w:rFonts w:ascii="Arial" w:hAnsi="Arial" w:cs="Arial"/>
          <w:lang w:val="fr-CA"/>
        </w:rPr>
        <w:t xml:space="preserve"> par le portefeuille de </w:t>
      </w:r>
      <w:proofErr w:type="spellStart"/>
      <w:r w:rsidR="0067593F" w:rsidRPr="0067593F">
        <w:rPr>
          <w:rFonts w:ascii="Arial" w:hAnsi="Arial" w:cs="Arial"/>
          <w:lang w:val="fr-CA"/>
        </w:rPr>
        <w:t>PolyFinances</w:t>
      </w:r>
      <w:proofErr w:type="spellEnd"/>
      <w:r w:rsidR="0067593F" w:rsidRPr="0067593F">
        <w:rPr>
          <w:rFonts w:ascii="Arial" w:hAnsi="Arial" w:cs="Arial"/>
          <w:lang w:val="fr-CA"/>
        </w:rPr>
        <w:t xml:space="preserve"> pour la période mentionnée ci-haut : </w:t>
      </w:r>
    </w:p>
    <w:p w14:paraId="4238E926" w14:textId="1C9A1076" w:rsidR="0067593F" w:rsidRPr="00312F11" w:rsidRDefault="0067593F" w:rsidP="009A48AC">
      <w:pPr>
        <w:pStyle w:val="NormalWeb"/>
        <w:numPr>
          <w:ilvl w:val="0"/>
          <w:numId w:val="24"/>
        </w:numPr>
        <w:spacing w:line="276" w:lineRule="auto"/>
        <w:jc w:val="both"/>
        <w:rPr>
          <w:rFonts w:ascii="Arial" w:hAnsi="Arial" w:cs="Arial"/>
          <w:lang w:val="fr-CA"/>
        </w:rPr>
      </w:pPr>
      <w:r w:rsidRPr="0067593F">
        <w:rPr>
          <w:rFonts w:ascii="Arial" w:hAnsi="Arial" w:cs="Arial"/>
          <w:lang w:val="en-US"/>
        </w:rPr>
        <w:t xml:space="preserve">Consumer Discretionary: </w:t>
      </w:r>
      <w:r w:rsidRPr="00312F11">
        <w:rPr>
          <w:rFonts w:ascii="Arial" w:hAnsi="Arial" w:cs="Arial"/>
          <w:lang w:val="en-US"/>
        </w:rPr>
        <w:t xml:space="preserve">Dollarama Inc. (DOL.TO), Magna International Inc. </w:t>
      </w:r>
      <w:r w:rsidRPr="00312F11">
        <w:rPr>
          <w:rFonts w:ascii="Arial" w:hAnsi="Arial" w:cs="Arial"/>
          <w:lang w:val="fr-FR"/>
        </w:rPr>
        <w:t xml:space="preserve">(MG.TO), Restaurant Brands International (QSR.TO), Alimentation Couche-Tard Inc. </w:t>
      </w:r>
      <w:r w:rsidRPr="00312F11">
        <w:rPr>
          <w:rFonts w:ascii="Arial" w:hAnsi="Arial" w:cs="Arial"/>
          <w:lang w:val="en-US"/>
        </w:rPr>
        <w:t xml:space="preserve">(ATD.TO), Canadian Tire Corporation (CTC-A.TO), iShares SP TSX Capped Cons </w:t>
      </w:r>
      <w:proofErr w:type="spellStart"/>
      <w:r w:rsidRPr="00312F11">
        <w:rPr>
          <w:rFonts w:ascii="Arial" w:hAnsi="Arial" w:cs="Arial"/>
          <w:lang w:val="en-US"/>
        </w:rPr>
        <w:t>Stpl</w:t>
      </w:r>
      <w:proofErr w:type="spellEnd"/>
      <w:r w:rsidRPr="00312F11">
        <w:rPr>
          <w:rFonts w:ascii="Arial" w:hAnsi="Arial" w:cs="Arial"/>
          <w:lang w:val="en-US"/>
        </w:rPr>
        <w:t xml:space="preserve"> (XST.TO), Boralex Inc. </w:t>
      </w:r>
      <w:r w:rsidRPr="00312F11">
        <w:rPr>
          <w:rFonts w:ascii="Arial" w:hAnsi="Arial" w:cs="Arial"/>
          <w:lang w:val="fr-CA"/>
        </w:rPr>
        <w:t>(BLX.TO)</w:t>
      </w:r>
    </w:p>
    <w:p w14:paraId="1C552C27" w14:textId="77777777" w:rsidR="0067593F" w:rsidRPr="0067593F" w:rsidRDefault="0067593F" w:rsidP="009A48AC">
      <w:pPr>
        <w:spacing w:line="276" w:lineRule="auto"/>
        <w:jc w:val="both"/>
        <w:rPr>
          <w:rFonts w:ascii="Arial" w:hAnsi="Arial" w:cs="Arial"/>
          <w:lang w:val="fr-CA"/>
        </w:rPr>
      </w:pPr>
    </w:p>
    <w:p w14:paraId="253BBDFD" w14:textId="34F3EE3A" w:rsidR="0067593F" w:rsidRPr="00312F11" w:rsidRDefault="0067593F" w:rsidP="009A48AC">
      <w:pPr>
        <w:pStyle w:val="Paragraphedeliste"/>
        <w:numPr>
          <w:ilvl w:val="0"/>
          <w:numId w:val="21"/>
        </w:numPr>
        <w:spacing w:line="276" w:lineRule="auto"/>
        <w:jc w:val="both"/>
        <w:rPr>
          <w:rFonts w:ascii="Arial" w:hAnsi="Arial" w:cs="Arial"/>
          <w:lang w:val="en-US"/>
        </w:rPr>
      </w:pPr>
      <w:r w:rsidRPr="00312F11">
        <w:rPr>
          <w:rFonts w:ascii="Arial" w:hAnsi="Arial" w:cs="Arial"/>
          <w:lang w:val="en-US"/>
        </w:rPr>
        <w:t>« Consumer Staples »:</w:t>
      </w:r>
      <w:r w:rsidR="00D972F0">
        <w:rPr>
          <w:rFonts w:ascii="Arial" w:hAnsi="Arial" w:cs="Arial"/>
          <w:lang w:val="en-US"/>
        </w:rPr>
        <w:t xml:space="preserve"> </w:t>
      </w:r>
      <w:r w:rsidRPr="00312F11">
        <w:rPr>
          <w:rFonts w:ascii="Arial" w:hAnsi="Arial" w:cs="Arial"/>
          <w:lang w:val="en-US"/>
        </w:rPr>
        <w:t>Horizons SP TSX Capped Energy I (HXE.TO), Cenovus Energy Inc. (CVE.TO)</w:t>
      </w:r>
    </w:p>
    <w:p w14:paraId="7FF44AA7" w14:textId="77777777" w:rsidR="0067593F" w:rsidRPr="0067593F" w:rsidRDefault="0067593F" w:rsidP="009A48AC">
      <w:pPr>
        <w:spacing w:line="276" w:lineRule="auto"/>
        <w:jc w:val="both"/>
        <w:rPr>
          <w:rFonts w:ascii="Arial" w:hAnsi="Arial" w:cs="Arial"/>
          <w:lang w:val="en-US"/>
        </w:rPr>
      </w:pPr>
    </w:p>
    <w:p w14:paraId="25217B73" w14:textId="04DA370B" w:rsidR="0067593F" w:rsidRPr="00312F11" w:rsidRDefault="0067593F" w:rsidP="009A48AC">
      <w:pPr>
        <w:pStyle w:val="Paragraphedeliste"/>
        <w:numPr>
          <w:ilvl w:val="0"/>
          <w:numId w:val="21"/>
        </w:numPr>
        <w:spacing w:line="276" w:lineRule="auto"/>
        <w:jc w:val="both"/>
        <w:rPr>
          <w:rFonts w:ascii="Arial" w:hAnsi="Arial" w:cs="Arial"/>
          <w:lang w:val="en-US"/>
        </w:rPr>
      </w:pPr>
      <w:r w:rsidRPr="0067593F">
        <w:rPr>
          <w:rFonts w:ascii="Arial" w:hAnsi="Arial" w:cs="Arial"/>
          <w:lang w:val="en-US"/>
        </w:rPr>
        <w:lastRenderedPageBreak/>
        <w:t xml:space="preserve">“Energy”: </w:t>
      </w:r>
      <w:r w:rsidRPr="00312F11">
        <w:rPr>
          <w:rFonts w:ascii="Arial" w:hAnsi="Arial" w:cs="Arial"/>
          <w:lang w:val="en-US"/>
        </w:rPr>
        <w:t xml:space="preserve">Manulife Financial (MFC.TO), iShares SP TSX Capped Financial (XFN.TO), BMO Equal Weight Industrials (ZIN.TO), Canadian National Railway Co (CNR.TO), Waste Connections Inc. (WCN.TO), Toromont Industries Ltd. (TIH.TO), </w:t>
      </w:r>
      <w:proofErr w:type="spellStart"/>
      <w:r w:rsidRPr="00312F11">
        <w:rPr>
          <w:rFonts w:ascii="Arial" w:hAnsi="Arial" w:cs="Arial"/>
          <w:lang w:val="en-US"/>
        </w:rPr>
        <w:t>Telus</w:t>
      </w:r>
      <w:proofErr w:type="spellEnd"/>
      <w:r w:rsidRPr="00312F11">
        <w:rPr>
          <w:rFonts w:ascii="Arial" w:hAnsi="Arial" w:cs="Arial"/>
          <w:lang w:val="en-US"/>
        </w:rPr>
        <w:t xml:space="preserve"> International CDA Inc. (TIXT.TO), iShares SP TSX Capped Info Tech (XIT.TO)</w:t>
      </w:r>
    </w:p>
    <w:p w14:paraId="1089AEF7" w14:textId="77777777" w:rsidR="0067593F" w:rsidRPr="0067593F" w:rsidRDefault="0067593F" w:rsidP="009A48AC">
      <w:pPr>
        <w:spacing w:line="276" w:lineRule="auto"/>
        <w:rPr>
          <w:rFonts w:ascii="Arial" w:hAnsi="Arial" w:cs="Arial"/>
          <w:lang w:val="en-US"/>
        </w:rPr>
      </w:pPr>
    </w:p>
    <w:p w14:paraId="168DA3F7" w14:textId="06A3EBD1" w:rsidR="0067593F" w:rsidRPr="009A48AC" w:rsidRDefault="0067593F" w:rsidP="009A48AC">
      <w:pPr>
        <w:pStyle w:val="Paragraphedeliste"/>
        <w:numPr>
          <w:ilvl w:val="0"/>
          <w:numId w:val="21"/>
        </w:numPr>
        <w:spacing w:line="276" w:lineRule="auto"/>
        <w:rPr>
          <w:rFonts w:ascii="Arial" w:hAnsi="Arial" w:cs="Arial"/>
        </w:rPr>
      </w:pPr>
      <w:r w:rsidRPr="054D0CAB">
        <w:rPr>
          <w:rFonts w:ascii="Arial" w:hAnsi="Arial" w:cs="Arial"/>
        </w:rPr>
        <w:t>” Industrials</w:t>
      </w:r>
      <w:proofErr w:type="gramStart"/>
      <w:r w:rsidRPr="0067593F">
        <w:rPr>
          <w:rFonts w:ascii="Arial" w:hAnsi="Arial" w:cs="Arial"/>
        </w:rPr>
        <w:t>” :</w:t>
      </w:r>
      <w:proofErr w:type="gramEnd"/>
      <w:r w:rsidRPr="0067593F">
        <w:rPr>
          <w:rFonts w:ascii="Arial" w:hAnsi="Arial" w:cs="Arial"/>
        </w:rPr>
        <w:t xml:space="preserve"> </w:t>
      </w:r>
      <w:r w:rsidRPr="00312F11">
        <w:rPr>
          <w:rFonts w:ascii="Arial" w:hAnsi="Arial" w:cs="Arial"/>
        </w:rPr>
        <w:t xml:space="preserve">Algonquin Power and Utilities Corp (AQN.TO), Metro Inc. (MRU.TO), Northland Power Inc. (NPI.TO), iShares SP TSX Capped Utilities (XUT.TO), Brookfield Infrastructure Partners L.P. (BIP-UN.TO) </w:t>
      </w:r>
    </w:p>
    <w:p w14:paraId="1FC9730B" w14:textId="7D3E4C20" w:rsidR="00285103" w:rsidRPr="0067593F" w:rsidRDefault="00285103" w:rsidP="009A48AC">
      <w:pPr>
        <w:pStyle w:val="NormalWeb"/>
        <w:spacing w:line="276" w:lineRule="auto"/>
        <w:jc w:val="both"/>
        <w:rPr>
          <w:rFonts w:ascii="Arial" w:hAnsi="Arial" w:cs="Arial"/>
          <w:lang w:val="fr-CA"/>
        </w:rPr>
      </w:pPr>
      <w:r w:rsidRPr="0067593F">
        <w:rPr>
          <w:rFonts w:ascii="Arial" w:hAnsi="Arial" w:cs="Arial"/>
          <w:lang w:val="fr-CA"/>
        </w:rPr>
        <w:t xml:space="preserve">L’optimisation des portefeuilles se fait par la méthode des moindres carrés, qui est utilisée pour minimiser la variance et maximiser le Sharpe ratio tout en respectant des contraintes comme la somme des poids des actifs égale à 1. Une des stratégies, </w:t>
      </w:r>
      <w:r w:rsidRPr="0067593F">
        <w:rPr>
          <w:rStyle w:val="lev"/>
          <w:rFonts w:ascii="Arial" w:eastAsiaTheme="majorEastAsia" w:hAnsi="Arial" w:cs="Arial"/>
          <w:b w:val="0"/>
          <w:bCs w:val="0"/>
          <w:lang w:val="fr-CA"/>
        </w:rPr>
        <w:t>la variance minimale</w:t>
      </w:r>
      <w:r w:rsidRPr="0067593F">
        <w:rPr>
          <w:rFonts w:ascii="Arial" w:hAnsi="Arial" w:cs="Arial"/>
          <w:b/>
          <w:bCs/>
          <w:lang w:val="fr-CA"/>
        </w:rPr>
        <w:t>,</w:t>
      </w:r>
      <w:r w:rsidRPr="0067593F">
        <w:rPr>
          <w:rFonts w:ascii="Arial" w:hAnsi="Arial" w:cs="Arial"/>
          <w:lang w:val="fr-CA"/>
        </w:rPr>
        <w:t xml:space="preserve"> cherche à réduire la volatilité du portefeuille en optimisant les poids des actifs pour minimiser les risques. Une autre stratégie, </w:t>
      </w:r>
      <w:r w:rsidRPr="0067593F">
        <w:rPr>
          <w:rStyle w:val="lev"/>
          <w:rFonts w:ascii="Arial" w:eastAsiaTheme="majorEastAsia" w:hAnsi="Arial" w:cs="Arial"/>
          <w:b w:val="0"/>
          <w:bCs w:val="0"/>
          <w:lang w:val="fr-CA"/>
        </w:rPr>
        <w:t>le Sharpe ratio maximal</w:t>
      </w:r>
      <w:r w:rsidRPr="0067593F">
        <w:rPr>
          <w:rFonts w:ascii="Arial" w:hAnsi="Arial" w:cs="Arial"/>
          <w:b/>
          <w:bCs/>
          <w:lang w:val="fr-CA"/>
        </w:rPr>
        <w:t>,</w:t>
      </w:r>
      <w:r w:rsidRPr="0067593F">
        <w:rPr>
          <w:rFonts w:ascii="Arial" w:hAnsi="Arial" w:cs="Arial"/>
          <w:lang w:val="fr-CA"/>
        </w:rPr>
        <w:t xml:space="preserve"> vise à maximiser le rendement par unité de risque, tandis que la stratégie</w:t>
      </w:r>
      <w:r w:rsidR="0067593F">
        <w:rPr>
          <w:rFonts w:ascii="Arial" w:hAnsi="Arial" w:cs="Arial"/>
          <w:lang w:val="fr-CA"/>
        </w:rPr>
        <w:t xml:space="preserve"> </w:t>
      </w:r>
      <w:proofErr w:type="spellStart"/>
      <w:r w:rsidR="0067593F">
        <w:rPr>
          <w:rFonts w:ascii="Arial" w:hAnsi="Arial" w:cs="Arial"/>
          <w:lang w:val="fr-CA"/>
        </w:rPr>
        <w:t>Expected</w:t>
      </w:r>
      <w:proofErr w:type="spellEnd"/>
      <w:r w:rsidR="0067593F">
        <w:rPr>
          <w:rFonts w:ascii="Arial" w:hAnsi="Arial" w:cs="Arial"/>
          <w:lang w:val="fr-CA"/>
        </w:rPr>
        <w:t xml:space="preserve"> </w:t>
      </w:r>
      <w:proofErr w:type="spellStart"/>
      <w:r w:rsidRPr="0067593F">
        <w:rPr>
          <w:rStyle w:val="lev"/>
          <w:rFonts w:ascii="Arial" w:eastAsiaTheme="majorEastAsia" w:hAnsi="Arial" w:cs="Arial"/>
          <w:b w:val="0"/>
          <w:bCs w:val="0"/>
          <w:lang w:val="fr-CA"/>
        </w:rPr>
        <w:t>Shortfall</w:t>
      </w:r>
      <w:proofErr w:type="spellEnd"/>
      <w:r w:rsidRPr="0067593F">
        <w:rPr>
          <w:rStyle w:val="lev"/>
          <w:rFonts w:ascii="Arial" w:eastAsiaTheme="majorEastAsia" w:hAnsi="Arial" w:cs="Arial"/>
          <w:b w:val="0"/>
          <w:bCs w:val="0"/>
          <w:lang w:val="fr-CA"/>
        </w:rPr>
        <w:t xml:space="preserve"> minimal</w:t>
      </w:r>
      <w:r w:rsidRPr="0067593F">
        <w:rPr>
          <w:rFonts w:ascii="Arial" w:hAnsi="Arial" w:cs="Arial"/>
          <w:lang w:val="fr-CA"/>
        </w:rPr>
        <w:t xml:space="preserve"> s'efforce de limiter les pertes extrêmes en se concentrant sur les pires 5 % des scénarios de marché.</w:t>
      </w:r>
    </w:p>
    <w:p w14:paraId="0E4F3EE5" w14:textId="468E1E73" w:rsidR="00285103" w:rsidRPr="0067593F" w:rsidRDefault="00285103" w:rsidP="009A48AC">
      <w:pPr>
        <w:pStyle w:val="NormalWeb"/>
        <w:spacing w:line="276" w:lineRule="auto"/>
        <w:jc w:val="both"/>
        <w:rPr>
          <w:rFonts w:ascii="Arial" w:hAnsi="Arial" w:cs="Arial"/>
          <w:lang w:val="fr-CA"/>
        </w:rPr>
      </w:pPr>
      <w:r w:rsidRPr="0067593F">
        <w:rPr>
          <w:rFonts w:ascii="Arial" w:hAnsi="Arial" w:cs="Arial"/>
          <w:lang w:val="fr-CA"/>
        </w:rPr>
        <w:t>Le modèle est ensuite validé avec des données de test entre avril 2023 et avril 202</w:t>
      </w:r>
      <w:r w:rsidR="000B0F15">
        <w:rPr>
          <w:rFonts w:ascii="Arial" w:hAnsi="Arial" w:cs="Arial"/>
          <w:lang w:val="fr-CA"/>
        </w:rPr>
        <w:t>4.</w:t>
      </w:r>
      <w:r w:rsidRPr="0067593F">
        <w:rPr>
          <w:rFonts w:ascii="Arial" w:hAnsi="Arial" w:cs="Arial"/>
          <w:lang w:val="fr-CA"/>
        </w:rPr>
        <w:t xml:space="preserve"> À chaque période de rééquilibrage trimestriel, les portefeuilles sont ajustés pour simuler une gestion dynamique et en temps réel. Le montant initial attribué à chaque portefeuille est identique à celui du portefeuille de </w:t>
      </w:r>
      <w:proofErr w:type="spellStart"/>
      <w:r w:rsidRPr="0067593F">
        <w:rPr>
          <w:rStyle w:val="lev"/>
          <w:rFonts w:ascii="Arial" w:eastAsiaTheme="majorEastAsia" w:hAnsi="Arial" w:cs="Arial"/>
          <w:b w:val="0"/>
          <w:bCs w:val="0"/>
          <w:lang w:val="fr-CA"/>
        </w:rPr>
        <w:t>PolyFinances</w:t>
      </w:r>
      <w:proofErr w:type="spellEnd"/>
      <w:r w:rsidRPr="0067593F">
        <w:rPr>
          <w:rFonts w:ascii="Arial" w:hAnsi="Arial" w:cs="Arial"/>
          <w:lang w:val="fr-CA"/>
        </w:rPr>
        <w:t xml:space="preserve"> au 11 avril 2023, soit 812 859 $. L'argent est réparti dans chaque actif selon les poids obtenus lors de l'optimisation. À chaque trimestre, les portefeuilles sont rééquilibrés pour simuler une gestion réelle du portefeuille. L'évaluation des portefeuilles se fait sur la base de plusieurs critères : l’évolution de la valeur des portefeuilles entre 2023 et 2025, incluant le portefeuille de</w:t>
      </w:r>
      <w:r w:rsidRPr="0067593F">
        <w:rPr>
          <w:rFonts w:ascii="Arial" w:hAnsi="Arial" w:cs="Arial"/>
          <w:b/>
          <w:bCs/>
          <w:lang w:val="fr-CA"/>
        </w:rPr>
        <w:t xml:space="preserve"> </w:t>
      </w:r>
      <w:proofErr w:type="spellStart"/>
      <w:r w:rsidRPr="0067593F">
        <w:rPr>
          <w:rStyle w:val="lev"/>
          <w:rFonts w:ascii="Arial" w:eastAsiaTheme="majorEastAsia" w:hAnsi="Arial" w:cs="Arial"/>
          <w:b w:val="0"/>
          <w:bCs w:val="0"/>
          <w:lang w:val="fr-CA"/>
        </w:rPr>
        <w:t>PolyFinances</w:t>
      </w:r>
      <w:proofErr w:type="spellEnd"/>
      <w:r w:rsidRPr="0067593F">
        <w:rPr>
          <w:rFonts w:ascii="Arial" w:hAnsi="Arial" w:cs="Arial"/>
          <w:lang w:val="fr-CA"/>
        </w:rPr>
        <w:t xml:space="preserve">, le rendement annuel moyen, la volatilité, le ratio rendement/risque, le maximum </w:t>
      </w:r>
      <w:proofErr w:type="spellStart"/>
      <w:r w:rsidRPr="0067593F">
        <w:rPr>
          <w:rFonts w:ascii="Arial" w:hAnsi="Arial" w:cs="Arial"/>
          <w:lang w:val="fr-CA"/>
        </w:rPr>
        <w:t>drawdown</w:t>
      </w:r>
      <w:proofErr w:type="spellEnd"/>
      <w:r w:rsidRPr="0067593F">
        <w:rPr>
          <w:rFonts w:ascii="Arial" w:hAnsi="Arial" w:cs="Arial"/>
          <w:lang w:val="fr-CA"/>
        </w:rPr>
        <w:t xml:space="preserve"> (perte maximale subie par le portefeuille), ainsi que la comparaison des secteurs.</w:t>
      </w:r>
    </w:p>
    <w:p w14:paraId="148F6740" w14:textId="77777777" w:rsidR="00927654" w:rsidRDefault="00285103" w:rsidP="00892507">
      <w:pPr>
        <w:pStyle w:val="NormalWeb"/>
        <w:spacing w:line="276" w:lineRule="auto"/>
        <w:jc w:val="both"/>
        <w:rPr>
          <w:rFonts w:ascii="Arial" w:hAnsi="Arial" w:cs="Arial"/>
          <w:lang w:val="fr-CA"/>
        </w:rPr>
      </w:pPr>
      <w:r w:rsidRPr="0067593F">
        <w:rPr>
          <w:rFonts w:ascii="Arial" w:hAnsi="Arial" w:cs="Arial"/>
          <w:lang w:val="fr-CA"/>
        </w:rPr>
        <w:t>Les résultats sont présentés sous forme graphique afin d'analyser l’évolution des portefeuilles et d’évaluer les rendements, la gestion des risques et la performance sectorielle. Cette analyse permet d’ajuster les stratégies en fonction des résultats obtenus et de mieux comprendre l'impact des différentes approches d'optimisation. Grâce à cette méthodologie rigoureuse, le projet peut être étendu et appliqué dans un cadre professionnel, en intégrant des critères environnementaux, sociaux et de gouvernance (ESG) pour répondre aux besoins des investisseurs modernes.</w:t>
      </w:r>
    </w:p>
    <w:p w14:paraId="0AA97F8E" w14:textId="703AA316" w:rsidR="00A21016" w:rsidRPr="0067593F" w:rsidRDefault="00285103" w:rsidP="00892507">
      <w:pPr>
        <w:pStyle w:val="NormalWeb"/>
        <w:spacing w:line="276" w:lineRule="auto"/>
        <w:jc w:val="both"/>
        <w:rPr>
          <w:rFonts w:ascii="Arial" w:hAnsi="Arial" w:cs="Arial"/>
          <w:lang w:val="fr-CA"/>
        </w:rPr>
      </w:pPr>
      <w:r w:rsidRPr="0067593F">
        <w:rPr>
          <w:rFonts w:ascii="Arial" w:hAnsi="Arial" w:cs="Arial"/>
          <w:lang w:val="fr-CA"/>
        </w:rPr>
        <w:lastRenderedPageBreak/>
        <w:t xml:space="preserve">En résumé, cette méthodologie d’optimisation du portefeuille repose sur une combinaison d’outils statistiques puissants et de processus d’automatisation, tout en restant adaptable à des applications professionnelles. </w:t>
      </w:r>
    </w:p>
    <w:p w14:paraId="62B0601A" w14:textId="541FCFDC" w:rsidR="00442ECC" w:rsidRPr="00E52ECA" w:rsidRDefault="000B0F15" w:rsidP="009A48AC">
      <w:pPr>
        <w:pStyle w:val="Titre1"/>
        <w:spacing w:line="276" w:lineRule="auto"/>
        <w:jc w:val="both"/>
        <w:rPr>
          <w:rFonts w:ascii="Arial" w:hAnsi="Arial" w:cs="Arial"/>
          <w:lang w:val="fr-CA"/>
        </w:rPr>
      </w:pPr>
      <w:bookmarkStart w:id="8" w:name="_Toc598057227"/>
      <w:bookmarkStart w:id="9" w:name="_Toc300396015"/>
      <w:bookmarkStart w:id="10" w:name="_Toc199594606"/>
      <w:r>
        <w:rPr>
          <w:rFonts w:ascii="Arial" w:hAnsi="Arial" w:cs="Arial"/>
          <w:lang w:val="fr-CA"/>
        </w:rPr>
        <w:t>3.</w:t>
      </w:r>
      <w:r w:rsidR="00FD5647" w:rsidRPr="00E52ECA">
        <w:rPr>
          <w:rFonts w:ascii="Arial" w:hAnsi="Arial" w:cs="Arial"/>
          <w:lang w:val="fr-CA"/>
        </w:rPr>
        <w:t xml:space="preserve"> </w:t>
      </w:r>
      <w:bookmarkEnd w:id="8"/>
      <w:bookmarkEnd w:id="9"/>
      <w:r w:rsidR="00BB191F">
        <w:rPr>
          <w:rFonts w:ascii="Arial" w:hAnsi="Arial" w:cs="Arial"/>
          <w:lang w:val="fr-CA"/>
        </w:rPr>
        <w:t>Principaux résultats</w:t>
      </w:r>
      <w:bookmarkEnd w:id="10"/>
    </w:p>
    <w:p w14:paraId="2F2D4770" w14:textId="0244C5F8" w:rsidR="00C43206" w:rsidRPr="00E52ECA" w:rsidRDefault="000B0F15" w:rsidP="009A48AC">
      <w:pPr>
        <w:pStyle w:val="Titre2"/>
        <w:spacing w:after="240" w:line="276" w:lineRule="auto"/>
        <w:rPr>
          <w:rFonts w:ascii="Arial" w:hAnsi="Arial" w:cs="Arial"/>
          <w:lang w:val="fr-CA"/>
        </w:rPr>
      </w:pPr>
      <w:bookmarkStart w:id="11" w:name="_Toc1498114870"/>
      <w:bookmarkStart w:id="12" w:name="_Toc329694907"/>
      <w:bookmarkStart w:id="13" w:name="_Toc199594607"/>
      <w:r>
        <w:rPr>
          <w:rFonts w:ascii="Arial" w:hAnsi="Arial" w:cs="Arial"/>
          <w:lang w:val="fr-CA"/>
        </w:rPr>
        <w:t>3.</w:t>
      </w:r>
      <w:r w:rsidR="00E77064" w:rsidRPr="009A48AC">
        <w:rPr>
          <w:rFonts w:ascii="Arial" w:hAnsi="Arial" w:cs="Arial"/>
          <w:lang w:val="fr-CA"/>
        </w:rPr>
        <w:t xml:space="preserve">1 </w:t>
      </w:r>
      <w:bookmarkEnd w:id="11"/>
      <w:bookmarkEnd w:id="12"/>
      <w:r w:rsidR="00340F56" w:rsidRPr="009A48AC">
        <w:rPr>
          <w:rFonts w:ascii="Arial" w:hAnsi="Arial" w:cs="Arial"/>
          <w:lang w:val="fr-CA"/>
        </w:rPr>
        <w:t>Tendance générale du portefeuille</w:t>
      </w:r>
      <w:bookmarkEnd w:id="13"/>
    </w:p>
    <w:p w14:paraId="0737D993" w14:textId="7D176F82" w:rsidR="0012423A" w:rsidRPr="009A48AC" w:rsidRDefault="00440F02" w:rsidP="009A48AC">
      <w:pPr>
        <w:keepNext/>
        <w:spacing w:after="240" w:line="276" w:lineRule="auto"/>
        <w:jc w:val="both"/>
        <w:rPr>
          <w:rFonts w:ascii="Arial" w:hAnsi="Arial" w:cs="Arial"/>
          <w:lang w:val="fr-CA"/>
        </w:rPr>
      </w:pPr>
      <w:r w:rsidRPr="009A48AC">
        <w:rPr>
          <w:rFonts w:ascii="Arial" w:hAnsi="Arial" w:cs="Arial"/>
          <w:lang w:val="fr-CA"/>
        </w:rPr>
        <w:t xml:space="preserve">L’évaluation historique du portefeuille de </w:t>
      </w:r>
      <w:proofErr w:type="spellStart"/>
      <w:r w:rsidRPr="009A48AC">
        <w:rPr>
          <w:rFonts w:ascii="Arial" w:hAnsi="Arial" w:cs="Arial"/>
          <w:lang w:val="fr-CA"/>
        </w:rPr>
        <w:t>PolyFinances</w:t>
      </w:r>
      <w:proofErr w:type="spellEnd"/>
      <w:r w:rsidRPr="009A48AC">
        <w:rPr>
          <w:rFonts w:ascii="Arial" w:hAnsi="Arial" w:cs="Arial"/>
          <w:lang w:val="fr-CA"/>
        </w:rPr>
        <w:t xml:space="preserve"> sur la période de 2019 à 2025 permet de dégager une tendance générale très positive, marquée par une progression régulière de la valeur totale du portefeuille. En effet, celui-ci est passé d’environ 45 000 $ à près de 100 000 $, doublant ainsi sa valeur en l’espace de six ans. Cette croissance est le reflet d’une gestion prudente mais stratégique, fondée sur une allocation sectorielle diversifiée et une discipline d’investissement rigoureuse. Ce constat est d’autant plus remarquable qu’il s’inscrit dans un contexte économique volatil, marqué par des crises sanitaires, géopolitiques et inflationnistes.</w:t>
      </w:r>
    </w:p>
    <w:p w14:paraId="3D59F6D4" w14:textId="1FC7B96D" w:rsidR="00440F02" w:rsidRPr="009A48AC" w:rsidRDefault="00420691" w:rsidP="009A48AC">
      <w:pPr>
        <w:keepNext/>
        <w:spacing w:after="240"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3D5304D9" wp14:editId="1F876BF1">
            <wp:extent cx="5181600" cy="2374900"/>
            <wp:effectExtent l="0" t="0" r="0" b="0"/>
            <wp:docPr id="193728081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80813" name="Picture 1" descr="A graph with blue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181600" cy="2374900"/>
                    </a:xfrm>
                    <a:prstGeom prst="rect">
                      <a:avLst/>
                    </a:prstGeom>
                  </pic:spPr>
                </pic:pic>
              </a:graphicData>
            </a:graphic>
          </wp:inline>
        </w:drawing>
      </w:r>
    </w:p>
    <w:p w14:paraId="57F1BB65" w14:textId="6B509B79" w:rsidR="00420691" w:rsidRPr="009A48AC" w:rsidRDefault="0012423A" w:rsidP="009A48AC">
      <w:pPr>
        <w:pStyle w:val="Lgende"/>
        <w:spacing w:line="276" w:lineRule="auto"/>
        <w:jc w:val="center"/>
        <w:rPr>
          <w:rFonts w:ascii="Arial" w:hAnsi="Arial" w:cs="Arial"/>
          <w:lang w:val="fr-CA"/>
        </w:rPr>
      </w:pPr>
      <w:bookmarkStart w:id="14" w:name="_Toc196918533"/>
      <w:bookmarkStart w:id="15" w:name="_Toc196950597"/>
      <w:bookmarkStart w:id="16" w:name="_Toc184151944"/>
      <w:r w:rsidRPr="009A48AC">
        <w:rPr>
          <w:rFonts w:ascii="Arial" w:hAnsi="Arial" w:cs="Arial"/>
          <w:lang w:val="fr-CA"/>
        </w:rPr>
        <w:t xml:space="preserve">Figure </w:t>
      </w:r>
      <w:r w:rsidRPr="009A48AC">
        <w:rPr>
          <w:rFonts w:ascii="Arial" w:hAnsi="Arial" w:cs="Arial"/>
        </w:rPr>
        <w:fldChar w:fldCharType="begin"/>
      </w:r>
      <w:r w:rsidRPr="009A48AC">
        <w:rPr>
          <w:rFonts w:ascii="Arial" w:hAnsi="Arial" w:cs="Arial"/>
          <w:lang w:val="fr-CA"/>
        </w:rPr>
        <w:instrText xml:space="preserve"> SEQ Figure \* ARABIC </w:instrText>
      </w:r>
      <w:r w:rsidRPr="009A48AC">
        <w:rPr>
          <w:rFonts w:ascii="Arial" w:hAnsi="Arial" w:cs="Arial"/>
        </w:rPr>
        <w:fldChar w:fldCharType="separate"/>
      </w:r>
      <w:r w:rsidR="00036C78">
        <w:rPr>
          <w:rFonts w:ascii="Arial" w:hAnsi="Arial" w:cs="Arial"/>
          <w:noProof/>
          <w:lang w:val="fr-CA"/>
        </w:rPr>
        <w:t>1</w:t>
      </w:r>
      <w:r w:rsidRPr="009A48AC">
        <w:rPr>
          <w:rFonts w:ascii="Arial" w:hAnsi="Arial" w:cs="Arial"/>
        </w:rPr>
        <w:fldChar w:fldCharType="end"/>
      </w:r>
      <w:r w:rsidRPr="009A48AC">
        <w:rPr>
          <w:rFonts w:ascii="Arial" w:hAnsi="Arial" w:cs="Arial"/>
          <w:lang w:val="fr-CA"/>
        </w:rPr>
        <w:t xml:space="preserve"> </w:t>
      </w:r>
      <w:r w:rsidR="00420691" w:rsidRPr="009A48AC">
        <w:rPr>
          <w:rFonts w:ascii="Arial" w:hAnsi="Arial" w:cs="Arial"/>
          <w:lang w:val="fr-CA"/>
        </w:rPr>
        <w:t>–</w:t>
      </w:r>
      <w:r w:rsidRPr="009A48AC">
        <w:rPr>
          <w:rFonts w:ascii="Arial" w:hAnsi="Arial" w:cs="Arial"/>
          <w:lang w:val="fr-CA"/>
        </w:rPr>
        <w:t xml:space="preserve"> </w:t>
      </w:r>
      <w:r w:rsidR="00420691" w:rsidRPr="009A48AC">
        <w:rPr>
          <w:rFonts w:ascii="Arial" w:hAnsi="Arial" w:cs="Arial"/>
          <w:lang w:val="fr-CA"/>
        </w:rPr>
        <w:t>Évolution de la valeur du portefeuille global</w:t>
      </w:r>
      <w:bookmarkEnd w:id="14"/>
      <w:bookmarkEnd w:id="15"/>
    </w:p>
    <w:p w14:paraId="12C28534" w14:textId="77777777" w:rsidR="007022FA" w:rsidRPr="009A48AC" w:rsidRDefault="007022FA" w:rsidP="007B08DE">
      <w:pPr>
        <w:jc w:val="both"/>
        <w:rPr>
          <w:rFonts w:ascii="Arial" w:hAnsi="Arial" w:cs="Arial"/>
          <w:lang w:val="fr-CA"/>
        </w:rPr>
      </w:pPr>
      <w:bookmarkStart w:id="17" w:name="_Toc1964586650"/>
      <w:bookmarkStart w:id="18" w:name="_Toc1446881860"/>
      <w:r w:rsidRPr="007B08DE">
        <w:rPr>
          <w:rFonts w:asciiTheme="minorBidi" w:hAnsiTheme="minorBidi" w:cstheme="minorBidi"/>
          <w:lang w:val="fr-CA"/>
        </w:rPr>
        <w:t>Le graphique ci-dessus illustre clairement cette croissance soutenue. On y observe une trajectoire haussière, interrompue uniquement par des phases de repli temporaire. La plus marquante survient en 2020, lors du déclenchement de la pandémie de COVID-19, qui a provoqué une chute abrupte des marchés. Malgré cette correction violente, le portefeuille a su rebondir rapidement, reprenant sa trajectoire ascendante dès la fin de l’année.</w:t>
      </w:r>
    </w:p>
    <w:p w14:paraId="7EF32AC8" w14:textId="6A354759" w:rsidR="007022FA" w:rsidRPr="009A48AC" w:rsidRDefault="007022FA" w:rsidP="009A48AC">
      <w:pPr>
        <w:spacing w:line="276" w:lineRule="auto"/>
        <w:jc w:val="center"/>
        <w:rPr>
          <w:rFonts w:ascii="Arial" w:hAnsi="Arial" w:cs="Arial"/>
          <w:lang w:val="fr-CA"/>
        </w:rPr>
      </w:pPr>
      <w:r w:rsidRPr="009A48AC">
        <w:rPr>
          <w:rFonts w:ascii="Arial" w:hAnsi="Arial" w:cs="Arial"/>
          <w:noProof/>
          <w:lang w:val="fr-CA"/>
          <w14:ligatures w14:val="standardContextual"/>
        </w:rPr>
        <w:lastRenderedPageBreak/>
        <w:drawing>
          <wp:inline distT="0" distB="0" distL="0" distR="0" wp14:anchorId="1745A637" wp14:editId="4223E397">
            <wp:extent cx="5080000" cy="2095500"/>
            <wp:effectExtent l="0" t="0" r="0" b="0"/>
            <wp:docPr id="1490375824" name="Picture 2"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75824" name="Picture 2" descr="A graph with red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080000" cy="2095500"/>
                    </a:xfrm>
                    <a:prstGeom prst="rect">
                      <a:avLst/>
                    </a:prstGeom>
                  </pic:spPr>
                </pic:pic>
              </a:graphicData>
            </a:graphic>
          </wp:inline>
        </w:drawing>
      </w:r>
    </w:p>
    <w:p w14:paraId="7E6ECE10" w14:textId="283012CB" w:rsidR="007022FA" w:rsidRPr="009A48AC" w:rsidRDefault="007022FA" w:rsidP="00335D94">
      <w:pPr>
        <w:pStyle w:val="Lgende"/>
        <w:ind w:left="2160" w:firstLine="720"/>
        <w:rPr>
          <w:rFonts w:ascii="Arial" w:hAnsi="Arial" w:cs="Arial"/>
          <w:lang w:val="fr-CA"/>
        </w:rPr>
      </w:pPr>
      <w:bookmarkStart w:id="19" w:name="_Toc196918534"/>
      <w:bookmarkStart w:id="20" w:name="_Toc196950598"/>
      <w:r w:rsidRPr="00335D94">
        <w:rPr>
          <w:lang w:val="fr-FR"/>
        </w:rPr>
        <w:t xml:space="preserve">Figure </w:t>
      </w:r>
      <w:r w:rsidR="00335D94">
        <w:fldChar w:fldCharType="begin"/>
      </w:r>
      <w:r w:rsidR="00335D94" w:rsidRPr="00335D94">
        <w:rPr>
          <w:lang w:val="fr-FR"/>
        </w:rPr>
        <w:instrText xml:space="preserve"> SEQ Figure \* ARABIC </w:instrText>
      </w:r>
      <w:r w:rsidR="00335D94">
        <w:fldChar w:fldCharType="separate"/>
      </w:r>
      <w:r w:rsidR="00036C78">
        <w:rPr>
          <w:noProof/>
          <w:lang w:val="fr-FR"/>
        </w:rPr>
        <w:t>2</w:t>
      </w:r>
      <w:r w:rsidR="00335D94">
        <w:fldChar w:fldCharType="end"/>
      </w:r>
      <w:r w:rsidR="002A5E1C" w:rsidRPr="002A5E1C">
        <w:rPr>
          <w:lang w:val="fr-CA"/>
        </w:rPr>
        <w:t>-</w:t>
      </w:r>
      <w:r w:rsidRPr="009A48AC">
        <w:rPr>
          <w:rFonts w:ascii="Arial" w:hAnsi="Arial" w:cs="Arial"/>
          <w:lang w:val="fr-CA"/>
        </w:rPr>
        <w:t xml:space="preserve"> </w:t>
      </w:r>
      <w:proofErr w:type="spellStart"/>
      <w:r w:rsidRPr="00335D94">
        <w:rPr>
          <w:lang w:val="fr-FR"/>
        </w:rPr>
        <w:t>Drawdown</w:t>
      </w:r>
      <w:proofErr w:type="spellEnd"/>
      <w:r w:rsidRPr="00335D94">
        <w:rPr>
          <w:lang w:val="fr-FR"/>
        </w:rPr>
        <w:t xml:space="preserve"> du portefeuille (pertes maximales)</w:t>
      </w:r>
      <w:bookmarkEnd w:id="19"/>
      <w:bookmarkEnd w:id="20"/>
    </w:p>
    <w:p w14:paraId="4127B345" w14:textId="5A653FFD" w:rsidR="007022FA" w:rsidRPr="009A48AC" w:rsidRDefault="000D1B86" w:rsidP="009A48AC">
      <w:pPr>
        <w:spacing w:line="276" w:lineRule="auto"/>
        <w:jc w:val="both"/>
        <w:rPr>
          <w:rFonts w:ascii="Arial" w:hAnsi="Arial" w:cs="Arial"/>
          <w:lang w:val="fr-CA"/>
        </w:rPr>
      </w:pPr>
      <w:r w:rsidRPr="009A48AC">
        <w:rPr>
          <w:rFonts w:ascii="Arial" w:hAnsi="Arial" w:cs="Arial"/>
          <w:lang w:val="fr-CA"/>
        </w:rPr>
        <w:t xml:space="preserve">Ce second graphique montre les pertes maximales observées à chaque instant relativement aux sommets précédents. Le </w:t>
      </w:r>
      <w:proofErr w:type="spellStart"/>
      <w:r w:rsidRPr="009A48AC">
        <w:rPr>
          <w:rFonts w:ascii="Arial" w:hAnsi="Arial" w:cs="Arial"/>
          <w:lang w:val="fr-CA"/>
        </w:rPr>
        <w:t>drawdown</w:t>
      </w:r>
      <w:proofErr w:type="spellEnd"/>
      <w:r w:rsidRPr="009A48AC">
        <w:rPr>
          <w:rFonts w:ascii="Arial" w:hAnsi="Arial" w:cs="Arial"/>
          <w:lang w:val="fr-CA"/>
        </w:rPr>
        <w:t xml:space="preserve"> de près de -40 % en 2020 est le plus sévère, mais il est suivi d’une phase de récupération rapide et durable. Les baisses ultérieures sont nettement moins prononcées, ce qui souligne la résilience du portefeuille face aux chocs de marché. Cette capacité à se redresser après une crise témoigne de la solidité de la stratégie sous-jacente et de la pertinence de la sélection d’actifs.</w:t>
      </w:r>
    </w:p>
    <w:p w14:paraId="1E488131" w14:textId="77777777" w:rsidR="000D1B86" w:rsidRPr="009A48AC" w:rsidRDefault="000D1B86" w:rsidP="009A48AC">
      <w:pPr>
        <w:spacing w:line="276" w:lineRule="auto"/>
        <w:jc w:val="both"/>
        <w:rPr>
          <w:rFonts w:ascii="Arial" w:hAnsi="Arial" w:cs="Arial"/>
          <w:lang w:val="fr-CA"/>
        </w:rPr>
      </w:pPr>
    </w:p>
    <w:p w14:paraId="7B9E35C2" w14:textId="6510C8CA" w:rsidR="000D1B86" w:rsidRPr="009A48AC" w:rsidRDefault="00112AEE" w:rsidP="009A48AC">
      <w:pPr>
        <w:spacing w:line="276" w:lineRule="auto"/>
        <w:jc w:val="center"/>
        <w:rPr>
          <w:rFonts w:ascii="Arial" w:hAnsi="Arial" w:cs="Arial"/>
          <w:lang w:val="fr-CA"/>
        </w:rPr>
      </w:pPr>
      <w:r w:rsidRPr="009A48AC">
        <w:rPr>
          <w:rFonts w:ascii="Arial" w:hAnsi="Arial" w:cs="Arial"/>
          <w:noProof/>
          <w:lang w:val="fr-CA"/>
        </w:rPr>
        <w:drawing>
          <wp:inline distT="0" distB="0" distL="0" distR="0" wp14:anchorId="1707F0FB" wp14:editId="221FB045">
            <wp:extent cx="5041900" cy="2387600"/>
            <wp:effectExtent l="0" t="0" r="0" b="0"/>
            <wp:docPr id="795859787" name="Picture 1"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9787" name="Picture 1" descr="A graph with blue lines and a blue line&#10;&#10;AI-generated content may be incorrect."/>
                    <pic:cNvPicPr/>
                  </pic:nvPicPr>
                  <pic:blipFill>
                    <a:blip r:embed="rId14"/>
                    <a:stretch>
                      <a:fillRect/>
                    </a:stretch>
                  </pic:blipFill>
                  <pic:spPr>
                    <a:xfrm>
                      <a:off x="0" y="0"/>
                      <a:ext cx="5041900" cy="2387600"/>
                    </a:xfrm>
                    <a:prstGeom prst="rect">
                      <a:avLst/>
                    </a:prstGeom>
                  </pic:spPr>
                </pic:pic>
              </a:graphicData>
            </a:graphic>
          </wp:inline>
        </w:drawing>
      </w:r>
    </w:p>
    <w:p w14:paraId="066137B6" w14:textId="2C089695" w:rsidR="00E65E20" w:rsidRPr="00BD6D60" w:rsidRDefault="00E57E6B" w:rsidP="004E5208">
      <w:pPr>
        <w:pStyle w:val="Lgende"/>
        <w:ind w:left="2160" w:firstLine="720"/>
        <w:rPr>
          <w:rFonts w:ascii="Arial" w:hAnsi="Arial" w:cs="Arial"/>
          <w:lang w:val="fr-FR"/>
        </w:rPr>
      </w:pPr>
      <w:bookmarkStart w:id="21" w:name="_Toc196918535"/>
      <w:bookmarkStart w:id="22" w:name="_Toc196950599"/>
      <w:r w:rsidRPr="004E5208">
        <w:rPr>
          <w:lang w:val="fr-FR"/>
        </w:rPr>
        <w:t xml:space="preserve">Figure </w:t>
      </w:r>
      <w:r w:rsidR="004E5208">
        <w:fldChar w:fldCharType="begin"/>
      </w:r>
      <w:r w:rsidR="004E5208" w:rsidRPr="004E5208">
        <w:rPr>
          <w:lang w:val="fr-FR"/>
        </w:rPr>
        <w:instrText xml:space="preserve"> SEQ Figure \* ARABIC </w:instrText>
      </w:r>
      <w:r w:rsidR="004E5208">
        <w:fldChar w:fldCharType="separate"/>
      </w:r>
      <w:r w:rsidR="00036C78">
        <w:rPr>
          <w:noProof/>
          <w:lang w:val="fr-FR"/>
        </w:rPr>
        <w:t>3</w:t>
      </w:r>
      <w:r w:rsidR="004E5208">
        <w:fldChar w:fldCharType="end"/>
      </w:r>
      <w:r w:rsidR="002A5E1C">
        <w:rPr>
          <w:lang w:val="fr-FR"/>
        </w:rPr>
        <w:t xml:space="preserve"> - </w:t>
      </w:r>
      <w:r w:rsidR="00E65E20" w:rsidRPr="004E5208">
        <w:rPr>
          <w:lang w:val="fr-FR"/>
        </w:rPr>
        <w:t>Distribution des rendements mensuels</w:t>
      </w:r>
      <w:bookmarkEnd w:id="21"/>
      <w:bookmarkEnd w:id="22"/>
    </w:p>
    <w:p w14:paraId="5E5A51D4" w14:textId="77777777" w:rsidR="00112AEE" w:rsidRPr="009A48AC" w:rsidRDefault="00112AEE" w:rsidP="009A48AC">
      <w:pPr>
        <w:spacing w:line="276" w:lineRule="auto"/>
        <w:rPr>
          <w:rFonts w:ascii="Arial" w:hAnsi="Arial" w:cs="Arial"/>
          <w:lang w:val="fr-CA"/>
        </w:rPr>
      </w:pPr>
    </w:p>
    <w:p w14:paraId="4FB81240" w14:textId="10668D92" w:rsidR="00112AEE" w:rsidRPr="009A48AC" w:rsidRDefault="00112AEE" w:rsidP="009A48AC">
      <w:pPr>
        <w:spacing w:line="276" w:lineRule="auto"/>
        <w:jc w:val="both"/>
        <w:rPr>
          <w:rFonts w:ascii="Arial" w:hAnsi="Arial" w:cs="Arial"/>
          <w:lang w:val="fr-CA"/>
        </w:rPr>
      </w:pPr>
      <w:r w:rsidRPr="009A48AC">
        <w:rPr>
          <w:rFonts w:ascii="Arial" w:hAnsi="Arial" w:cs="Arial"/>
          <w:lang w:val="fr-CA"/>
        </w:rPr>
        <w:t>En analysant la distribution des rendements mensuels, on constate une forme légèrement asymétrique, avec une concentration importante des rendements entre 0 % et 5 %. Cela signifie que la majorité des mois sont rentables, tout en laissant place à des épisodes de pertes plus rares mais potentiellement significatifs. Cette répartition traduit un bon compromis entre performance et gestion du risque, avec un portefeuille calibré pour offrir des rendements réguliers tout en absorbant une certaine dose de volatilité.</w:t>
      </w:r>
    </w:p>
    <w:p w14:paraId="446DAF62" w14:textId="77777777" w:rsidR="00112AEE" w:rsidRPr="009A48AC" w:rsidRDefault="00112AEE" w:rsidP="009A48AC">
      <w:pPr>
        <w:spacing w:line="276" w:lineRule="auto"/>
        <w:jc w:val="both"/>
        <w:rPr>
          <w:rFonts w:ascii="Arial" w:hAnsi="Arial" w:cs="Arial"/>
          <w:lang w:val="fr-CA"/>
        </w:rPr>
      </w:pPr>
    </w:p>
    <w:p w14:paraId="4D226B1D" w14:textId="00BDBECE" w:rsidR="00112AEE" w:rsidRPr="009A48AC" w:rsidRDefault="00A47EFA" w:rsidP="009A48AC">
      <w:pPr>
        <w:spacing w:line="276" w:lineRule="auto"/>
        <w:jc w:val="center"/>
        <w:rPr>
          <w:rFonts w:ascii="Arial" w:hAnsi="Arial" w:cs="Arial"/>
          <w:lang w:val="fr-CA"/>
        </w:rPr>
      </w:pPr>
      <w:r w:rsidRPr="009A48AC">
        <w:rPr>
          <w:rFonts w:ascii="Arial" w:hAnsi="Arial" w:cs="Arial"/>
          <w:noProof/>
          <w:lang w:val="fr-CA"/>
          <w14:ligatures w14:val="standardContextual"/>
        </w:rPr>
        <w:lastRenderedPageBreak/>
        <w:drawing>
          <wp:inline distT="0" distB="0" distL="0" distR="0" wp14:anchorId="0A4D9F35" wp14:editId="23C5C401">
            <wp:extent cx="4876800" cy="2362200"/>
            <wp:effectExtent l="0" t="0" r="0" b="0"/>
            <wp:docPr id="1423587107" name="Picture 3"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7107" name="Picture 3" descr="A graph showing different colored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76800" cy="2362200"/>
                    </a:xfrm>
                    <a:prstGeom prst="rect">
                      <a:avLst/>
                    </a:prstGeom>
                  </pic:spPr>
                </pic:pic>
              </a:graphicData>
            </a:graphic>
          </wp:inline>
        </w:drawing>
      </w:r>
    </w:p>
    <w:p w14:paraId="2F920E88" w14:textId="417FDC50" w:rsidR="00A47EFA" w:rsidRPr="009A48AC" w:rsidRDefault="00E65E20" w:rsidP="004E5208">
      <w:pPr>
        <w:pStyle w:val="Lgende"/>
        <w:ind w:left="2160" w:firstLine="720"/>
        <w:rPr>
          <w:rFonts w:ascii="Arial" w:hAnsi="Arial" w:cs="Arial"/>
          <w:lang w:val="fr-CA"/>
        </w:rPr>
      </w:pPr>
      <w:bookmarkStart w:id="23" w:name="_Toc196918536"/>
      <w:bookmarkStart w:id="24" w:name="_Toc196950600"/>
      <w:r w:rsidRPr="004E5208">
        <w:rPr>
          <w:lang w:val="fr-FR"/>
        </w:rPr>
        <w:t xml:space="preserve">Figure </w:t>
      </w:r>
      <w:r w:rsidR="004E5208" w:rsidRPr="004E5208">
        <w:rPr>
          <w:lang w:val="fr-FR"/>
        </w:rPr>
        <w:fldChar w:fldCharType="begin"/>
      </w:r>
      <w:r w:rsidR="004E5208" w:rsidRPr="004E5208">
        <w:rPr>
          <w:lang w:val="fr-FR"/>
        </w:rPr>
        <w:instrText xml:space="preserve"> SEQ Figure \* ARABIC </w:instrText>
      </w:r>
      <w:r w:rsidR="004E5208" w:rsidRPr="004E5208">
        <w:rPr>
          <w:lang w:val="fr-FR"/>
        </w:rPr>
        <w:fldChar w:fldCharType="separate"/>
      </w:r>
      <w:r w:rsidR="00036C78">
        <w:rPr>
          <w:noProof/>
          <w:lang w:val="fr-FR"/>
        </w:rPr>
        <w:t>4</w:t>
      </w:r>
      <w:r w:rsidR="004E5208" w:rsidRPr="004E5208">
        <w:rPr>
          <w:lang w:val="fr-FR"/>
        </w:rPr>
        <w:fldChar w:fldCharType="end"/>
      </w:r>
      <w:r w:rsidR="002A5E1C">
        <w:rPr>
          <w:lang w:val="fr-FR"/>
        </w:rPr>
        <w:t xml:space="preserve"> - </w:t>
      </w:r>
      <w:r w:rsidRPr="004E5208">
        <w:rPr>
          <w:lang w:val="fr-FR"/>
        </w:rPr>
        <w:t>Contribution sectorielle à la valeur du portefeuille</w:t>
      </w:r>
      <w:bookmarkEnd w:id="23"/>
      <w:bookmarkEnd w:id="24"/>
    </w:p>
    <w:p w14:paraId="424F3F41" w14:textId="06268495" w:rsidR="00A47EFA" w:rsidRPr="009A48AC" w:rsidRDefault="00A47EFA" w:rsidP="009A48AC">
      <w:pPr>
        <w:spacing w:line="276" w:lineRule="auto"/>
        <w:jc w:val="both"/>
        <w:rPr>
          <w:rFonts w:ascii="Arial" w:hAnsi="Arial" w:cs="Arial"/>
          <w:lang w:val="fr-CA"/>
        </w:rPr>
      </w:pPr>
      <w:r w:rsidRPr="009A48AC">
        <w:rPr>
          <w:rFonts w:ascii="Arial" w:hAnsi="Arial" w:cs="Arial"/>
          <w:lang w:val="fr-CA"/>
        </w:rPr>
        <w:t xml:space="preserve">Ce dernier graphique montre l’évolution de la contribution de chaque secteur à la valeur globale du portefeuille. Les secteurs Financiers (en rouge) et </w:t>
      </w:r>
      <w:proofErr w:type="spellStart"/>
      <w:r w:rsidRPr="009A48AC">
        <w:rPr>
          <w:rFonts w:ascii="Arial" w:hAnsi="Arial" w:cs="Arial"/>
          <w:lang w:val="fr-CA"/>
        </w:rPr>
        <w:t>Industrials</w:t>
      </w:r>
      <w:proofErr w:type="spellEnd"/>
      <w:r w:rsidRPr="009A48AC">
        <w:rPr>
          <w:rFonts w:ascii="Arial" w:hAnsi="Arial" w:cs="Arial"/>
          <w:lang w:val="fr-CA"/>
        </w:rPr>
        <w:t xml:space="preserve"> (en violet) occupent une part particulièrement importante, témoignant de leur rôle structurant dans la composition du portefeuille. D’autres secteurs, comme Telecom ou Consumer Staples, restent plus marginaux mais apportent une forme de stabilité défensive. Cette diversité de contributions permet une meilleure répartition du risque, ce qui est essentiel dans un contexte de marché incertain. La croissance progressive de tous les segments dans le temps confirme la cohérence stratégique de la gestion du portefeuille.</w:t>
      </w:r>
    </w:p>
    <w:p w14:paraId="02920AB9" w14:textId="77777777" w:rsidR="00A47EFA" w:rsidRPr="009A48AC" w:rsidRDefault="00A47EFA" w:rsidP="009A48AC">
      <w:pPr>
        <w:spacing w:line="276" w:lineRule="auto"/>
        <w:jc w:val="center"/>
        <w:rPr>
          <w:rFonts w:ascii="Arial" w:hAnsi="Arial" w:cs="Arial"/>
          <w:lang w:val="fr-CA"/>
        </w:rPr>
      </w:pPr>
    </w:p>
    <w:p w14:paraId="580EFCF5" w14:textId="77777777" w:rsidR="007022FA" w:rsidRPr="009A48AC" w:rsidRDefault="007022FA" w:rsidP="009A48AC">
      <w:pPr>
        <w:spacing w:line="276" w:lineRule="auto"/>
        <w:rPr>
          <w:rFonts w:ascii="Arial" w:hAnsi="Arial" w:cs="Arial"/>
          <w:lang w:val="fr-CA"/>
        </w:rPr>
      </w:pPr>
    </w:p>
    <w:p w14:paraId="5B076CBF" w14:textId="49313889" w:rsidR="00F852DF" w:rsidRPr="009A48AC" w:rsidRDefault="000B0F15" w:rsidP="009A48AC">
      <w:pPr>
        <w:pStyle w:val="Titre2"/>
        <w:spacing w:after="240" w:line="276" w:lineRule="auto"/>
        <w:rPr>
          <w:rFonts w:ascii="Arial" w:hAnsi="Arial" w:cs="Arial"/>
          <w:lang w:val="fr-CA"/>
        </w:rPr>
      </w:pPr>
      <w:bookmarkStart w:id="25" w:name="_Toc199594608"/>
      <w:r>
        <w:rPr>
          <w:rFonts w:ascii="Arial" w:hAnsi="Arial" w:cs="Arial"/>
          <w:lang w:val="fr-CA"/>
        </w:rPr>
        <w:t>3.</w:t>
      </w:r>
      <w:r w:rsidR="002B3A17" w:rsidRPr="009A48AC">
        <w:rPr>
          <w:rFonts w:ascii="Arial" w:hAnsi="Arial" w:cs="Arial"/>
          <w:lang w:val="fr-CA"/>
        </w:rPr>
        <w:t xml:space="preserve">2 </w:t>
      </w:r>
      <w:bookmarkEnd w:id="17"/>
      <w:bookmarkEnd w:id="18"/>
      <w:r w:rsidR="00F852DF" w:rsidRPr="009A48AC">
        <w:rPr>
          <w:rFonts w:ascii="Arial" w:hAnsi="Arial" w:cs="Arial"/>
          <w:lang w:val="fr-CA"/>
        </w:rPr>
        <w:t>Analyse sectorielle</w:t>
      </w:r>
      <w:bookmarkStart w:id="26" w:name="_Toc1640553326"/>
      <w:bookmarkStart w:id="27" w:name="_Toc823597186"/>
      <w:bookmarkEnd w:id="25"/>
    </w:p>
    <w:p w14:paraId="25FB8BF7" w14:textId="77777777" w:rsidR="00CB29C2" w:rsidRPr="009A48AC" w:rsidRDefault="00CB29C2" w:rsidP="007B08DE">
      <w:pPr>
        <w:jc w:val="both"/>
        <w:rPr>
          <w:rFonts w:ascii="Arial" w:hAnsi="Arial" w:cs="Arial"/>
          <w:lang w:val="fr-CA"/>
        </w:rPr>
      </w:pPr>
      <w:r w:rsidRPr="007B08DE">
        <w:rPr>
          <w:rFonts w:asciiTheme="minorBidi" w:hAnsiTheme="minorBidi" w:cstheme="minorBidi"/>
          <w:lang w:val="fr-CA"/>
        </w:rPr>
        <w:t xml:space="preserve">Après avoir mis en lumière la tendance globale haussière et la résilience du portefeuille </w:t>
      </w:r>
      <w:proofErr w:type="spellStart"/>
      <w:r w:rsidRPr="009A48AC">
        <w:rPr>
          <w:rFonts w:ascii="Arial" w:hAnsi="Arial" w:cs="Arial"/>
          <w:lang w:val="fr-CA"/>
        </w:rPr>
        <w:t>PolyFinances</w:t>
      </w:r>
      <w:proofErr w:type="spellEnd"/>
      <w:r w:rsidRPr="009A48AC">
        <w:rPr>
          <w:rFonts w:ascii="Arial" w:hAnsi="Arial" w:cs="Arial"/>
          <w:lang w:val="fr-CA"/>
        </w:rPr>
        <w:t xml:space="preserve">, il convient maintenant d’examiner la dynamique spécifique de chaque secteur. Cette analyse sectorielle permet de mieux comprendre les contributions différenciées à la performance globale, d’identifier les points forts du portefeuille ainsi que les zones de vulnérabilité potentielles. </w:t>
      </w:r>
    </w:p>
    <w:p w14:paraId="225B46BD" w14:textId="77777777" w:rsidR="00B36FD0" w:rsidRPr="009A48AC" w:rsidRDefault="00B36FD0" w:rsidP="009A48AC">
      <w:pPr>
        <w:spacing w:line="276" w:lineRule="auto"/>
        <w:rPr>
          <w:rFonts w:ascii="Arial" w:hAnsi="Arial" w:cs="Arial"/>
          <w:lang w:val="fr-CA"/>
        </w:rPr>
      </w:pPr>
    </w:p>
    <w:p w14:paraId="62D6599F" w14:textId="7FCFD10A" w:rsidR="00C43206" w:rsidRPr="00E52ECA" w:rsidRDefault="000B0F15" w:rsidP="009A48AC">
      <w:pPr>
        <w:pStyle w:val="Titre3"/>
        <w:spacing w:line="276" w:lineRule="auto"/>
        <w:rPr>
          <w:rFonts w:ascii="Arial" w:hAnsi="Arial" w:cs="Arial"/>
          <w:lang w:val="fr-CA"/>
        </w:rPr>
      </w:pPr>
      <w:bookmarkStart w:id="28" w:name="_Toc199594609"/>
      <w:bookmarkEnd w:id="16"/>
      <w:r>
        <w:rPr>
          <w:rFonts w:ascii="Arial" w:hAnsi="Arial" w:cs="Arial"/>
          <w:lang w:val="fr-CA"/>
        </w:rPr>
        <w:t>3.</w:t>
      </w:r>
      <w:r w:rsidR="00F852DF" w:rsidRPr="009A48AC">
        <w:rPr>
          <w:rFonts w:ascii="Arial" w:hAnsi="Arial" w:cs="Arial"/>
          <w:lang w:val="fr-CA"/>
        </w:rPr>
        <w:t>2.1</w:t>
      </w:r>
      <w:r w:rsidR="002B3A17" w:rsidRPr="009A48AC">
        <w:rPr>
          <w:rFonts w:ascii="Arial" w:hAnsi="Arial" w:cs="Arial"/>
          <w:lang w:val="fr-CA"/>
        </w:rPr>
        <w:t xml:space="preserve"> </w:t>
      </w:r>
      <w:bookmarkEnd w:id="26"/>
      <w:bookmarkEnd w:id="27"/>
      <w:r w:rsidR="00F852DF" w:rsidRPr="009A48AC">
        <w:rPr>
          <w:rFonts w:ascii="Arial" w:hAnsi="Arial" w:cs="Arial"/>
          <w:lang w:val="fr-CA"/>
        </w:rPr>
        <w:t>Consommation discrétionnaire</w:t>
      </w:r>
      <w:bookmarkEnd w:id="28"/>
      <w:r w:rsidR="00F852DF" w:rsidRPr="009A48AC">
        <w:rPr>
          <w:rFonts w:ascii="Arial" w:hAnsi="Arial" w:cs="Arial"/>
          <w:lang w:val="fr-CA"/>
        </w:rPr>
        <w:t xml:space="preserve"> </w:t>
      </w:r>
    </w:p>
    <w:p w14:paraId="7ED0971A" w14:textId="77777777" w:rsidR="00CB29C2" w:rsidRPr="009A48AC" w:rsidRDefault="00CB29C2" w:rsidP="009A48AC">
      <w:pPr>
        <w:spacing w:line="276" w:lineRule="auto"/>
        <w:rPr>
          <w:rFonts w:ascii="Arial" w:hAnsi="Arial" w:cs="Arial"/>
          <w:lang w:val="fr-CA"/>
        </w:rPr>
      </w:pPr>
      <w:r w:rsidRPr="009A48AC">
        <w:rPr>
          <w:rFonts w:ascii="Arial" w:hAnsi="Arial" w:cs="Arial"/>
          <w:lang w:val="fr-CA"/>
        </w:rPr>
        <w:t>Le secteur de la consommation discrétionnaire s’est avéré particulièrement cyclique et sensible au pouvoir d’achat des ménages. En 2020, il a été l’un des plus touchés par la pandémie de COVID-19, avec une forte baisse liée à la fermeture des commerces non essentiels, entraînant un recul marqué de la consommation.</w:t>
      </w:r>
    </w:p>
    <w:p w14:paraId="2341C18D" w14:textId="77777777" w:rsidR="00CB29C2" w:rsidRPr="009A48AC" w:rsidRDefault="00CB29C2" w:rsidP="009A48AC">
      <w:pPr>
        <w:spacing w:line="276" w:lineRule="auto"/>
        <w:rPr>
          <w:rFonts w:ascii="Arial" w:hAnsi="Arial" w:cs="Arial"/>
          <w:lang w:val="fr-CA"/>
        </w:rPr>
      </w:pPr>
    </w:p>
    <w:p w14:paraId="6FEB512D" w14:textId="77777777" w:rsidR="00CB29C2" w:rsidRPr="009A48AC" w:rsidRDefault="00CB29C2" w:rsidP="009A48AC">
      <w:pPr>
        <w:spacing w:line="276" w:lineRule="auto"/>
        <w:jc w:val="both"/>
        <w:rPr>
          <w:rFonts w:ascii="Arial" w:hAnsi="Arial" w:cs="Arial"/>
          <w:lang w:val="fr-CA"/>
        </w:rPr>
      </w:pPr>
      <w:r w:rsidRPr="009A48AC">
        <w:rPr>
          <w:rFonts w:ascii="Arial" w:hAnsi="Arial" w:cs="Arial"/>
          <w:lang w:val="fr-CA"/>
        </w:rPr>
        <w:t xml:space="preserve">Par la suite, à partir de 2022, ce secteur a de nouveau été mis sous pression par une inflation élevée et une succession de hausses de taux d’intérêt, ce qui a contribué à une </w:t>
      </w:r>
      <w:r w:rsidRPr="009A48AC">
        <w:rPr>
          <w:rFonts w:ascii="Arial" w:hAnsi="Arial" w:cs="Arial"/>
          <w:lang w:val="fr-CA"/>
        </w:rPr>
        <w:lastRenderedPageBreak/>
        <w:t xml:space="preserve">contraction de la demande. En 2024, l’effet combiné de la baisse du pouvoir d’achat, de l’inflation alimentaire prolongée et de la guerre des prix dans la distribution a continué de peser sur les revenus et les marges des entreprises du secteur. Toutefois, une reprise modérée s’est amorcée post-2023, soutenue par un certain ralentissement monétaire. </w:t>
      </w:r>
    </w:p>
    <w:p w14:paraId="775831EE" w14:textId="77777777" w:rsidR="00527E5C" w:rsidRPr="009A48AC" w:rsidRDefault="00527E5C" w:rsidP="009A48AC">
      <w:pPr>
        <w:spacing w:line="276" w:lineRule="auto"/>
        <w:jc w:val="both"/>
        <w:rPr>
          <w:rFonts w:ascii="Arial" w:hAnsi="Arial" w:cs="Arial"/>
          <w:lang w:val="fr-CA"/>
        </w:rPr>
      </w:pPr>
    </w:p>
    <w:p w14:paraId="2669FB91" w14:textId="4AE4A4CB" w:rsidR="00527E5C" w:rsidRPr="009A48AC" w:rsidRDefault="00527E5C"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4092E5A6" wp14:editId="5E80EC57">
            <wp:extent cx="3822700" cy="1524000"/>
            <wp:effectExtent l="0" t="0" r="0" b="0"/>
            <wp:docPr id="1022802890" name="Picture 4" descr="A graph showing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02890" name="Picture 4" descr="A graph showing a red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822700" cy="1524000"/>
                    </a:xfrm>
                    <a:prstGeom prst="rect">
                      <a:avLst/>
                    </a:prstGeom>
                  </pic:spPr>
                </pic:pic>
              </a:graphicData>
            </a:graphic>
          </wp:inline>
        </w:drawing>
      </w:r>
    </w:p>
    <w:p w14:paraId="56533BB0" w14:textId="21B86A93" w:rsidR="00527E5C" w:rsidRPr="009A48AC" w:rsidRDefault="00527E5C" w:rsidP="007A6603">
      <w:pPr>
        <w:pStyle w:val="Lgende"/>
        <w:ind w:left="1440" w:firstLine="720"/>
        <w:rPr>
          <w:rFonts w:ascii="Arial" w:hAnsi="Arial" w:cs="Arial"/>
          <w:lang w:val="fr-CA"/>
        </w:rPr>
      </w:pPr>
      <w:bookmarkStart w:id="29" w:name="_Toc196950601"/>
      <w:r w:rsidRPr="007A6603">
        <w:rPr>
          <w:lang w:val="fr-FR"/>
        </w:rPr>
        <w:t xml:space="preserve">Figure </w:t>
      </w:r>
      <w:r w:rsidR="007A6603">
        <w:fldChar w:fldCharType="begin"/>
      </w:r>
      <w:r w:rsidR="007A6603" w:rsidRPr="007A6603">
        <w:rPr>
          <w:lang w:val="fr-FR"/>
        </w:rPr>
        <w:instrText xml:space="preserve"> SEQ Figure \* ARABIC </w:instrText>
      </w:r>
      <w:r w:rsidR="007A6603">
        <w:fldChar w:fldCharType="separate"/>
      </w:r>
      <w:r w:rsidR="00036C78">
        <w:rPr>
          <w:noProof/>
          <w:lang w:val="fr-FR"/>
        </w:rPr>
        <w:t>5</w:t>
      </w:r>
      <w:r w:rsidR="007A6603">
        <w:fldChar w:fldCharType="end"/>
      </w:r>
      <w:r w:rsidR="002A5E1C">
        <w:rPr>
          <w:rFonts w:ascii="Arial" w:hAnsi="Arial" w:cs="Arial"/>
          <w:lang w:val="fr-CA"/>
        </w:rPr>
        <w:t xml:space="preserve"> - </w:t>
      </w:r>
      <w:r w:rsidR="00B36FD0" w:rsidRPr="007A6603">
        <w:rPr>
          <w:lang w:val="fr-FR"/>
        </w:rPr>
        <w:t xml:space="preserve">Évolution sectorielle - Consumer </w:t>
      </w:r>
      <w:proofErr w:type="spellStart"/>
      <w:r w:rsidR="00B36FD0" w:rsidRPr="007A6603">
        <w:rPr>
          <w:lang w:val="fr-FR"/>
        </w:rPr>
        <w:t>Discretionary</w:t>
      </w:r>
      <w:bookmarkEnd w:id="29"/>
      <w:proofErr w:type="spellEnd"/>
    </w:p>
    <w:p w14:paraId="55C55DE4" w14:textId="2D0A68D2" w:rsidR="00B36FD0" w:rsidRPr="009A48AC" w:rsidRDefault="000B0F15" w:rsidP="009A48AC">
      <w:pPr>
        <w:pStyle w:val="Titre3"/>
        <w:spacing w:line="276" w:lineRule="auto"/>
        <w:rPr>
          <w:rFonts w:ascii="Arial" w:hAnsi="Arial" w:cs="Arial"/>
          <w:lang w:val="fr-CA"/>
        </w:rPr>
      </w:pPr>
      <w:bookmarkStart w:id="30" w:name="_Toc199594610"/>
      <w:r>
        <w:rPr>
          <w:rFonts w:ascii="Arial" w:hAnsi="Arial" w:cs="Arial"/>
          <w:lang w:val="fr-CA"/>
        </w:rPr>
        <w:t>3.</w:t>
      </w:r>
      <w:r w:rsidR="00B36FD0" w:rsidRPr="009A48AC">
        <w:rPr>
          <w:rFonts w:ascii="Arial" w:hAnsi="Arial" w:cs="Arial"/>
          <w:lang w:val="fr-CA"/>
        </w:rPr>
        <w:t xml:space="preserve">2.2 </w:t>
      </w:r>
      <w:r w:rsidR="00804DA8" w:rsidRPr="009A48AC">
        <w:rPr>
          <w:rFonts w:ascii="Arial" w:hAnsi="Arial" w:cs="Arial"/>
          <w:lang w:val="fr-CA"/>
        </w:rPr>
        <w:t>Consommation de produits de base (Consumer Staples)</w:t>
      </w:r>
      <w:bookmarkEnd w:id="30"/>
    </w:p>
    <w:p w14:paraId="1EFB613D" w14:textId="77777777" w:rsidR="00804DA8" w:rsidRPr="009A48AC" w:rsidRDefault="00804DA8" w:rsidP="009A48AC">
      <w:pPr>
        <w:spacing w:line="276" w:lineRule="auto"/>
        <w:jc w:val="both"/>
        <w:rPr>
          <w:rFonts w:ascii="Arial" w:hAnsi="Arial" w:cs="Arial"/>
          <w:lang w:val="fr-CA"/>
        </w:rPr>
      </w:pPr>
      <w:r w:rsidRPr="009A48AC">
        <w:rPr>
          <w:rFonts w:ascii="Arial" w:hAnsi="Arial" w:cs="Arial"/>
          <w:lang w:val="fr-CA"/>
        </w:rPr>
        <w:t>Ce secteur a confirmé son rôle de valeur défensive au sein du portefeuille. Bien que moins dynamique, il a su bénéficier des périodes d’incertitude économique, notamment lorsque le secteur de la consommation discrétionnaire était en difficulté. Néanmoins, des marges réduites ont été observées en raison de l’inflation alimentaire persistante, des tensions logistiques mondiales, et de la pression concurrentielle croissante dans la distribution.</w:t>
      </w:r>
    </w:p>
    <w:p w14:paraId="2CCE35D5" w14:textId="77777777" w:rsidR="00804DA8" w:rsidRPr="009A48AC" w:rsidRDefault="00804DA8" w:rsidP="009A48AC">
      <w:pPr>
        <w:spacing w:line="276" w:lineRule="auto"/>
        <w:rPr>
          <w:rFonts w:ascii="Arial" w:hAnsi="Arial" w:cs="Arial"/>
          <w:lang w:val="fr-CA"/>
        </w:rPr>
      </w:pPr>
    </w:p>
    <w:p w14:paraId="0F7BEF61" w14:textId="7D5EED8A" w:rsidR="00804DA8" w:rsidRPr="009A48AC" w:rsidRDefault="00804DA8" w:rsidP="009A48AC">
      <w:pPr>
        <w:spacing w:line="276" w:lineRule="auto"/>
        <w:rPr>
          <w:rFonts w:ascii="Arial" w:hAnsi="Arial" w:cs="Arial"/>
          <w:lang w:val="fr-CA"/>
        </w:rPr>
      </w:pPr>
      <w:r w:rsidRPr="009A48AC">
        <w:rPr>
          <w:rFonts w:ascii="Arial" w:hAnsi="Arial" w:cs="Arial"/>
          <w:lang w:val="fr-CA"/>
        </w:rPr>
        <w:t>En 2021 notamment, des pénuries et des hausses de coûts ont comprimé les marges. En 2024, la situation s’est compliquée davantage avec la baisse du pouvoir d’achat des ménages et la montée des stratégies de bas prix chez plusieurs grands distributeurs.</w:t>
      </w:r>
    </w:p>
    <w:p w14:paraId="713F027F" w14:textId="77777777" w:rsidR="00B36FD0" w:rsidRPr="009A48AC" w:rsidRDefault="00B36FD0" w:rsidP="009A48AC">
      <w:pPr>
        <w:spacing w:line="276" w:lineRule="auto"/>
        <w:rPr>
          <w:rFonts w:ascii="Arial" w:hAnsi="Arial" w:cs="Arial"/>
          <w:lang w:val="fr-CA"/>
        </w:rPr>
      </w:pPr>
    </w:p>
    <w:p w14:paraId="59509A2A" w14:textId="0E7E5E6F" w:rsidR="00B36FD0" w:rsidRPr="009A48AC" w:rsidRDefault="00804DA8"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20F9785B" wp14:editId="4B34182B">
            <wp:extent cx="3759200" cy="1562100"/>
            <wp:effectExtent l="0" t="0" r="0" b="0"/>
            <wp:docPr id="1555393610" name="Picture 5"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3610" name="Picture 5" descr="A graph with red lin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759200" cy="1562100"/>
                    </a:xfrm>
                    <a:prstGeom prst="rect">
                      <a:avLst/>
                    </a:prstGeom>
                  </pic:spPr>
                </pic:pic>
              </a:graphicData>
            </a:graphic>
          </wp:inline>
        </w:drawing>
      </w:r>
    </w:p>
    <w:p w14:paraId="5BD0DD41" w14:textId="77777777" w:rsidR="00527E5C" w:rsidRPr="009A48AC" w:rsidRDefault="00527E5C" w:rsidP="009A48AC">
      <w:pPr>
        <w:spacing w:line="276" w:lineRule="auto"/>
        <w:jc w:val="center"/>
        <w:rPr>
          <w:rFonts w:ascii="Arial" w:hAnsi="Arial" w:cs="Arial"/>
          <w:lang w:val="fr-CA"/>
        </w:rPr>
      </w:pPr>
    </w:p>
    <w:p w14:paraId="4CF30844" w14:textId="11E3BB5A" w:rsidR="00804DA8" w:rsidRPr="0032528C" w:rsidRDefault="00804DA8" w:rsidP="007A6603">
      <w:pPr>
        <w:pStyle w:val="Lgende"/>
        <w:ind w:left="2160" w:firstLine="720"/>
        <w:rPr>
          <w:lang w:val="fr-FR"/>
        </w:rPr>
      </w:pPr>
      <w:bookmarkStart w:id="31" w:name="_Toc196950602"/>
      <w:r w:rsidRPr="0032528C">
        <w:rPr>
          <w:lang w:val="fr-FR"/>
        </w:rPr>
        <w:t xml:space="preserve">Figure </w:t>
      </w:r>
      <w:r w:rsidR="007A6603">
        <w:fldChar w:fldCharType="begin"/>
      </w:r>
      <w:r w:rsidR="007A6603" w:rsidRPr="0032528C">
        <w:rPr>
          <w:lang w:val="fr-FR"/>
        </w:rPr>
        <w:instrText xml:space="preserve"> SEQ Figure \* ARABIC </w:instrText>
      </w:r>
      <w:r w:rsidR="007A6603">
        <w:fldChar w:fldCharType="separate"/>
      </w:r>
      <w:r w:rsidR="00036C78">
        <w:rPr>
          <w:noProof/>
          <w:lang w:val="fr-FR"/>
        </w:rPr>
        <w:t>6</w:t>
      </w:r>
      <w:r w:rsidR="007A6603">
        <w:fldChar w:fldCharType="end"/>
      </w:r>
      <w:r w:rsidR="002A5E1C">
        <w:rPr>
          <w:rFonts w:ascii="Arial" w:hAnsi="Arial" w:cs="Arial"/>
          <w:lang w:val="fr-CA"/>
        </w:rPr>
        <w:t xml:space="preserve"> - </w:t>
      </w:r>
      <w:r w:rsidR="009019EA" w:rsidRPr="0032528C">
        <w:rPr>
          <w:lang w:val="fr-FR"/>
        </w:rPr>
        <w:t xml:space="preserve">Évolution sectorielle - Consumer </w:t>
      </w:r>
      <w:proofErr w:type="spellStart"/>
      <w:r w:rsidR="009019EA" w:rsidRPr="0032528C">
        <w:rPr>
          <w:lang w:val="fr-FR"/>
        </w:rPr>
        <w:t>Staples</w:t>
      </w:r>
      <w:bookmarkEnd w:id="31"/>
      <w:proofErr w:type="spellEnd"/>
    </w:p>
    <w:p w14:paraId="7DF424FE" w14:textId="77777777" w:rsidR="00527E5C" w:rsidRPr="009A48AC" w:rsidRDefault="00527E5C" w:rsidP="009A48AC">
      <w:pPr>
        <w:spacing w:line="276" w:lineRule="auto"/>
        <w:jc w:val="center"/>
        <w:rPr>
          <w:rFonts w:ascii="Arial" w:hAnsi="Arial" w:cs="Arial"/>
          <w:lang w:val="fr-CA"/>
        </w:rPr>
      </w:pPr>
    </w:p>
    <w:p w14:paraId="4A31883C" w14:textId="2846DFC2" w:rsidR="009019EA" w:rsidRPr="009A48AC" w:rsidRDefault="000B0F15" w:rsidP="009A48AC">
      <w:pPr>
        <w:pStyle w:val="Titre3"/>
        <w:spacing w:line="276" w:lineRule="auto"/>
        <w:rPr>
          <w:rFonts w:ascii="Arial" w:hAnsi="Arial" w:cs="Arial"/>
          <w:lang w:val="fr-CA"/>
        </w:rPr>
      </w:pPr>
      <w:bookmarkStart w:id="32" w:name="_Toc199594611"/>
      <w:r>
        <w:rPr>
          <w:rFonts w:ascii="Arial" w:hAnsi="Arial" w:cs="Arial"/>
          <w:lang w:val="fr-CA"/>
        </w:rPr>
        <w:lastRenderedPageBreak/>
        <w:t>3.</w:t>
      </w:r>
      <w:r w:rsidR="009019EA" w:rsidRPr="009A48AC">
        <w:rPr>
          <w:rFonts w:ascii="Arial" w:hAnsi="Arial" w:cs="Arial"/>
          <w:lang w:val="fr-CA"/>
        </w:rPr>
        <w:t xml:space="preserve">2.3 </w:t>
      </w:r>
      <w:r w:rsidR="0038759F" w:rsidRPr="009A48AC">
        <w:rPr>
          <w:rFonts w:ascii="Arial" w:hAnsi="Arial" w:cs="Arial"/>
          <w:lang w:val="fr-CA"/>
        </w:rPr>
        <w:t>Énergie</w:t>
      </w:r>
      <w:bookmarkEnd w:id="32"/>
    </w:p>
    <w:p w14:paraId="70CD327B" w14:textId="77777777" w:rsidR="0038759F" w:rsidRPr="009A48AC" w:rsidRDefault="0038759F" w:rsidP="009A48AC">
      <w:pPr>
        <w:spacing w:line="276" w:lineRule="auto"/>
        <w:jc w:val="both"/>
        <w:rPr>
          <w:rFonts w:ascii="Arial" w:hAnsi="Arial" w:cs="Arial"/>
          <w:lang w:val="fr-CA"/>
        </w:rPr>
      </w:pPr>
      <w:r w:rsidRPr="009A48AC">
        <w:rPr>
          <w:rFonts w:ascii="Arial" w:hAnsi="Arial" w:cs="Arial"/>
          <w:lang w:val="fr-CA"/>
        </w:rPr>
        <w:t>Le secteur énergétique a connu une volatilité extrême, en particulier en 2020, lors de l’effondrement des prix du pétrole. Cette chute brutale a fortement impacté la valorisation des entreprises du secteur. Toutefois, à partir de 2022, on observe un rebond soutenu, stimulé par la guerre en Ukraine, la reprise post-COVID de la demande mondiale et la flambée des prix du pétrole.</w:t>
      </w:r>
    </w:p>
    <w:p w14:paraId="0B168363" w14:textId="77777777" w:rsidR="0038759F" w:rsidRPr="009A48AC" w:rsidRDefault="0038759F" w:rsidP="009A48AC">
      <w:pPr>
        <w:spacing w:line="276" w:lineRule="auto"/>
        <w:jc w:val="both"/>
        <w:rPr>
          <w:rFonts w:ascii="Arial" w:hAnsi="Arial" w:cs="Arial"/>
          <w:lang w:val="fr-CA"/>
        </w:rPr>
      </w:pPr>
    </w:p>
    <w:p w14:paraId="10E5A758" w14:textId="79BB1340" w:rsidR="00527E5C" w:rsidRPr="009A48AC" w:rsidRDefault="0038759F" w:rsidP="009A48AC">
      <w:pPr>
        <w:spacing w:line="276" w:lineRule="auto"/>
        <w:jc w:val="both"/>
        <w:rPr>
          <w:rFonts w:ascii="Arial" w:hAnsi="Arial" w:cs="Arial"/>
          <w:lang w:val="fr-CA"/>
        </w:rPr>
      </w:pPr>
      <w:r w:rsidRPr="009A48AC">
        <w:rPr>
          <w:rFonts w:ascii="Arial" w:hAnsi="Arial" w:cs="Arial"/>
          <w:lang w:val="fr-CA"/>
        </w:rPr>
        <w:t>Cette dynamique géopolitique et macroéconomique a permis à ce secteur d’afficher un rendement intéressant sur l’ensemble de la période, tout en restant exposé à une forte instabilité.</w:t>
      </w:r>
    </w:p>
    <w:p w14:paraId="021FD136" w14:textId="77777777" w:rsidR="0038759F" w:rsidRPr="009A48AC" w:rsidRDefault="0038759F" w:rsidP="009A48AC">
      <w:pPr>
        <w:spacing w:line="276" w:lineRule="auto"/>
        <w:jc w:val="both"/>
        <w:rPr>
          <w:rFonts w:ascii="Arial" w:hAnsi="Arial" w:cs="Arial"/>
          <w:lang w:val="fr-CA"/>
        </w:rPr>
      </w:pPr>
    </w:p>
    <w:p w14:paraId="1183A94B" w14:textId="12D82AC8" w:rsidR="0038759F" w:rsidRPr="009A48AC" w:rsidRDefault="0038759F"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09EE0164" wp14:editId="0AB81ECA">
            <wp:extent cx="3759200" cy="1562100"/>
            <wp:effectExtent l="0" t="0" r="0" b="0"/>
            <wp:docPr id="1948078817" name="Picture 6" descr="A graph showing the growth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78817" name="Picture 6" descr="A graph showing the growth of energ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59200" cy="1562100"/>
                    </a:xfrm>
                    <a:prstGeom prst="rect">
                      <a:avLst/>
                    </a:prstGeom>
                  </pic:spPr>
                </pic:pic>
              </a:graphicData>
            </a:graphic>
          </wp:inline>
        </w:drawing>
      </w:r>
    </w:p>
    <w:p w14:paraId="42DA3BBC" w14:textId="791702DE" w:rsidR="0038759F" w:rsidRPr="009A48AC" w:rsidRDefault="0032528C" w:rsidP="0032528C">
      <w:pPr>
        <w:pStyle w:val="Lgende"/>
        <w:ind w:left="2880"/>
        <w:rPr>
          <w:rFonts w:ascii="Arial" w:hAnsi="Arial" w:cs="Arial"/>
          <w:lang w:val="fr-CA"/>
        </w:rPr>
      </w:pPr>
      <w:r w:rsidRPr="001C6E20">
        <w:rPr>
          <w:lang w:val="fr-CA"/>
        </w:rPr>
        <w:t xml:space="preserve">      </w:t>
      </w:r>
      <w:bookmarkStart w:id="33" w:name="_Toc196950603"/>
      <w:r w:rsidR="0038759F" w:rsidRPr="001C6E20">
        <w:rPr>
          <w:lang w:val="fr-CA"/>
        </w:rPr>
        <w:t xml:space="preserve">Figure </w:t>
      </w:r>
      <w:r w:rsidR="00000000">
        <w:fldChar w:fldCharType="begin"/>
      </w:r>
      <w:r w:rsidR="00000000" w:rsidRPr="001C6E20">
        <w:rPr>
          <w:lang w:val="fr-CA"/>
        </w:rPr>
        <w:instrText xml:space="preserve"> SEQ Figure \* ARABIC </w:instrText>
      </w:r>
      <w:r w:rsidR="00000000">
        <w:fldChar w:fldCharType="separate"/>
      </w:r>
      <w:r w:rsidR="00036C78" w:rsidRPr="001C6E20">
        <w:rPr>
          <w:noProof/>
          <w:lang w:val="fr-CA"/>
        </w:rPr>
        <w:t>7</w:t>
      </w:r>
      <w:r w:rsidR="00000000">
        <w:rPr>
          <w:noProof/>
        </w:rPr>
        <w:fldChar w:fldCharType="end"/>
      </w:r>
      <w:r w:rsidR="002A5E1C">
        <w:rPr>
          <w:rFonts w:ascii="Arial" w:hAnsi="Arial" w:cs="Arial"/>
          <w:lang w:val="fr-CA"/>
        </w:rPr>
        <w:t xml:space="preserve"> - </w:t>
      </w:r>
      <w:r w:rsidR="00136CE8" w:rsidRPr="001C6E20">
        <w:rPr>
          <w:lang w:val="fr-CA"/>
        </w:rPr>
        <w:t>Évolution sectorielle – Energy</w:t>
      </w:r>
      <w:bookmarkEnd w:id="33"/>
    </w:p>
    <w:p w14:paraId="478AFC41" w14:textId="7B8E252E" w:rsidR="00136CE8" w:rsidRPr="009A48AC" w:rsidRDefault="000B0F15" w:rsidP="009A48AC">
      <w:pPr>
        <w:pStyle w:val="Titre3"/>
        <w:spacing w:line="276" w:lineRule="auto"/>
        <w:rPr>
          <w:rFonts w:ascii="Arial" w:hAnsi="Arial" w:cs="Arial"/>
          <w:lang w:val="fr-CA"/>
        </w:rPr>
      </w:pPr>
      <w:bookmarkStart w:id="34" w:name="_Toc199594612"/>
      <w:r>
        <w:rPr>
          <w:rFonts w:ascii="Arial" w:hAnsi="Arial" w:cs="Arial"/>
          <w:lang w:val="fr-CA"/>
        </w:rPr>
        <w:t>3.</w:t>
      </w:r>
      <w:r w:rsidR="00136CE8" w:rsidRPr="009A48AC">
        <w:rPr>
          <w:rFonts w:ascii="Arial" w:hAnsi="Arial" w:cs="Arial"/>
          <w:lang w:val="fr-CA"/>
        </w:rPr>
        <w:t>2.</w:t>
      </w:r>
      <w:r w:rsidR="001210DF" w:rsidRPr="009A48AC">
        <w:rPr>
          <w:rFonts w:ascii="Arial" w:hAnsi="Arial" w:cs="Arial"/>
          <w:lang w:val="fr-CA"/>
        </w:rPr>
        <w:t>4</w:t>
      </w:r>
      <w:r w:rsidR="00136CE8" w:rsidRPr="009A48AC">
        <w:rPr>
          <w:rFonts w:ascii="Arial" w:hAnsi="Arial" w:cs="Arial"/>
          <w:lang w:val="fr-CA"/>
        </w:rPr>
        <w:t xml:space="preserve"> Industriel</w:t>
      </w:r>
      <w:bookmarkEnd w:id="34"/>
    </w:p>
    <w:p w14:paraId="65C80FC1" w14:textId="77777777" w:rsidR="001210DF" w:rsidRPr="009A48AC" w:rsidRDefault="001210DF" w:rsidP="009A48AC">
      <w:pPr>
        <w:spacing w:line="276" w:lineRule="auto"/>
        <w:jc w:val="both"/>
        <w:rPr>
          <w:rFonts w:ascii="Arial" w:hAnsi="Arial" w:cs="Arial"/>
          <w:lang w:val="fr-CA"/>
        </w:rPr>
      </w:pPr>
      <w:r w:rsidRPr="009A48AC">
        <w:rPr>
          <w:rFonts w:ascii="Arial" w:hAnsi="Arial" w:cs="Arial"/>
          <w:lang w:val="fr-CA"/>
        </w:rPr>
        <w:t xml:space="preserve">Le secteur industriel a bénéficié d’un soutien structurel important à travers les plans de relance </w:t>
      </w:r>
      <w:proofErr w:type="spellStart"/>
      <w:r w:rsidRPr="009A48AC">
        <w:rPr>
          <w:rFonts w:ascii="Arial" w:hAnsi="Arial" w:cs="Arial"/>
          <w:lang w:val="fr-CA"/>
        </w:rPr>
        <w:t>post-pandémie</w:t>
      </w:r>
      <w:proofErr w:type="spellEnd"/>
      <w:r w:rsidRPr="009A48AC">
        <w:rPr>
          <w:rFonts w:ascii="Arial" w:hAnsi="Arial" w:cs="Arial"/>
          <w:lang w:val="fr-CA"/>
        </w:rPr>
        <w:t>, notamment les investissements massifs en infrastructures au Canada. Ces mesures ont permis de maintenir une certaine stabilité malgré un contexte global incertain.</w:t>
      </w:r>
    </w:p>
    <w:p w14:paraId="471145FD" w14:textId="77777777" w:rsidR="001210DF" w:rsidRPr="009A48AC" w:rsidRDefault="001210DF" w:rsidP="009A48AC">
      <w:pPr>
        <w:spacing w:line="276" w:lineRule="auto"/>
        <w:jc w:val="both"/>
        <w:rPr>
          <w:rFonts w:ascii="Arial" w:hAnsi="Arial" w:cs="Arial"/>
          <w:lang w:val="fr-CA"/>
        </w:rPr>
      </w:pPr>
    </w:p>
    <w:p w14:paraId="0140959F" w14:textId="77777777" w:rsidR="001210DF" w:rsidRPr="009A48AC" w:rsidRDefault="001210DF" w:rsidP="009A48AC">
      <w:pPr>
        <w:spacing w:line="276" w:lineRule="auto"/>
        <w:jc w:val="both"/>
        <w:rPr>
          <w:rFonts w:ascii="Arial" w:hAnsi="Arial" w:cs="Arial"/>
          <w:lang w:val="fr-CA"/>
        </w:rPr>
      </w:pPr>
      <w:r w:rsidRPr="009A48AC">
        <w:rPr>
          <w:rFonts w:ascii="Arial" w:hAnsi="Arial" w:cs="Arial"/>
          <w:lang w:val="fr-CA"/>
        </w:rPr>
        <w:t>Cependant, ce secteur est resté vulnérable aux perturbations logistiques et au resserrement des conditions monétaires, ce qui a freiné son expansion. Le résultat est une performance stable, mais sans excès de rendement.</w:t>
      </w:r>
    </w:p>
    <w:p w14:paraId="3A850207" w14:textId="77777777" w:rsidR="001210DF" w:rsidRPr="009A48AC" w:rsidRDefault="001210DF" w:rsidP="009A48AC">
      <w:pPr>
        <w:spacing w:line="276" w:lineRule="auto"/>
        <w:jc w:val="center"/>
        <w:rPr>
          <w:rFonts w:ascii="Arial" w:hAnsi="Arial" w:cs="Arial"/>
          <w:lang w:val="fr-CA"/>
        </w:rPr>
      </w:pPr>
    </w:p>
    <w:p w14:paraId="0F54CA1C" w14:textId="08996EE9" w:rsidR="0038759F" w:rsidRPr="009A48AC" w:rsidRDefault="00136CE8"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7E4CB4EC" wp14:editId="68320BA7">
            <wp:extent cx="3797300" cy="1447800"/>
            <wp:effectExtent l="0" t="0" r="0" b="0"/>
            <wp:docPr id="152018837" name="Picture 7"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837" name="Picture 7" descr="A graph with red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97300" cy="1447800"/>
                    </a:xfrm>
                    <a:prstGeom prst="rect">
                      <a:avLst/>
                    </a:prstGeom>
                  </pic:spPr>
                </pic:pic>
              </a:graphicData>
            </a:graphic>
          </wp:inline>
        </w:drawing>
      </w:r>
    </w:p>
    <w:p w14:paraId="129C1756" w14:textId="1BE5517D" w:rsidR="00136CE8" w:rsidRPr="009A48AC" w:rsidRDefault="00136CE8" w:rsidP="0032528C">
      <w:pPr>
        <w:pStyle w:val="Lgende"/>
        <w:ind w:left="2160" w:firstLine="720"/>
        <w:rPr>
          <w:rFonts w:ascii="Arial" w:hAnsi="Arial" w:cs="Arial"/>
          <w:lang w:val="fr-CA"/>
        </w:rPr>
      </w:pPr>
      <w:bookmarkStart w:id="35" w:name="_Toc196950604"/>
      <w:r w:rsidRPr="001C6E20">
        <w:rPr>
          <w:lang w:val="fr-CA"/>
        </w:rPr>
        <w:t xml:space="preserve">Figure </w:t>
      </w:r>
      <w:r w:rsidR="00000000">
        <w:fldChar w:fldCharType="begin"/>
      </w:r>
      <w:r w:rsidR="00000000" w:rsidRPr="001C6E20">
        <w:rPr>
          <w:lang w:val="fr-CA"/>
        </w:rPr>
        <w:instrText xml:space="preserve"> SEQ Figure \* ARABIC </w:instrText>
      </w:r>
      <w:r w:rsidR="00000000">
        <w:fldChar w:fldCharType="separate"/>
      </w:r>
      <w:r w:rsidR="00036C78" w:rsidRPr="001C6E20">
        <w:rPr>
          <w:noProof/>
          <w:lang w:val="fr-CA"/>
        </w:rPr>
        <w:t>8</w:t>
      </w:r>
      <w:r w:rsidR="00000000">
        <w:rPr>
          <w:noProof/>
        </w:rPr>
        <w:fldChar w:fldCharType="end"/>
      </w:r>
      <w:r w:rsidR="002A5E1C">
        <w:rPr>
          <w:rFonts w:ascii="Arial" w:hAnsi="Arial" w:cs="Arial"/>
          <w:lang w:val="fr-CA"/>
        </w:rPr>
        <w:t xml:space="preserve"> - </w:t>
      </w:r>
      <w:r w:rsidRPr="001C6E20">
        <w:rPr>
          <w:lang w:val="fr-CA"/>
        </w:rPr>
        <w:t xml:space="preserve">Évolution sectorielle – </w:t>
      </w:r>
      <w:proofErr w:type="spellStart"/>
      <w:r w:rsidRPr="001C6E20">
        <w:rPr>
          <w:lang w:val="fr-CA"/>
        </w:rPr>
        <w:t>Industrials</w:t>
      </w:r>
      <w:bookmarkEnd w:id="35"/>
      <w:proofErr w:type="spellEnd"/>
    </w:p>
    <w:p w14:paraId="0D6769E3" w14:textId="758B3E1B" w:rsidR="00B7688F" w:rsidRPr="009A48AC" w:rsidRDefault="000B0F15" w:rsidP="009A48AC">
      <w:pPr>
        <w:pStyle w:val="Titre3"/>
        <w:spacing w:line="276" w:lineRule="auto"/>
        <w:rPr>
          <w:rFonts w:ascii="Arial" w:hAnsi="Arial" w:cs="Arial"/>
          <w:lang w:val="fr-CA"/>
        </w:rPr>
      </w:pPr>
      <w:bookmarkStart w:id="36" w:name="_Toc199594613"/>
      <w:r>
        <w:rPr>
          <w:rFonts w:ascii="Arial" w:hAnsi="Arial" w:cs="Arial"/>
          <w:lang w:val="fr-CA"/>
        </w:rPr>
        <w:lastRenderedPageBreak/>
        <w:t>3.</w:t>
      </w:r>
      <w:r w:rsidR="00B7688F" w:rsidRPr="009A48AC">
        <w:rPr>
          <w:rFonts w:ascii="Arial" w:hAnsi="Arial" w:cs="Arial"/>
          <w:lang w:val="fr-CA"/>
        </w:rPr>
        <w:t>2.5 Technologies de l’information</w:t>
      </w:r>
      <w:bookmarkEnd w:id="36"/>
    </w:p>
    <w:p w14:paraId="3C208AC3" w14:textId="77777777" w:rsidR="009A39D2" w:rsidRPr="009A48AC" w:rsidRDefault="009A39D2" w:rsidP="009A48AC">
      <w:pPr>
        <w:spacing w:line="276" w:lineRule="auto"/>
        <w:jc w:val="both"/>
        <w:rPr>
          <w:rFonts w:ascii="Arial" w:hAnsi="Arial" w:cs="Arial"/>
          <w:lang w:val="fr-CA"/>
        </w:rPr>
      </w:pPr>
      <w:r w:rsidRPr="009A48AC">
        <w:rPr>
          <w:rFonts w:ascii="Arial" w:hAnsi="Arial" w:cs="Arial"/>
          <w:lang w:val="fr-CA"/>
        </w:rPr>
        <w:t xml:space="preserve">Le secteur technologique s’est distingué par un rendement annuel exceptionnel de 25 %, le plus élevé de tout le portefeuille. Cette performance a été tirée notamment par des entreprises comme </w:t>
      </w:r>
      <w:proofErr w:type="spellStart"/>
      <w:r w:rsidRPr="009A48AC">
        <w:rPr>
          <w:rFonts w:ascii="Arial" w:hAnsi="Arial" w:cs="Arial"/>
          <w:lang w:val="fr-CA"/>
        </w:rPr>
        <w:t>Shopify</w:t>
      </w:r>
      <w:proofErr w:type="spellEnd"/>
      <w:r w:rsidRPr="009A48AC">
        <w:rPr>
          <w:rFonts w:ascii="Arial" w:hAnsi="Arial" w:cs="Arial"/>
          <w:lang w:val="fr-CA"/>
        </w:rPr>
        <w:t>, qui ont connu une croissance fulgurante pendant la pandémie en raison de la transition massive vers le commerce en ligne et les services numériques.</w:t>
      </w:r>
    </w:p>
    <w:p w14:paraId="47783F05" w14:textId="77777777" w:rsidR="009A39D2" w:rsidRPr="009A48AC" w:rsidRDefault="009A39D2" w:rsidP="009A48AC">
      <w:pPr>
        <w:spacing w:line="276" w:lineRule="auto"/>
        <w:jc w:val="both"/>
        <w:rPr>
          <w:rFonts w:ascii="Arial" w:hAnsi="Arial" w:cs="Arial"/>
          <w:lang w:val="fr-CA"/>
        </w:rPr>
      </w:pPr>
    </w:p>
    <w:p w14:paraId="6FA7A4BA" w14:textId="6B167709" w:rsidR="00B7688F" w:rsidRPr="009A48AC" w:rsidRDefault="009A39D2" w:rsidP="009A48AC">
      <w:pPr>
        <w:spacing w:line="276" w:lineRule="auto"/>
        <w:jc w:val="both"/>
        <w:rPr>
          <w:rFonts w:ascii="Arial" w:hAnsi="Arial" w:cs="Arial"/>
          <w:lang w:val="fr-CA"/>
        </w:rPr>
      </w:pPr>
      <w:r w:rsidRPr="009A48AC">
        <w:rPr>
          <w:rFonts w:ascii="Arial" w:hAnsi="Arial" w:cs="Arial"/>
          <w:lang w:val="fr-CA"/>
        </w:rPr>
        <w:t>Cette envolée a toutefois été suivie d’une chute importante lorsque les taux d’intérêt ont été relevés, affectant les valorisations. Le secteur reste dynamique, notamment avec la croissance des firmes spécialisées en intelligence artificielle et en cybersécurité, mais très sensible aux tendances boursières et aux révisions de valorisation, d’où une volatilité persistante.</w:t>
      </w:r>
    </w:p>
    <w:p w14:paraId="5AFAF244" w14:textId="77777777" w:rsidR="009A39D2" w:rsidRPr="009A48AC" w:rsidRDefault="009A39D2" w:rsidP="009A48AC">
      <w:pPr>
        <w:spacing w:line="276" w:lineRule="auto"/>
        <w:rPr>
          <w:rFonts w:ascii="Arial" w:hAnsi="Arial" w:cs="Arial"/>
          <w:lang w:val="fr-CA"/>
        </w:rPr>
      </w:pPr>
    </w:p>
    <w:p w14:paraId="01224071" w14:textId="24CCB092" w:rsidR="009A39D2" w:rsidRPr="009A48AC" w:rsidRDefault="009A39D2"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5B9E9F0A" wp14:editId="39D481FB">
            <wp:extent cx="3898900" cy="1803400"/>
            <wp:effectExtent l="0" t="0" r="0" b="0"/>
            <wp:docPr id="478885846" name="Picture 8"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85846" name="Picture 8" descr="A graph with 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98900" cy="1803400"/>
                    </a:xfrm>
                    <a:prstGeom prst="rect">
                      <a:avLst/>
                    </a:prstGeom>
                  </pic:spPr>
                </pic:pic>
              </a:graphicData>
            </a:graphic>
          </wp:inline>
        </w:drawing>
      </w:r>
    </w:p>
    <w:p w14:paraId="1F1F5C45" w14:textId="53C170F3" w:rsidR="009A39D2" w:rsidRPr="009A48AC" w:rsidRDefault="00247923" w:rsidP="00247923">
      <w:pPr>
        <w:pStyle w:val="Lgende"/>
        <w:ind w:left="2160"/>
        <w:rPr>
          <w:rFonts w:ascii="Arial" w:hAnsi="Arial" w:cs="Arial"/>
          <w:lang w:val="fr-CA"/>
        </w:rPr>
      </w:pPr>
      <w:r>
        <w:rPr>
          <w:lang w:val="fr-FR"/>
        </w:rPr>
        <w:t xml:space="preserve">     </w:t>
      </w:r>
      <w:bookmarkStart w:id="37" w:name="_Toc196950605"/>
      <w:r w:rsidR="009A39D2" w:rsidRPr="00247923">
        <w:rPr>
          <w:lang w:val="fr-FR"/>
        </w:rPr>
        <w:t xml:space="preserve">Figure </w:t>
      </w:r>
      <w:r>
        <w:fldChar w:fldCharType="begin"/>
      </w:r>
      <w:r w:rsidRPr="00247923">
        <w:rPr>
          <w:lang w:val="fr-FR"/>
        </w:rPr>
        <w:instrText xml:space="preserve"> SEQ Figure \* ARABIC </w:instrText>
      </w:r>
      <w:r>
        <w:fldChar w:fldCharType="separate"/>
      </w:r>
      <w:r w:rsidR="00036C78">
        <w:rPr>
          <w:noProof/>
          <w:lang w:val="fr-FR"/>
        </w:rPr>
        <w:t>9</w:t>
      </w:r>
      <w:r>
        <w:fldChar w:fldCharType="end"/>
      </w:r>
      <w:r w:rsidR="002A5E1C">
        <w:rPr>
          <w:rFonts w:ascii="Arial" w:hAnsi="Arial" w:cs="Arial"/>
          <w:lang w:val="fr-CA"/>
        </w:rPr>
        <w:t xml:space="preserve"> - </w:t>
      </w:r>
      <w:r w:rsidR="009A39D2" w:rsidRPr="00247923">
        <w:rPr>
          <w:lang w:val="fr-FR"/>
        </w:rPr>
        <w:t xml:space="preserve">Évolution sectorielle – Information </w:t>
      </w:r>
      <w:proofErr w:type="spellStart"/>
      <w:r w:rsidR="009A39D2" w:rsidRPr="00247923">
        <w:rPr>
          <w:lang w:val="fr-FR"/>
        </w:rPr>
        <w:t>Technology</w:t>
      </w:r>
      <w:bookmarkEnd w:id="37"/>
      <w:proofErr w:type="spellEnd"/>
    </w:p>
    <w:p w14:paraId="64C6A130" w14:textId="47DB384C" w:rsidR="00140DF5" w:rsidRPr="009A48AC" w:rsidRDefault="000B0F15" w:rsidP="009A48AC">
      <w:pPr>
        <w:pStyle w:val="Titre3"/>
        <w:spacing w:line="276" w:lineRule="auto"/>
        <w:rPr>
          <w:rFonts w:ascii="Arial" w:hAnsi="Arial" w:cs="Arial"/>
          <w:lang w:val="fr-CA"/>
        </w:rPr>
      </w:pPr>
      <w:bookmarkStart w:id="38" w:name="_Toc199594614"/>
      <w:r>
        <w:rPr>
          <w:rFonts w:ascii="Arial" w:hAnsi="Arial" w:cs="Arial"/>
          <w:lang w:val="fr-CA"/>
        </w:rPr>
        <w:t>3.</w:t>
      </w:r>
      <w:r w:rsidR="00140DF5" w:rsidRPr="009A48AC">
        <w:rPr>
          <w:rFonts w:ascii="Arial" w:hAnsi="Arial" w:cs="Arial"/>
          <w:lang w:val="fr-CA"/>
        </w:rPr>
        <w:t>2.6 Matériaux</w:t>
      </w:r>
      <w:bookmarkEnd w:id="38"/>
    </w:p>
    <w:p w14:paraId="1AFB3EC3" w14:textId="77777777" w:rsidR="00910DA0" w:rsidRPr="009A48AC" w:rsidRDefault="00910DA0" w:rsidP="009A48AC">
      <w:pPr>
        <w:spacing w:line="276" w:lineRule="auto"/>
        <w:jc w:val="both"/>
        <w:rPr>
          <w:rFonts w:ascii="Arial" w:hAnsi="Arial" w:cs="Arial"/>
          <w:lang w:val="fr-CA"/>
        </w:rPr>
      </w:pPr>
      <w:r w:rsidRPr="009A48AC">
        <w:rPr>
          <w:rFonts w:ascii="Arial" w:hAnsi="Arial" w:cs="Arial"/>
          <w:lang w:val="fr-CA"/>
        </w:rPr>
        <w:t>Le secteur des matériaux a connu un cycle marqué. En 2022, les prix des métaux ont fortement augmenté, portés par l’inflation et les tensions géopolitiques. Cette flambée a été bénéfique à court terme pour les entreprises canadiennes du secteur.</w:t>
      </w:r>
    </w:p>
    <w:p w14:paraId="33A37637" w14:textId="77777777" w:rsidR="00910DA0" w:rsidRPr="009A48AC" w:rsidRDefault="00910DA0" w:rsidP="009A48AC">
      <w:pPr>
        <w:spacing w:line="276" w:lineRule="auto"/>
        <w:jc w:val="both"/>
        <w:rPr>
          <w:rFonts w:ascii="Arial" w:hAnsi="Arial" w:cs="Arial"/>
          <w:lang w:val="fr-CA"/>
        </w:rPr>
      </w:pPr>
    </w:p>
    <w:p w14:paraId="7A99FE6E" w14:textId="20FAD860" w:rsidR="001210DF" w:rsidRPr="009A48AC" w:rsidRDefault="00910DA0" w:rsidP="009A48AC">
      <w:pPr>
        <w:spacing w:line="276" w:lineRule="auto"/>
        <w:jc w:val="both"/>
        <w:rPr>
          <w:rFonts w:ascii="Arial" w:hAnsi="Arial" w:cs="Arial"/>
          <w:lang w:val="fr-CA"/>
        </w:rPr>
      </w:pPr>
      <w:r w:rsidRPr="009A48AC">
        <w:rPr>
          <w:rFonts w:ascii="Arial" w:hAnsi="Arial" w:cs="Arial"/>
          <w:lang w:val="fr-CA"/>
        </w:rPr>
        <w:t>Cependant, en 2023, la demande mondiale a fortement ralenti, notamment en Chine, principal partenaire commercial du Canada pour les matières premières, ce qui a entraîné une contraction du secteur. Cette dynamique en dents de scie explique une performance contrastée.</w:t>
      </w:r>
    </w:p>
    <w:p w14:paraId="73F70A2F" w14:textId="77777777" w:rsidR="00910DA0" w:rsidRPr="009A48AC" w:rsidRDefault="00910DA0" w:rsidP="009A48AC">
      <w:pPr>
        <w:spacing w:line="276" w:lineRule="auto"/>
        <w:rPr>
          <w:rFonts w:ascii="Arial" w:hAnsi="Arial" w:cs="Arial"/>
          <w:lang w:val="fr-CA"/>
        </w:rPr>
      </w:pPr>
    </w:p>
    <w:p w14:paraId="0222F84B" w14:textId="18F4CDF0" w:rsidR="00910DA0" w:rsidRPr="009A48AC" w:rsidRDefault="00140DF5" w:rsidP="009A48AC">
      <w:pPr>
        <w:spacing w:line="276" w:lineRule="auto"/>
        <w:jc w:val="center"/>
        <w:rPr>
          <w:rFonts w:ascii="Arial" w:hAnsi="Arial" w:cs="Arial"/>
          <w:lang w:val="fr-CA"/>
        </w:rPr>
      </w:pPr>
      <w:r w:rsidRPr="009A48AC">
        <w:rPr>
          <w:rFonts w:ascii="Arial" w:hAnsi="Arial" w:cs="Arial"/>
          <w:noProof/>
          <w:lang w:val="fr-CA"/>
          <w14:ligatures w14:val="standardContextual"/>
        </w:rPr>
        <w:lastRenderedPageBreak/>
        <w:drawing>
          <wp:inline distT="0" distB="0" distL="0" distR="0" wp14:anchorId="028D3DAB" wp14:editId="7C5A8B35">
            <wp:extent cx="3848100" cy="1752600"/>
            <wp:effectExtent l="0" t="0" r="0" b="0"/>
            <wp:docPr id="189971675" name="Picture 9" descr="A graph of 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675" name="Picture 9" descr="A graph of a graph showing the number of the stock marke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848100" cy="1752600"/>
                    </a:xfrm>
                    <a:prstGeom prst="rect">
                      <a:avLst/>
                    </a:prstGeom>
                  </pic:spPr>
                </pic:pic>
              </a:graphicData>
            </a:graphic>
          </wp:inline>
        </w:drawing>
      </w:r>
    </w:p>
    <w:p w14:paraId="4A8C92EE" w14:textId="38892909" w:rsidR="00140DF5" w:rsidRPr="009A48AC" w:rsidRDefault="00140DF5" w:rsidP="00247923">
      <w:pPr>
        <w:pStyle w:val="Lgende"/>
        <w:ind w:left="2160" w:firstLine="720"/>
        <w:rPr>
          <w:rFonts w:ascii="Arial" w:hAnsi="Arial" w:cs="Arial"/>
          <w:lang w:val="fr-CA"/>
        </w:rPr>
      </w:pPr>
      <w:bookmarkStart w:id="39" w:name="_Toc196950606"/>
      <w:r w:rsidRPr="00247923">
        <w:rPr>
          <w:lang w:val="fr-FR"/>
        </w:rPr>
        <w:t xml:space="preserve">Figure </w:t>
      </w:r>
      <w:r w:rsidR="00247923">
        <w:fldChar w:fldCharType="begin"/>
      </w:r>
      <w:r w:rsidR="00247923" w:rsidRPr="00247923">
        <w:rPr>
          <w:lang w:val="fr-FR"/>
        </w:rPr>
        <w:instrText xml:space="preserve"> SEQ Figure \* ARABIC </w:instrText>
      </w:r>
      <w:r w:rsidR="00247923">
        <w:fldChar w:fldCharType="separate"/>
      </w:r>
      <w:r w:rsidR="00036C78">
        <w:rPr>
          <w:noProof/>
          <w:lang w:val="fr-FR"/>
        </w:rPr>
        <w:t>10</w:t>
      </w:r>
      <w:r w:rsidR="00247923">
        <w:fldChar w:fldCharType="end"/>
      </w:r>
      <w:r w:rsidR="002A5E1C">
        <w:rPr>
          <w:lang w:val="fr-FR"/>
        </w:rPr>
        <w:t xml:space="preserve"> - </w:t>
      </w:r>
      <w:r w:rsidRPr="00247923">
        <w:rPr>
          <w:lang w:val="fr-FR"/>
        </w:rPr>
        <w:t>Évolution sectorielle – Materials</w:t>
      </w:r>
      <w:bookmarkEnd w:id="39"/>
    </w:p>
    <w:p w14:paraId="1E918E50" w14:textId="35A9A0F8" w:rsidR="00910DA0" w:rsidRPr="009A48AC" w:rsidRDefault="000B0F15" w:rsidP="009A48AC">
      <w:pPr>
        <w:pStyle w:val="Titre3"/>
        <w:spacing w:line="276" w:lineRule="auto"/>
        <w:rPr>
          <w:rFonts w:ascii="Arial" w:hAnsi="Arial" w:cs="Arial"/>
          <w:lang w:val="fr-CA"/>
        </w:rPr>
      </w:pPr>
      <w:bookmarkStart w:id="40" w:name="_Toc199594615"/>
      <w:r>
        <w:rPr>
          <w:rFonts w:ascii="Arial" w:hAnsi="Arial" w:cs="Arial"/>
          <w:lang w:val="fr-CA"/>
        </w:rPr>
        <w:t>3.</w:t>
      </w:r>
      <w:r w:rsidR="00910DA0" w:rsidRPr="009A48AC">
        <w:rPr>
          <w:rFonts w:ascii="Arial" w:hAnsi="Arial" w:cs="Arial"/>
          <w:lang w:val="fr-CA"/>
        </w:rPr>
        <w:t xml:space="preserve">2.7 </w:t>
      </w:r>
      <w:proofErr w:type="spellStart"/>
      <w:r w:rsidR="005F1AE3" w:rsidRPr="009A48AC">
        <w:rPr>
          <w:rFonts w:ascii="Arial" w:hAnsi="Arial" w:cs="Arial"/>
          <w:lang w:val="fr-CA"/>
        </w:rPr>
        <w:t>REITs</w:t>
      </w:r>
      <w:bookmarkEnd w:id="40"/>
      <w:proofErr w:type="spellEnd"/>
    </w:p>
    <w:p w14:paraId="261AC0A4" w14:textId="77777777" w:rsidR="00DA5E97" w:rsidRPr="009A48AC" w:rsidRDefault="00DA5E97" w:rsidP="009A48AC">
      <w:pPr>
        <w:spacing w:line="276" w:lineRule="auto"/>
        <w:jc w:val="both"/>
        <w:rPr>
          <w:rFonts w:ascii="Arial" w:hAnsi="Arial" w:cs="Arial"/>
          <w:lang w:val="fr-CA"/>
        </w:rPr>
      </w:pPr>
      <w:r w:rsidRPr="009A48AC">
        <w:rPr>
          <w:rFonts w:ascii="Arial" w:hAnsi="Arial" w:cs="Arial"/>
          <w:lang w:val="fr-CA"/>
        </w:rPr>
        <w:t>Le secteur des fiducies de placement immobilier (</w:t>
      </w:r>
      <w:proofErr w:type="spellStart"/>
      <w:r w:rsidRPr="009A48AC">
        <w:rPr>
          <w:rFonts w:ascii="Arial" w:hAnsi="Arial" w:cs="Arial"/>
          <w:lang w:val="fr-CA"/>
        </w:rPr>
        <w:t>REITs</w:t>
      </w:r>
      <w:proofErr w:type="spellEnd"/>
      <w:r w:rsidRPr="009A48AC">
        <w:rPr>
          <w:rFonts w:ascii="Arial" w:hAnsi="Arial" w:cs="Arial"/>
          <w:lang w:val="fr-CA"/>
        </w:rPr>
        <w:t xml:space="preserve">) a été l’un des plus affectés par la conjoncture monétaire. La hausse des taux d’intérêt a directement augmenté le coût du capital pour les acteurs immobiliers, réduisant leur attractivité auprès des investisseurs. De plus, le télétravail a profondément modifié la demande pour les espaces de bureaux, entraînant un repli dans le segment des </w:t>
      </w:r>
      <w:proofErr w:type="spellStart"/>
      <w:r w:rsidRPr="009A48AC">
        <w:rPr>
          <w:rFonts w:ascii="Arial" w:hAnsi="Arial" w:cs="Arial"/>
          <w:lang w:val="fr-CA"/>
        </w:rPr>
        <w:t>REITs</w:t>
      </w:r>
      <w:proofErr w:type="spellEnd"/>
      <w:r w:rsidRPr="009A48AC">
        <w:rPr>
          <w:rFonts w:ascii="Arial" w:hAnsi="Arial" w:cs="Arial"/>
          <w:lang w:val="fr-CA"/>
        </w:rPr>
        <w:t xml:space="preserve"> commerciaux.</w:t>
      </w:r>
    </w:p>
    <w:p w14:paraId="6B5D23D3" w14:textId="77777777" w:rsidR="00DA5E97" w:rsidRPr="009A48AC" w:rsidRDefault="00DA5E97" w:rsidP="009A48AC">
      <w:pPr>
        <w:spacing w:line="276" w:lineRule="auto"/>
        <w:jc w:val="both"/>
        <w:rPr>
          <w:rFonts w:ascii="Arial" w:hAnsi="Arial" w:cs="Arial"/>
          <w:lang w:val="fr-CA"/>
        </w:rPr>
      </w:pPr>
    </w:p>
    <w:p w14:paraId="49000BAF" w14:textId="6F344418" w:rsidR="00DA5E97" w:rsidRPr="009A48AC" w:rsidRDefault="00DA5E97" w:rsidP="009A48AC">
      <w:pPr>
        <w:spacing w:line="276" w:lineRule="auto"/>
        <w:jc w:val="both"/>
        <w:rPr>
          <w:rFonts w:ascii="Arial" w:hAnsi="Arial" w:cs="Arial"/>
          <w:lang w:val="fr-CA"/>
        </w:rPr>
      </w:pPr>
      <w:r w:rsidRPr="009A48AC">
        <w:rPr>
          <w:rFonts w:ascii="Arial" w:hAnsi="Arial" w:cs="Arial"/>
          <w:lang w:val="fr-CA"/>
        </w:rPr>
        <w:t xml:space="preserve">Ces effets conjoints expliquent des </w:t>
      </w:r>
      <w:proofErr w:type="spellStart"/>
      <w:r w:rsidRPr="009A48AC">
        <w:rPr>
          <w:rFonts w:ascii="Arial" w:hAnsi="Arial" w:cs="Arial"/>
          <w:lang w:val="fr-CA"/>
        </w:rPr>
        <w:t>drawdowns</w:t>
      </w:r>
      <w:proofErr w:type="spellEnd"/>
      <w:r w:rsidRPr="009A48AC">
        <w:rPr>
          <w:rFonts w:ascii="Arial" w:hAnsi="Arial" w:cs="Arial"/>
          <w:lang w:val="fr-CA"/>
        </w:rPr>
        <w:t xml:space="preserve"> persistants et une sous-performance visible du secteur sur la période.</w:t>
      </w:r>
    </w:p>
    <w:p w14:paraId="3256A421" w14:textId="77777777" w:rsidR="00DA5E97" w:rsidRPr="009A48AC" w:rsidRDefault="00DA5E97" w:rsidP="009A48AC">
      <w:pPr>
        <w:spacing w:line="276" w:lineRule="auto"/>
        <w:rPr>
          <w:rFonts w:ascii="Arial" w:hAnsi="Arial" w:cs="Arial"/>
          <w:lang w:val="fr-CA"/>
        </w:rPr>
      </w:pPr>
    </w:p>
    <w:p w14:paraId="76857A9A" w14:textId="2277FB71" w:rsidR="00DA5E97" w:rsidRPr="009A48AC" w:rsidRDefault="00DA5E97"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1ABD01F5" wp14:editId="12EA8A75">
            <wp:extent cx="3810000" cy="1714500"/>
            <wp:effectExtent l="0" t="0" r="0" b="0"/>
            <wp:docPr id="1081759268" name="Picture 10" descr="A graph of a graph showing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59268" name="Picture 10" descr="A graph of a graph showing a red l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10000" cy="1714500"/>
                    </a:xfrm>
                    <a:prstGeom prst="rect">
                      <a:avLst/>
                    </a:prstGeom>
                  </pic:spPr>
                </pic:pic>
              </a:graphicData>
            </a:graphic>
          </wp:inline>
        </w:drawing>
      </w:r>
    </w:p>
    <w:p w14:paraId="07AF50C6" w14:textId="18ED7B2C" w:rsidR="00247923" w:rsidRPr="009A48AC" w:rsidRDefault="00247923" w:rsidP="00247923">
      <w:pPr>
        <w:pStyle w:val="Lgende"/>
        <w:ind w:left="2160" w:firstLine="720"/>
        <w:rPr>
          <w:rFonts w:ascii="Arial" w:hAnsi="Arial" w:cs="Arial"/>
          <w:lang w:val="fr-CA"/>
        </w:rPr>
      </w:pPr>
      <w:bookmarkStart w:id="41" w:name="_Toc196950607"/>
      <w:r w:rsidRPr="00247923">
        <w:rPr>
          <w:lang w:val="fr-FR"/>
        </w:rPr>
        <w:t xml:space="preserve">Figure </w:t>
      </w:r>
      <w:r>
        <w:fldChar w:fldCharType="begin"/>
      </w:r>
      <w:r w:rsidRPr="00247923">
        <w:rPr>
          <w:lang w:val="fr-FR"/>
        </w:rPr>
        <w:instrText xml:space="preserve"> SEQ Figure \* ARABIC </w:instrText>
      </w:r>
      <w:r>
        <w:fldChar w:fldCharType="separate"/>
      </w:r>
      <w:r w:rsidR="00036C78">
        <w:rPr>
          <w:noProof/>
          <w:lang w:val="fr-FR"/>
        </w:rPr>
        <w:t>11</w:t>
      </w:r>
      <w:r>
        <w:fldChar w:fldCharType="end"/>
      </w:r>
      <w:r w:rsidR="002A5E1C">
        <w:rPr>
          <w:lang w:val="fr-FR"/>
        </w:rPr>
        <w:t xml:space="preserve"> - </w:t>
      </w:r>
      <w:r w:rsidRPr="00247923">
        <w:rPr>
          <w:lang w:val="fr-FR"/>
        </w:rPr>
        <w:t>Évolution sectorielle – REITS</w:t>
      </w:r>
      <w:bookmarkEnd w:id="41"/>
    </w:p>
    <w:p w14:paraId="2A8C2AD6" w14:textId="050D9215" w:rsidR="00DA5E97" w:rsidRPr="009A48AC" w:rsidRDefault="000B0F15" w:rsidP="009A48AC">
      <w:pPr>
        <w:pStyle w:val="Titre3"/>
        <w:spacing w:line="276" w:lineRule="auto"/>
        <w:rPr>
          <w:rFonts w:ascii="Arial" w:hAnsi="Arial" w:cs="Arial"/>
          <w:lang w:val="fr-CA"/>
        </w:rPr>
      </w:pPr>
      <w:bookmarkStart w:id="42" w:name="_Toc199594616"/>
      <w:r>
        <w:rPr>
          <w:rFonts w:ascii="Arial" w:hAnsi="Arial" w:cs="Arial"/>
          <w:lang w:val="fr-CA"/>
        </w:rPr>
        <w:t>3.</w:t>
      </w:r>
      <w:r w:rsidR="00DA5E97" w:rsidRPr="009A48AC">
        <w:rPr>
          <w:rFonts w:ascii="Arial" w:hAnsi="Arial" w:cs="Arial"/>
          <w:lang w:val="fr-CA"/>
        </w:rPr>
        <w:t>2.8 Télécommunications</w:t>
      </w:r>
      <w:bookmarkEnd w:id="42"/>
    </w:p>
    <w:p w14:paraId="6210E14B" w14:textId="77777777" w:rsidR="00F077FA" w:rsidRPr="009A48AC" w:rsidRDefault="00F077FA" w:rsidP="009A48AC">
      <w:pPr>
        <w:spacing w:line="276" w:lineRule="auto"/>
        <w:jc w:val="both"/>
        <w:rPr>
          <w:rFonts w:ascii="Arial" w:hAnsi="Arial" w:cs="Arial"/>
          <w:lang w:val="fr-CA"/>
        </w:rPr>
      </w:pPr>
      <w:r w:rsidRPr="009A48AC">
        <w:rPr>
          <w:rFonts w:ascii="Arial" w:hAnsi="Arial" w:cs="Arial"/>
          <w:lang w:val="fr-CA"/>
        </w:rPr>
        <w:t xml:space="preserve">Le secteur des télécoms est le seul à avoir enregistré un rendement annuel négatif (-6 %). Ce résultat décevant peut s’expliquer par la concentration du marché canadien, dominé par quelques grands acteurs (Rogers, Bell, </w:t>
      </w:r>
      <w:proofErr w:type="spellStart"/>
      <w:r w:rsidRPr="009A48AC">
        <w:rPr>
          <w:rFonts w:ascii="Arial" w:hAnsi="Arial" w:cs="Arial"/>
          <w:lang w:val="fr-CA"/>
        </w:rPr>
        <w:t>Telus</w:t>
      </w:r>
      <w:proofErr w:type="spellEnd"/>
      <w:r w:rsidRPr="009A48AC">
        <w:rPr>
          <w:rFonts w:ascii="Arial" w:hAnsi="Arial" w:cs="Arial"/>
          <w:lang w:val="fr-CA"/>
        </w:rPr>
        <w:t>), dont les marges sont comprimées par le manque d’innovation et par des pressions réglementaires (ex. CRTC exigeant la baisse des prix pour les consommateurs).</w:t>
      </w:r>
    </w:p>
    <w:p w14:paraId="3C9FD37C" w14:textId="77777777" w:rsidR="00F077FA" w:rsidRPr="009A48AC" w:rsidRDefault="00F077FA" w:rsidP="009A48AC">
      <w:pPr>
        <w:spacing w:line="276" w:lineRule="auto"/>
        <w:jc w:val="both"/>
        <w:rPr>
          <w:rFonts w:ascii="Arial" w:hAnsi="Arial" w:cs="Arial"/>
          <w:lang w:val="fr-CA"/>
        </w:rPr>
      </w:pPr>
    </w:p>
    <w:p w14:paraId="297B9786" w14:textId="5A8122B3" w:rsidR="00DA5E97" w:rsidRPr="009A48AC" w:rsidRDefault="00F077FA" w:rsidP="009A48AC">
      <w:pPr>
        <w:spacing w:line="276" w:lineRule="auto"/>
        <w:jc w:val="both"/>
        <w:rPr>
          <w:rFonts w:ascii="Arial" w:hAnsi="Arial" w:cs="Arial"/>
          <w:lang w:val="fr-CA"/>
        </w:rPr>
      </w:pPr>
      <w:r w:rsidRPr="009A48AC">
        <w:rPr>
          <w:rFonts w:ascii="Arial" w:hAnsi="Arial" w:cs="Arial"/>
          <w:lang w:val="fr-CA"/>
        </w:rPr>
        <w:t>L’épisode du crash de Rogers en 2022 a aussi terni l’image du secteur et illustré les risques opérationnels importants. Ce secteur apparaît donc comme une source de fragilité pour le portefeuille.</w:t>
      </w:r>
    </w:p>
    <w:p w14:paraId="52889D28" w14:textId="673DD324" w:rsidR="00F077FA" w:rsidRPr="009A48AC" w:rsidRDefault="00EB0DF1" w:rsidP="009A48AC">
      <w:pPr>
        <w:spacing w:line="276" w:lineRule="auto"/>
        <w:jc w:val="center"/>
        <w:rPr>
          <w:rFonts w:ascii="Arial" w:hAnsi="Arial" w:cs="Arial"/>
          <w:lang w:val="fr-CA"/>
        </w:rPr>
      </w:pPr>
      <w:r w:rsidRPr="009A48AC">
        <w:rPr>
          <w:rFonts w:ascii="Arial" w:hAnsi="Arial" w:cs="Arial"/>
          <w:noProof/>
          <w:lang w:val="fr-CA"/>
          <w14:ligatures w14:val="standardContextual"/>
        </w:rPr>
        <w:lastRenderedPageBreak/>
        <w:drawing>
          <wp:inline distT="0" distB="0" distL="0" distR="0" wp14:anchorId="49DA023D" wp14:editId="18A72E33">
            <wp:extent cx="3860800" cy="1752600"/>
            <wp:effectExtent l="0" t="0" r="0" b="0"/>
            <wp:docPr id="128646529" name="Picture 11" descr="A graph showing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6529" name="Picture 11" descr="A graph showing a red li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860800" cy="1752600"/>
                    </a:xfrm>
                    <a:prstGeom prst="rect">
                      <a:avLst/>
                    </a:prstGeom>
                  </pic:spPr>
                </pic:pic>
              </a:graphicData>
            </a:graphic>
          </wp:inline>
        </w:drawing>
      </w:r>
    </w:p>
    <w:p w14:paraId="34EC0C21" w14:textId="345903DA" w:rsidR="00EB0DF1" w:rsidRPr="009A48AC" w:rsidRDefault="00EB0DF1" w:rsidP="00247923">
      <w:pPr>
        <w:pStyle w:val="Lgende"/>
        <w:ind w:left="2880"/>
        <w:rPr>
          <w:rFonts w:ascii="Arial" w:hAnsi="Arial" w:cs="Arial"/>
          <w:lang w:val="fr-CA"/>
        </w:rPr>
      </w:pPr>
      <w:bookmarkStart w:id="43" w:name="_Toc196950608"/>
      <w:r w:rsidRPr="00247923">
        <w:rPr>
          <w:lang w:val="fr-FR"/>
        </w:rPr>
        <w:t xml:space="preserve">Figure </w:t>
      </w:r>
      <w:r w:rsidR="00247923">
        <w:fldChar w:fldCharType="begin"/>
      </w:r>
      <w:r w:rsidR="00247923" w:rsidRPr="00247923">
        <w:rPr>
          <w:lang w:val="fr-FR"/>
        </w:rPr>
        <w:instrText xml:space="preserve"> SEQ Figure \* ARABIC </w:instrText>
      </w:r>
      <w:r w:rsidR="00247923">
        <w:fldChar w:fldCharType="separate"/>
      </w:r>
      <w:r w:rsidR="00036C78">
        <w:rPr>
          <w:noProof/>
          <w:lang w:val="fr-FR"/>
        </w:rPr>
        <w:t>12</w:t>
      </w:r>
      <w:r w:rsidR="00247923">
        <w:fldChar w:fldCharType="end"/>
      </w:r>
      <w:r w:rsidR="002A5E1C">
        <w:rPr>
          <w:lang w:val="fr-FR"/>
        </w:rPr>
        <w:t xml:space="preserve"> - </w:t>
      </w:r>
      <w:r w:rsidR="001F535B" w:rsidRPr="00247923">
        <w:rPr>
          <w:lang w:val="fr-FR"/>
        </w:rPr>
        <w:t>Évolution sectorielle - Telecom</w:t>
      </w:r>
      <w:bookmarkEnd w:id="43"/>
    </w:p>
    <w:p w14:paraId="7B98803E" w14:textId="3B30262F" w:rsidR="001F535B" w:rsidRPr="009A48AC" w:rsidRDefault="000B0F15" w:rsidP="009A48AC">
      <w:pPr>
        <w:pStyle w:val="Titre3"/>
        <w:spacing w:line="276" w:lineRule="auto"/>
        <w:rPr>
          <w:rFonts w:ascii="Arial" w:hAnsi="Arial" w:cs="Arial"/>
          <w:lang w:val="fr-CA"/>
        </w:rPr>
      </w:pPr>
      <w:bookmarkStart w:id="44" w:name="_Toc199594617"/>
      <w:r>
        <w:rPr>
          <w:rFonts w:ascii="Arial" w:hAnsi="Arial" w:cs="Arial"/>
          <w:lang w:val="fr-CA"/>
        </w:rPr>
        <w:t>3.</w:t>
      </w:r>
      <w:r w:rsidR="001F535B" w:rsidRPr="009A48AC">
        <w:rPr>
          <w:rFonts w:ascii="Arial" w:hAnsi="Arial" w:cs="Arial"/>
          <w:lang w:val="fr-CA"/>
        </w:rPr>
        <w:t>2.</w:t>
      </w:r>
      <w:r w:rsidR="00CD52FD" w:rsidRPr="009A48AC">
        <w:rPr>
          <w:rFonts w:ascii="Arial" w:hAnsi="Arial" w:cs="Arial"/>
          <w:lang w:val="fr-CA"/>
        </w:rPr>
        <w:t>9</w:t>
      </w:r>
      <w:r w:rsidR="001F535B" w:rsidRPr="009A48AC">
        <w:rPr>
          <w:rFonts w:ascii="Arial" w:hAnsi="Arial" w:cs="Arial"/>
          <w:lang w:val="fr-CA"/>
        </w:rPr>
        <w:t xml:space="preserve"> Services publics (Utilities)</w:t>
      </w:r>
      <w:bookmarkEnd w:id="44"/>
    </w:p>
    <w:p w14:paraId="14760DFB" w14:textId="77777777" w:rsidR="00015049" w:rsidRPr="009A48AC" w:rsidRDefault="00015049" w:rsidP="009A48AC">
      <w:pPr>
        <w:spacing w:line="276" w:lineRule="auto"/>
        <w:jc w:val="both"/>
        <w:rPr>
          <w:rFonts w:ascii="Arial" w:hAnsi="Arial" w:cs="Arial"/>
          <w:lang w:val="fr-CA"/>
        </w:rPr>
      </w:pPr>
      <w:r w:rsidRPr="009A48AC">
        <w:rPr>
          <w:rFonts w:ascii="Arial" w:hAnsi="Arial" w:cs="Arial"/>
          <w:lang w:val="fr-CA"/>
        </w:rPr>
        <w:t>Les biens et services publics ont offert une performance stable, conforme à leur nature défensive. Ce secteur est fortement réglementé au Canada, ce qui limite sa volatilité et assure une rentabilité modeste mais constante.</w:t>
      </w:r>
    </w:p>
    <w:p w14:paraId="10030F96" w14:textId="77777777" w:rsidR="00015049" w:rsidRPr="009A48AC" w:rsidRDefault="00015049" w:rsidP="009A48AC">
      <w:pPr>
        <w:spacing w:line="276" w:lineRule="auto"/>
        <w:jc w:val="both"/>
        <w:rPr>
          <w:rFonts w:ascii="Arial" w:hAnsi="Arial" w:cs="Arial"/>
          <w:lang w:val="fr-CA"/>
        </w:rPr>
      </w:pPr>
    </w:p>
    <w:p w14:paraId="16F0F4CD" w14:textId="607996DA" w:rsidR="00EB0DF1" w:rsidRPr="009A48AC" w:rsidRDefault="00015049" w:rsidP="009A48AC">
      <w:pPr>
        <w:spacing w:line="276" w:lineRule="auto"/>
        <w:jc w:val="both"/>
        <w:rPr>
          <w:rFonts w:ascii="Arial" w:hAnsi="Arial" w:cs="Arial"/>
          <w:lang w:val="fr-CA"/>
        </w:rPr>
      </w:pPr>
      <w:r w:rsidRPr="009A48AC">
        <w:rPr>
          <w:rFonts w:ascii="Arial" w:hAnsi="Arial" w:cs="Arial"/>
          <w:lang w:val="fr-CA"/>
        </w:rPr>
        <w:t>Cependant, il reste sensible aux taux d’intérêt, puisque ceux-ci influencent fortement la capacité d’investissement dans les infrastructures. Cette dynamique explique une croissance modérée mais régulière.</w:t>
      </w:r>
    </w:p>
    <w:p w14:paraId="0C4087E2" w14:textId="74D45996" w:rsidR="00F077FA" w:rsidRPr="009A48AC" w:rsidRDefault="00015049" w:rsidP="009A48AC">
      <w:pPr>
        <w:spacing w:line="276" w:lineRule="auto"/>
        <w:jc w:val="center"/>
        <w:rPr>
          <w:rFonts w:ascii="Arial" w:hAnsi="Arial" w:cs="Arial"/>
          <w:lang w:val="fr-CA"/>
        </w:rPr>
      </w:pPr>
      <w:r w:rsidRPr="009A48AC">
        <w:rPr>
          <w:rFonts w:ascii="Arial" w:hAnsi="Arial" w:cs="Arial"/>
          <w:noProof/>
          <w:lang w:val="fr-CA"/>
          <w14:ligatures w14:val="standardContextual"/>
        </w:rPr>
        <w:drawing>
          <wp:inline distT="0" distB="0" distL="0" distR="0" wp14:anchorId="117DC8BB" wp14:editId="0331A680">
            <wp:extent cx="3911600" cy="1790700"/>
            <wp:effectExtent l="0" t="0" r="0" b="0"/>
            <wp:docPr id="13461784" name="Picture 12"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784" name="Picture 12" descr="A graph with red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911600" cy="1790700"/>
                    </a:xfrm>
                    <a:prstGeom prst="rect">
                      <a:avLst/>
                    </a:prstGeom>
                  </pic:spPr>
                </pic:pic>
              </a:graphicData>
            </a:graphic>
          </wp:inline>
        </w:drawing>
      </w:r>
    </w:p>
    <w:p w14:paraId="66A27989" w14:textId="3A922CEB" w:rsidR="00CD52FD" w:rsidRPr="009A48AC" w:rsidRDefault="00247923" w:rsidP="00247923">
      <w:pPr>
        <w:pStyle w:val="Lgende"/>
        <w:rPr>
          <w:rFonts w:ascii="Arial" w:hAnsi="Arial" w:cs="Arial"/>
          <w:lang w:val="fr-CA"/>
        </w:rPr>
      </w:pPr>
      <w:r w:rsidRPr="00247923">
        <w:rPr>
          <w:lang w:val="fr-FR"/>
        </w:rPr>
        <w:t xml:space="preserve">                      </w:t>
      </w:r>
      <w:r>
        <w:rPr>
          <w:lang w:val="fr-FR"/>
        </w:rPr>
        <w:t xml:space="preserve">                                             </w:t>
      </w:r>
      <w:bookmarkStart w:id="45" w:name="_Toc196950609"/>
      <w:r w:rsidRPr="00247923">
        <w:rPr>
          <w:lang w:val="fr-FR"/>
        </w:rPr>
        <w:t xml:space="preserve">Figure </w:t>
      </w:r>
      <w:r>
        <w:fldChar w:fldCharType="begin"/>
      </w:r>
      <w:r w:rsidRPr="00247923">
        <w:rPr>
          <w:lang w:val="fr-FR"/>
        </w:rPr>
        <w:instrText xml:space="preserve"> SEQ Figure \* ARABIC </w:instrText>
      </w:r>
      <w:r>
        <w:fldChar w:fldCharType="separate"/>
      </w:r>
      <w:r w:rsidR="00036C78">
        <w:rPr>
          <w:noProof/>
          <w:lang w:val="fr-FR"/>
        </w:rPr>
        <w:t>13</w:t>
      </w:r>
      <w:r>
        <w:fldChar w:fldCharType="end"/>
      </w:r>
      <w:r w:rsidR="002A5E1C">
        <w:rPr>
          <w:lang w:val="fr-FR"/>
        </w:rPr>
        <w:t xml:space="preserve"> - </w:t>
      </w:r>
      <w:r w:rsidRPr="00247923">
        <w:rPr>
          <w:lang w:val="fr-FR"/>
        </w:rPr>
        <w:t>Évolution sectorielle - Utilities</w:t>
      </w:r>
      <w:bookmarkEnd w:id="45"/>
    </w:p>
    <w:p w14:paraId="392C7386" w14:textId="2F0AAA78" w:rsidR="00CD52FD" w:rsidRPr="009A48AC" w:rsidRDefault="000B0F15" w:rsidP="009A48AC">
      <w:pPr>
        <w:pStyle w:val="Titre3"/>
        <w:spacing w:line="276" w:lineRule="auto"/>
        <w:rPr>
          <w:rFonts w:ascii="Arial" w:hAnsi="Arial" w:cs="Arial"/>
          <w:lang w:val="fr-CA"/>
        </w:rPr>
      </w:pPr>
      <w:bookmarkStart w:id="46" w:name="_Toc199594618"/>
      <w:r>
        <w:rPr>
          <w:rFonts w:ascii="Arial" w:hAnsi="Arial" w:cs="Arial"/>
          <w:lang w:val="fr-CA"/>
        </w:rPr>
        <w:t>3.</w:t>
      </w:r>
      <w:r w:rsidR="00CD52FD" w:rsidRPr="009A48AC">
        <w:rPr>
          <w:rFonts w:ascii="Arial" w:hAnsi="Arial" w:cs="Arial"/>
          <w:lang w:val="fr-CA"/>
        </w:rPr>
        <w:t>2.10 Financier</w:t>
      </w:r>
      <w:bookmarkEnd w:id="46"/>
    </w:p>
    <w:p w14:paraId="418005C5" w14:textId="77777777" w:rsidR="00CD52FD" w:rsidRPr="009A48AC" w:rsidRDefault="00CD52FD" w:rsidP="009A48AC">
      <w:pPr>
        <w:spacing w:line="276" w:lineRule="auto"/>
        <w:jc w:val="both"/>
        <w:rPr>
          <w:rFonts w:ascii="Arial" w:hAnsi="Arial" w:cs="Arial"/>
          <w:lang w:val="fr-CA"/>
        </w:rPr>
      </w:pPr>
      <w:r w:rsidRPr="009A48AC">
        <w:rPr>
          <w:rFonts w:ascii="Arial" w:hAnsi="Arial" w:cs="Arial"/>
          <w:lang w:val="fr-CA"/>
        </w:rPr>
        <w:t>Le secteur bancaire canadien, bien représenté dans le portefeuille avec des institutions comme la RBC, la TD ou la BNC, a subi une perte importante en 2020, en lien avec les craintes autour du marché immobilier et les turbulences de marché post-COVID.</w:t>
      </w:r>
    </w:p>
    <w:p w14:paraId="676A2B75" w14:textId="77777777" w:rsidR="00CD52FD" w:rsidRPr="009A48AC" w:rsidRDefault="00CD52FD" w:rsidP="009A48AC">
      <w:pPr>
        <w:spacing w:line="276" w:lineRule="auto"/>
        <w:jc w:val="both"/>
        <w:rPr>
          <w:rFonts w:ascii="Arial" w:hAnsi="Arial" w:cs="Arial"/>
          <w:lang w:val="fr-CA"/>
        </w:rPr>
      </w:pPr>
    </w:p>
    <w:p w14:paraId="0C1C48AE" w14:textId="77777777" w:rsidR="00001530" w:rsidRPr="009A48AC" w:rsidRDefault="00CD52FD" w:rsidP="009A48AC">
      <w:pPr>
        <w:spacing w:line="276" w:lineRule="auto"/>
        <w:jc w:val="both"/>
        <w:rPr>
          <w:rFonts w:ascii="Arial" w:hAnsi="Arial" w:cs="Arial"/>
          <w:lang w:val="fr-CA"/>
        </w:rPr>
      </w:pPr>
      <w:r w:rsidRPr="009A48AC">
        <w:rPr>
          <w:rFonts w:ascii="Arial" w:hAnsi="Arial" w:cs="Arial"/>
          <w:lang w:val="fr-CA"/>
        </w:rPr>
        <w:t xml:space="preserve">À partir de 2022, la hausse des taux d’intérêt a amélioré la rentabilité des banques, en élargissant leurs marges d’intérêt. Toutefois, l’exposition toujours élevée au marché immobilier résidentiel continue de représenter un </w:t>
      </w:r>
      <w:proofErr w:type="gramStart"/>
      <w:r w:rsidRPr="009A48AC">
        <w:rPr>
          <w:rFonts w:ascii="Arial" w:hAnsi="Arial" w:cs="Arial"/>
          <w:lang w:val="fr-CA"/>
        </w:rPr>
        <w:t>risque potentiel</w:t>
      </w:r>
      <w:proofErr w:type="gramEnd"/>
      <w:r w:rsidRPr="009A48AC">
        <w:rPr>
          <w:rFonts w:ascii="Arial" w:hAnsi="Arial" w:cs="Arial"/>
          <w:lang w:val="fr-CA"/>
        </w:rPr>
        <w:t xml:space="preserve"> à moyen terme.</w:t>
      </w:r>
    </w:p>
    <w:p w14:paraId="52F27F25" w14:textId="77777777" w:rsidR="00001530" w:rsidRPr="009A48AC" w:rsidRDefault="00001530" w:rsidP="009A48AC">
      <w:pPr>
        <w:spacing w:line="276" w:lineRule="auto"/>
        <w:jc w:val="both"/>
        <w:rPr>
          <w:rFonts w:ascii="Arial" w:hAnsi="Arial" w:cs="Arial"/>
          <w:lang w:val="fr-CA"/>
        </w:rPr>
      </w:pPr>
    </w:p>
    <w:p w14:paraId="5223AE2B" w14:textId="4B941CA8" w:rsidR="00DA5E97" w:rsidRPr="009A48AC" w:rsidRDefault="00CD52FD" w:rsidP="009A48AC">
      <w:pPr>
        <w:spacing w:line="276" w:lineRule="auto"/>
        <w:jc w:val="center"/>
        <w:rPr>
          <w:rFonts w:ascii="Arial" w:hAnsi="Arial" w:cs="Arial"/>
          <w:lang w:val="fr-CA"/>
        </w:rPr>
      </w:pPr>
      <w:r w:rsidRPr="009A48AC">
        <w:rPr>
          <w:rFonts w:ascii="Arial" w:hAnsi="Arial" w:cs="Arial"/>
          <w:noProof/>
          <w:lang w:val="fr-CA"/>
          <w14:ligatures w14:val="standardContextual"/>
        </w:rPr>
        <w:lastRenderedPageBreak/>
        <w:drawing>
          <wp:inline distT="0" distB="0" distL="0" distR="0" wp14:anchorId="0B56A360" wp14:editId="26498BFB">
            <wp:extent cx="3746500" cy="1524000"/>
            <wp:effectExtent l="0" t="0" r="0" b="0"/>
            <wp:docPr id="228326435" name="Picture 13"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26435" name="Picture 13" descr="A graph with 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746500" cy="1524000"/>
                    </a:xfrm>
                    <a:prstGeom prst="rect">
                      <a:avLst/>
                    </a:prstGeom>
                  </pic:spPr>
                </pic:pic>
              </a:graphicData>
            </a:graphic>
          </wp:inline>
        </w:drawing>
      </w:r>
    </w:p>
    <w:p w14:paraId="3F37A4BC" w14:textId="630AEF4B" w:rsidR="0009238E" w:rsidRDefault="00247923" w:rsidP="00247923">
      <w:pPr>
        <w:pStyle w:val="Lgende"/>
        <w:rPr>
          <w:rFonts w:ascii="Arial" w:hAnsi="Arial" w:cs="Arial"/>
          <w:lang w:val="fr-CA"/>
        </w:rPr>
      </w:pPr>
      <w:r w:rsidRPr="00105B07">
        <w:rPr>
          <w:lang w:val="fr-FR"/>
        </w:rPr>
        <w:t xml:space="preserve">                                                                  </w:t>
      </w:r>
      <w:bookmarkStart w:id="47" w:name="_Toc196950610"/>
      <w:r w:rsidRPr="00105B07">
        <w:rPr>
          <w:lang w:val="fr-FR"/>
        </w:rPr>
        <w:t xml:space="preserve">Figure </w:t>
      </w:r>
      <w:r w:rsidR="00000000">
        <w:fldChar w:fldCharType="begin"/>
      </w:r>
      <w:r w:rsidR="00000000" w:rsidRPr="00105B07">
        <w:rPr>
          <w:lang w:val="fr-FR"/>
        </w:rPr>
        <w:instrText xml:space="preserve"> SEQ Figure \* ARABIC </w:instrText>
      </w:r>
      <w:r w:rsidR="00000000">
        <w:fldChar w:fldCharType="separate"/>
      </w:r>
      <w:r w:rsidR="00036C78">
        <w:rPr>
          <w:noProof/>
          <w:lang w:val="fr-FR"/>
        </w:rPr>
        <w:t>14</w:t>
      </w:r>
      <w:r w:rsidR="00000000">
        <w:rPr>
          <w:noProof/>
        </w:rPr>
        <w:fldChar w:fldCharType="end"/>
      </w:r>
      <w:r w:rsidR="002A5E1C">
        <w:rPr>
          <w:lang w:val="fr-FR"/>
        </w:rPr>
        <w:t xml:space="preserve"> - </w:t>
      </w:r>
      <w:r w:rsidRPr="00105B07">
        <w:rPr>
          <w:lang w:val="fr-FR"/>
        </w:rPr>
        <w:t xml:space="preserve">Évolution sectorielle – </w:t>
      </w:r>
      <w:proofErr w:type="spellStart"/>
      <w:r w:rsidRPr="00105B07">
        <w:rPr>
          <w:lang w:val="fr-FR"/>
        </w:rPr>
        <w:t>Financials</w:t>
      </w:r>
      <w:bookmarkEnd w:id="47"/>
      <w:proofErr w:type="spellEnd"/>
    </w:p>
    <w:p w14:paraId="5B67CB46" w14:textId="1EB5B65E" w:rsidR="0009238E" w:rsidRPr="0009238E" w:rsidRDefault="000B0F15" w:rsidP="00107C17">
      <w:pPr>
        <w:pStyle w:val="Titre1"/>
        <w:rPr>
          <w:rFonts w:hint="eastAsia"/>
          <w:lang w:val="fr-CA"/>
        </w:rPr>
      </w:pPr>
      <w:bookmarkStart w:id="48" w:name="_Toc199594619"/>
      <w:r>
        <w:rPr>
          <w:lang w:val="fr-CA"/>
        </w:rPr>
        <w:t>4.</w:t>
      </w:r>
      <w:r w:rsidR="00FC2FC9">
        <w:rPr>
          <w:lang w:val="fr-CA"/>
        </w:rPr>
        <w:t xml:space="preserve"> </w:t>
      </w:r>
      <w:r w:rsidR="00105B07">
        <w:rPr>
          <w:lang w:val="fr-CA"/>
        </w:rPr>
        <w:t xml:space="preserve">Analyse </w:t>
      </w:r>
      <w:r w:rsidR="00351924">
        <w:rPr>
          <w:lang w:val="fr-CA"/>
        </w:rPr>
        <w:t xml:space="preserve">du portefeuille </w:t>
      </w:r>
      <w:r w:rsidR="001C5195">
        <w:rPr>
          <w:lang w:val="fr-CA"/>
        </w:rPr>
        <w:t>optimisé</w:t>
      </w:r>
      <w:bookmarkEnd w:id="48"/>
    </w:p>
    <w:p w14:paraId="77C78D2F" w14:textId="7FC7BC1D" w:rsidR="00371EF3" w:rsidRPr="00371EF3" w:rsidRDefault="000B0F15" w:rsidP="005C053A">
      <w:pPr>
        <w:pStyle w:val="Titre2"/>
        <w:rPr>
          <w:rFonts w:hint="eastAsia"/>
          <w:lang w:val="fr-CA"/>
        </w:rPr>
      </w:pPr>
      <w:bookmarkStart w:id="49" w:name="_Toc199594620"/>
      <w:r>
        <w:rPr>
          <w:lang w:val="fr-CA"/>
        </w:rPr>
        <w:t>4.</w:t>
      </w:r>
      <w:r w:rsidR="00FC2FC9">
        <w:rPr>
          <w:lang w:val="fr-CA"/>
        </w:rPr>
        <w:t xml:space="preserve">1 </w:t>
      </w:r>
      <w:r w:rsidR="005C053A">
        <w:rPr>
          <w:lang w:val="fr-CA"/>
        </w:rPr>
        <w:t>Analyse comparative</w:t>
      </w:r>
      <w:bookmarkEnd w:id="49"/>
    </w:p>
    <w:p w14:paraId="368BB608" w14:textId="06DE8B3C" w:rsidR="00FB556A" w:rsidRPr="00FB556A" w:rsidRDefault="00FB556A" w:rsidP="00FB556A">
      <w:pPr>
        <w:jc w:val="both"/>
        <w:rPr>
          <w:rFonts w:asciiTheme="minorBidi" w:hAnsiTheme="minorBidi" w:cstheme="minorBidi"/>
          <w:lang w:val="fr-FR"/>
        </w:rPr>
      </w:pPr>
      <w:r w:rsidRPr="00FB556A">
        <w:rPr>
          <w:rFonts w:asciiTheme="minorBidi" w:hAnsiTheme="minorBidi" w:cstheme="minorBidi"/>
          <w:lang w:val="fr-FR"/>
        </w:rPr>
        <w:t xml:space="preserve">Le graphique ci-dessous compare l’évolution de la valeur de différents portefeuilles entre 2023 et 2025, incluant celui de </w:t>
      </w:r>
      <w:proofErr w:type="spellStart"/>
      <w:r w:rsidRPr="00FB556A">
        <w:rPr>
          <w:rFonts w:asciiTheme="minorBidi" w:hAnsiTheme="minorBidi" w:cstheme="minorBidi"/>
          <w:lang w:val="fr-FR"/>
        </w:rPr>
        <w:t>PolyFinances</w:t>
      </w:r>
      <w:proofErr w:type="spellEnd"/>
      <w:r w:rsidRPr="00FB556A">
        <w:rPr>
          <w:rFonts w:asciiTheme="minorBidi" w:hAnsiTheme="minorBidi" w:cstheme="minorBidi"/>
          <w:lang w:val="fr-FR"/>
        </w:rPr>
        <w:t xml:space="preserve"> et plusieurs stratégies optimisées (variance minimale, Sharpe ratio maximal, </w:t>
      </w:r>
      <w:proofErr w:type="spellStart"/>
      <w:r w:rsidRPr="00FB556A">
        <w:rPr>
          <w:rFonts w:asciiTheme="minorBidi" w:hAnsiTheme="minorBidi" w:cstheme="minorBidi"/>
          <w:lang w:val="fr-FR"/>
        </w:rPr>
        <w:t>Expected</w:t>
      </w:r>
      <w:proofErr w:type="spellEnd"/>
      <w:r w:rsidRPr="00FB556A">
        <w:rPr>
          <w:rFonts w:asciiTheme="minorBidi" w:hAnsiTheme="minorBidi" w:cstheme="minorBidi"/>
          <w:lang w:val="fr-FR"/>
        </w:rPr>
        <w:t xml:space="preserve"> </w:t>
      </w:r>
      <w:proofErr w:type="spellStart"/>
      <w:r w:rsidRPr="00FB556A">
        <w:rPr>
          <w:rFonts w:asciiTheme="minorBidi" w:hAnsiTheme="minorBidi" w:cstheme="minorBidi"/>
          <w:lang w:val="fr-FR"/>
        </w:rPr>
        <w:t>Shortfall</w:t>
      </w:r>
      <w:proofErr w:type="spellEnd"/>
      <w:r w:rsidRPr="00FB556A">
        <w:rPr>
          <w:rFonts w:asciiTheme="minorBidi" w:hAnsiTheme="minorBidi" w:cstheme="minorBidi"/>
          <w:lang w:val="fr-FR"/>
        </w:rPr>
        <w:t xml:space="preserve"> minimal, etc.). Le portefeuille de PF se distingue en surpassant la majorité des approches quantitatives, avec une croissance stable et soutenue sur l’ensemble de la période.</w:t>
      </w:r>
    </w:p>
    <w:p w14:paraId="4AF25ABA" w14:textId="77777777" w:rsidR="00FB556A" w:rsidRPr="00FB556A" w:rsidRDefault="00FB556A" w:rsidP="00FB556A">
      <w:pPr>
        <w:jc w:val="both"/>
        <w:rPr>
          <w:rFonts w:asciiTheme="minorBidi" w:hAnsiTheme="minorBidi" w:cstheme="minorBidi"/>
          <w:lang w:val="fr-FR"/>
        </w:rPr>
      </w:pPr>
    </w:p>
    <w:p w14:paraId="28D320DB" w14:textId="77777777" w:rsidR="00FB556A" w:rsidRPr="00FB556A" w:rsidRDefault="00FB556A" w:rsidP="00FB556A">
      <w:pPr>
        <w:jc w:val="both"/>
        <w:rPr>
          <w:rFonts w:asciiTheme="minorBidi" w:hAnsiTheme="minorBidi" w:cstheme="minorBidi"/>
          <w:lang w:val="fr-FR"/>
        </w:rPr>
      </w:pPr>
      <w:r w:rsidRPr="00FB556A">
        <w:rPr>
          <w:rFonts w:asciiTheme="minorBidi" w:hAnsiTheme="minorBidi" w:cstheme="minorBidi"/>
          <w:lang w:val="fr-FR"/>
        </w:rPr>
        <w:t xml:space="preserve">Parmi les stratégies testées, celle à </w:t>
      </w:r>
      <w:proofErr w:type="spellStart"/>
      <w:r w:rsidRPr="00FB556A">
        <w:rPr>
          <w:rFonts w:asciiTheme="minorBidi" w:hAnsiTheme="minorBidi" w:cstheme="minorBidi"/>
          <w:lang w:val="fr-FR"/>
        </w:rPr>
        <w:t>Expected</w:t>
      </w:r>
      <w:proofErr w:type="spellEnd"/>
      <w:r w:rsidRPr="00FB556A">
        <w:rPr>
          <w:rFonts w:asciiTheme="minorBidi" w:hAnsiTheme="minorBidi" w:cstheme="minorBidi"/>
          <w:lang w:val="fr-FR"/>
        </w:rPr>
        <w:t xml:space="preserve"> </w:t>
      </w:r>
      <w:proofErr w:type="spellStart"/>
      <w:r w:rsidRPr="00FB556A">
        <w:rPr>
          <w:rFonts w:asciiTheme="minorBidi" w:hAnsiTheme="minorBidi" w:cstheme="minorBidi"/>
          <w:lang w:val="fr-FR"/>
        </w:rPr>
        <w:t>Shortfall</w:t>
      </w:r>
      <w:proofErr w:type="spellEnd"/>
      <w:r w:rsidRPr="00FB556A">
        <w:rPr>
          <w:rFonts w:asciiTheme="minorBidi" w:hAnsiTheme="minorBidi" w:cstheme="minorBidi"/>
          <w:lang w:val="fr-FR"/>
        </w:rPr>
        <w:t xml:space="preserve"> minimal (</w:t>
      </w:r>
      <w:proofErr w:type="spellStart"/>
      <w:r w:rsidRPr="00FB556A">
        <w:rPr>
          <w:rFonts w:asciiTheme="minorBidi" w:hAnsiTheme="minorBidi" w:cstheme="minorBidi"/>
          <w:lang w:val="fr-FR"/>
        </w:rPr>
        <w:t>Min_ES</w:t>
      </w:r>
      <w:proofErr w:type="spellEnd"/>
      <w:r w:rsidRPr="00FB556A">
        <w:rPr>
          <w:rFonts w:asciiTheme="minorBidi" w:hAnsiTheme="minorBidi" w:cstheme="minorBidi"/>
          <w:lang w:val="fr-FR"/>
        </w:rPr>
        <w:t xml:space="preserve">) s’est révélée la plus performante, offrant un bon compromis entre rendement et gestion du risque extrême. À l’inverse, les portefeuilles basés sur la variance minimale ont affiché les résultats les plus décevants, avec une faible croissance malgré une volatilité élevée. Ces résultats confirment la pertinence de la gestion actuelle de PF tout en soulignant le potentiel d’approches alternatives comme </w:t>
      </w:r>
      <w:proofErr w:type="spellStart"/>
      <w:r w:rsidRPr="00FB556A">
        <w:rPr>
          <w:rFonts w:asciiTheme="minorBidi" w:hAnsiTheme="minorBidi" w:cstheme="minorBidi"/>
          <w:lang w:val="fr-FR"/>
        </w:rPr>
        <w:t>Min_ES</w:t>
      </w:r>
      <w:proofErr w:type="spellEnd"/>
      <w:r w:rsidRPr="00FB556A">
        <w:rPr>
          <w:rFonts w:asciiTheme="minorBidi" w:hAnsiTheme="minorBidi" w:cstheme="minorBidi"/>
          <w:lang w:val="fr-FR"/>
        </w:rPr>
        <w:t>.</w:t>
      </w:r>
    </w:p>
    <w:p w14:paraId="5E075160" w14:textId="77777777" w:rsidR="00FB556A" w:rsidRPr="00FB556A" w:rsidRDefault="00FB556A" w:rsidP="00FB556A">
      <w:pPr>
        <w:rPr>
          <w:lang w:val="fr-FR"/>
        </w:rPr>
      </w:pPr>
    </w:p>
    <w:p w14:paraId="0BE44DAC" w14:textId="77777777" w:rsidR="00B85B03" w:rsidRDefault="00371EF3" w:rsidP="00B85B03">
      <w:pPr>
        <w:keepNext/>
      </w:pPr>
      <w:r w:rsidRPr="00371EF3">
        <w:rPr>
          <w:noProof/>
          <w:lang w:val="en-US"/>
        </w:rPr>
        <w:drawing>
          <wp:inline distT="0" distB="0" distL="0" distR="0" wp14:anchorId="432E7A54" wp14:editId="3D803225">
            <wp:extent cx="5943600" cy="2971800"/>
            <wp:effectExtent l="0" t="0" r="0" b="0"/>
            <wp:docPr id="112921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917BE62" w14:textId="29A7398B" w:rsidR="00371EF3" w:rsidRPr="00B85B03" w:rsidRDefault="00B85B03" w:rsidP="00B85B03">
      <w:pPr>
        <w:pStyle w:val="Lgende"/>
        <w:jc w:val="center"/>
        <w:rPr>
          <w:lang w:val="fr-CA"/>
        </w:rPr>
      </w:pPr>
      <w:bookmarkStart w:id="50" w:name="_Toc196950611"/>
      <w:r w:rsidRPr="00B85B03">
        <w:rPr>
          <w:lang w:val="fr-CA"/>
        </w:rPr>
        <w:t xml:space="preserve">Figure </w:t>
      </w:r>
      <w:r>
        <w:fldChar w:fldCharType="begin"/>
      </w:r>
      <w:r w:rsidRPr="00B85B03">
        <w:rPr>
          <w:lang w:val="fr-CA"/>
        </w:rPr>
        <w:instrText xml:space="preserve"> SEQ Figure \* ARABIC </w:instrText>
      </w:r>
      <w:r>
        <w:fldChar w:fldCharType="separate"/>
      </w:r>
      <w:r w:rsidR="00036C78">
        <w:rPr>
          <w:noProof/>
          <w:lang w:val="fr-CA"/>
        </w:rPr>
        <w:t>15</w:t>
      </w:r>
      <w:r>
        <w:fldChar w:fldCharType="end"/>
      </w:r>
      <w:r w:rsidRPr="00B85B03">
        <w:rPr>
          <w:lang w:val="fr-CA"/>
        </w:rPr>
        <w:t xml:space="preserve"> - Comparaison de l'évolution de la valeur des portefeuilles optimisés entre 2023 et 2025</w:t>
      </w:r>
      <w:bookmarkEnd w:id="50"/>
    </w:p>
    <w:p w14:paraId="288A07DA" w14:textId="77777777" w:rsidR="00FF118A" w:rsidRPr="00B85B03" w:rsidRDefault="00FF118A" w:rsidP="00371EF3">
      <w:pPr>
        <w:rPr>
          <w:lang w:val="fr-CA"/>
        </w:rPr>
      </w:pPr>
    </w:p>
    <w:p w14:paraId="2BB2D690" w14:textId="77777777" w:rsidR="00FF118A" w:rsidRPr="00B85B03" w:rsidRDefault="00FF118A" w:rsidP="00371EF3">
      <w:pPr>
        <w:rPr>
          <w:lang w:val="fr-CA"/>
        </w:rPr>
      </w:pPr>
    </w:p>
    <w:p w14:paraId="117F264E" w14:textId="26D79336" w:rsidR="00FF118A" w:rsidRPr="0041525D" w:rsidRDefault="000B0F15" w:rsidP="0041525D">
      <w:pPr>
        <w:pStyle w:val="Titre2"/>
        <w:rPr>
          <w:rFonts w:hint="eastAsia"/>
          <w:lang w:val="fr-FR"/>
        </w:rPr>
      </w:pPr>
      <w:bookmarkStart w:id="51" w:name="_Toc199594621"/>
      <w:r>
        <w:rPr>
          <w:lang w:val="fr-FR"/>
        </w:rPr>
        <w:t>4.</w:t>
      </w:r>
      <w:r w:rsidR="00FC2FC9">
        <w:rPr>
          <w:lang w:val="fr-FR"/>
        </w:rPr>
        <w:t xml:space="preserve">2 </w:t>
      </w:r>
      <w:r w:rsidR="00FC2FC9" w:rsidRPr="0041525D">
        <w:rPr>
          <w:lang w:val="fr-FR"/>
        </w:rPr>
        <w:t>Évaluation</w:t>
      </w:r>
      <w:r w:rsidR="0041525D" w:rsidRPr="0041525D">
        <w:rPr>
          <w:lang w:val="fr-FR"/>
        </w:rPr>
        <w:t xml:space="preserve"> du portefeuille</w:t>
      </w:r>
      <w:r w:rsidR="00744FE3" w:rsidRPr="0041525D">
        <w:rPr>
          <w:lang w:val="fr-FR"/>
        </w:rPr>
        <w:t xml:space="preserve"> </w:t>
      </w:r>
      <w:r w:rsidR="0041525D" w:rsidRPr="0041525D">
        <w:rPr>
          <w:lang w:val="fr-FR"/>
        </w:rPr>
        <w:t>: métriques g</w:t>
      </w:r>
      <w:r w:rsidR="0041525D">
        <w:rPr>
          <w:lang w:val="fr-FR"/>
        </w:rPr>
        <w:t>lobales</w:t>
      </w:r>
      <w:bookmarkEnd w:id="51"/>
    </w:p>
    <w:p w14:paraId="41505E54" w14:textId="3A95167F" w:rsidR="00DC510F" w:rsidRPr="00DC510F" w:rsidRDefault="00DC510F" w:rsidP="00DC510F">
      <w:pPr>
        <w:jc w:val="both"/>
        <w:rPr>
          <w:rFonts w:asciiTheme="minorBidi" w:hAnsiTheme="minorBidi" w:cstheme="minorBidi"/>
          <w:lang w:val="fr-FR"/>
        </w:rPr>
      </w:pPr>
      <w:r w:rsidRPr="00DC510F">
        <w:rPr>
          <w:rFonts w:asciiTheme="minorBidi" w:hAnsiTheme="minorBidi" w:cstheme="minorBidi"/>
          <w:lang w:val="fr-FR"/>
        </w:rPr>
        <w:t xml:space="preserve">Afin de comparer les performances des différentes stratégies d’optimisation, plusieurs indicateurs clés ont été analysés : le rendement annuel moyen, le ratio rendement/risque, la volatilité et le maximum </w:t>
      </w:r>
      <w:proofErr w:type="spellStart"/>
      <w:r w:rsidRPr="00DC510F">
        <w:rPr>
          <w:rFonts w:asciiTheme="minorBidi" w:hAnsiTheme="minorBidi" w:cstheme="minorBidi"/>
          <w:lang w:val="fr-FR"/>
        </w:rPr>
        <w:t>drawdown</w:t>
      </w:r>
      <w:proofErr w:type="spellEnd"/>
      <w:r w:rsidRPr="00DC510F">
        <w:rPr>
          <w:rFonts w:asciiTheme="minorBidi" w:hAnsiTheme="minorBidi" w:cstheme="minorBidi"/>
          <w:lang w:val="fr-FR"/>
        </w:rPr>
        <w:t>. Cette analyse permet d’évaluer non seulement la rentabilité, mais aussi la stabilité et la capacité de chaque portefeuille à faire face aux variations de marché.</w:t>
      </w:r>
    </w:p>
    <w:p w14:paraId="0754ED79" w14:textId="77777777" w:rsidR="00FF118A" w:rsidRPr="00371EF3" w:rsidRDefault="00FF118A" w:rsidP="00371EF3">
      <w:pPr>
        <w:rPr>
          <w:lang w:val="fr-FR"/>
        </w:rPr>
      </w:pPr>
    </w:p>
    <w:p w14:paraId="66F3C3D2" w14:textId="77777777" w:rsidR="0006741C" w:rsidRDefault="00A00957" w:rsidP="0006741C">
      <w:pPr>
        <w:keepNext/>
      </w:pPr>
      <w:r>
        <w:rPr>
          <w:noProof/>
          <w:lang w:val="fr-CA"/>
          <w14:ligatures w14:val="standardContextual"/>
        </w:rPr>
        <w:drawing>
          <wp:inline distT="0" distB="0" distL="0" distR="0" wp14:anchorId="74DD2FF8" wp14:editId="2151D7EA">
            <wp:extent cx="5943600" cy="3566160"/>
            <wp:effectExtent l="0" t="0" r="0" b="0"/>
            <wp:docPr id="1370732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32076" name="Picture 13707320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903C7C8" w14:textId="61A85DDD" w:rsidR="0071133F" w:rsidRDefault="0006741C" w:rsidP="0006741C">
      <w:pPr>
        <w:pStyle w:val="Lgende"/>
        <w:jc w:val="center"/>
        <w:rPr>
          <w:lang w:val="fr-CA"/>
        </w:rPr>
      </w:pPr>
      <w:bookmarkStart w:id="52" w:name="_Toc196950612"/>
      <w:r w:rsidRPr="0006741C">
        <w:rPr>
          <w:lang w:val="fr-CA"/>
        </w:rPr>
        <w:t xml:space="preserve">Figure </w:t>
      </w:r>
      <w:r>
        <w:fldChar w:fldCharType="begin"/>
      </w:r>
      <w:r w:rsidRPr="0006741C">
        <w:rPr>
          <w:lang w:val="fr-CA"/>
        </w:rPr>
        <w:instrText xml:space="preserve"> SEQ Figure \* ARABIC </w:instrText>
      </w:r>
      <w:r>
        <w:fldChar w:fldCharType="separate"/>
      </w:r>
      <w:r w:rsidR="00036C78">
        <w:rPr>
          <w:noProof/>
          <w:lang w:val="fr-CA"/>
        </w:rPr>
        <w:t>16</w:t>
      </w:r>
      <w:r>
        <w:fldChar w:fldCharType="end"/>
      </w:r>
      <w:r w:rsidRPr="0006741C">
        <w:rPr>
          <w:lang w:val="fr-CA"/>
        </w:rPr>
        <w:t xml:space="preserve"> - Évaluation de la volatilité des portefeuilles optimisés</w:t>
      </w:r>
      <w:bookmarkEnd w:id="52"/>
    </w:p>
    <w:p w14:paraId="38C6348C" w14:textId="77777777" w:rsidR="0071133F" w:rsidRPr="0071133F" w:rsidRDefault="0071133F" w:rsidP="0071133F">
      <w:pPr>
        <w:rPr>
          <w:rFonts w:asciiTheme="minorBidi" w:hAnsiTheme="minorBidi" w:cstheme="minorBidi"/>
          <w:lang w:val="fr-FR"/>
        </w:rPr>
      </w:pPr>
      <w:r w:rsidRPr="0071133F">
        <w:rPr>
          <w:rFonts w:asciiTheme="minorBidi" w:hAnsiTheme="minorBidi" w:cstheme="minorBidi"/>
          <w:lang w:val="fr-FR"/>
        </w:rPr>
        <w:t xml:space="preserve">Ce graphique montre la volatilité annuelle des différents portefeuilles testés, soit leur niveau de fluctuation des rendements. La stratégie </w:t>
      </w:r>
      <w:proofErr w:type="spellStart"/>
      <w:r w:rsidRPr="0071133F">
        <w:rPr>
          <w:rFonts w:asciiTheme="minorBidi" w:hAnsiTheme="minorBidi" w:cstheme="minorBidi"/>
          <w:lang w:val="fr-FR"/>
        </w:rPr>
        <w:t>Min_ES</w:t>
      </w:r>
      <w:proofErr w:type="spellEnd"/>
      <w:r w:rsidRPr="0071133F">
        <w:rPr>
          <w:rFonts w:asciiTheme="minorBidi" w:hAnsiTheme="minorBidi" w:cstheme="minorBidi"/>
          <w:lang w:val="fr-FR"/>
        </w:rPr>
        <w:t xml:space="preserve"> se distingue avec la volatilité la plus faible (10 %), suivie par Max Sharpe et </w:t>
      </w:r>
      <w:proofErr w:type="spellStart"/>
      <w:r w:rsidRPr="0071133F">
        <w:rPr>
          <w:rFonts w:asciiTheme="minorBidi" w:hAnsiTheme="minorBidi" w:cstheme="minorBidi"/>
          <w:lang w:val="fr-FR"/>
        </w:rPr>
        <w:t>Equally</w:t>
      </w:r>
      <w:proofErr w:type="spellEnd"/>
      <w:r w:rsidRPr="0071133F">
        <w:rPr>
          <w:rFonts w:asciiTheme="minorBidi" w:hAnsiTheme="minorBidi" w:cstheme="minorBidi"/>
          <w:lang w:val="fr-FR"/>
        </w:rPr>
        <w:t xml:space="preserve"> </w:t>
      </w:r>
      <w:proofErr w:type="spellStart"/>
      <w:r w:rsidRPr="0071133F">
        <w:rPr>
          <w:rFonts w:asciiTheme="minorBidi" w:hAnsiTheme="minorBidi" w:cstheme="minorBidi"/>
          <w:lang w:val="fr-FR"/>
        </w:rPr>
        <w:t>Weighted</w:t>
      </w:r>
      <w:proofErr w:type="spellEnd"/>
      <w:r w:rsidRPr="0071133F">
        <w:rPr>
          <w:rFonts w:asciiTheme="minorBidi" w:hAnsiTheme="minorBidi" w:cstheme="minorBidi"/>
          <w:lang w:val="fr-FR"/>
        </w:rPr>
        <w:t>, tous deux autour de 11 %. À l’inverse, les portefeuilles à variance minimale, censés justement limiter la volatilité, affichent des niveaux plus élevés (jusqu’à 14 %), ce qui est contre-intuitif et suggère une inefficacité de ces stratégies dans les conditions de marché observées.</w:t>
      </w:r>
    </w:p>
    <w:p w14:paraId="70D9505A" w14:textId="77777777" w:rsidR="009F589D" w:rsidRDefault="00A00957" w:rsidP="009F589D">
      <w:pPr>
        <w:keepNext/>
      </w:pPr>
      <w:r>
        <w:rPr>
          <w:noProof/>
          <w:lang w:val="fr-CA"/>
          <w14:ligatures w14:val="standardContextual"/>
        </w:rPr>
        <w:lastRenderedPageBreak/>
        <w:drawing>
          <wp:inline distT="0" distB="0" distL="0" distR="0" wp14:anchorId="4BA085D4" wp14:editId="3F4A52A8">
            <wp:extent cx="5943600" cy="3566160"/>
            <wp:effectExtent l="0" t="0" r="0" b="0"/>
            <wp:docPr id="1295648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8723" name="Picture 12956487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C7A70C7" w14:textId="09938B00" w:rsidR="0071133F" w:rsidRDefault="009F589D" w:rsidP="009F589D">
      <w:pPr>
        <w:pStyle w:val="Lgende"/>
        <w:jc w:val="center"/>
        <w:rPr>
          <w:lang w:val="fr-FR"/>
        </w:rPr>
      </w:pPr>
      <w:bookmarkStart w:id="53" w:name="_Toc196950613"/>
      <w:r w:rsidRPr="009F589D">
        <w:rPr>
          <w:lang w:val="fr-CA"/>
        </w:rPr>
        <w:t xml:space="preserve">Figure </w:t>
      </w:r>
      <w:r>
        <w:fldChar w:fldCharType="begin"/>
      </w:r>
      <w:r w:rsidRPr="009F589D">
        <w:rPr>
          <w:lang w:val="fr-CA"/>
        </w:rPr>
        <w:instrText xml:space="preserve"> SEQ Figure \* ARABIC </w:instrText>
      </w:r>
      <w:r>
        <w:fldChar w:fldCharType="separate"/>
      </w:r>
      <w:r w:rsidR="00036C78">
        <w:rPr>
          <w:noProof/>
          <w:lang w:val="fr-CA"/>
        </w:rPr>
        <w:t>17</w:t>
      </w:r>
      <w:r>
        <w:fldChar w:fldCharType="end"/>
      </w:r>
      <w:r w:rsidRPr="009F589D">
        <w:rPr>
          <w:lang w:val="fr-CA"/>
        </w:rPr>
        <w:t xml:space="preserve"> - Comparaison du ratio rendement/risque des portefeuilles optimisés</w:t>
      </w:r>
      <w:bookmarkEnd w:id="53"/>
    </w:p>
    <w:p w14:paraId="3FB8E363" w14:textId="32F8236F" w:rsidR="00E67F41" w:rsidRPr="0076289A" w:rsidRDefault="00E67F41" w:rsidP="0076289A">
      <w:pPr>
        <w:jc w:val="both"/>
        <w:rPr>
          <w:rFonts w:asciiTheme="minorBidi" w:hAnsiTheme="minorBidi" w:cstheme="minorBidi"/>
          <w:lang w:val="fr-FR"/>
        </w:rPr>
      </w:pPr>
      <w:r w:rsidRPr="0076289A">
        <w:rPr>
          <w:rFonts w:asciiTheme="minorBidi" w:hAnsiTheme="minorBidi" w:cstheme="minorBidi"/>
          <w:lang w:val="fr-FR"/>
        </w:rPr>
        <w:t xml:space="preserve">Ce graphique met en évidence la capacité de chaque stratégie à générer un rendement ajusté au risque. La stratégie à </w:t>
      </w:r>
      <w:proofErr w:type="spellStart"/>
      <w:r w:rsidRPr="0076289A">
        <w:rPr>
          <w:rFonts w:asciiTheme="minorBidi" w:hAnsiTheme="minorBidi" w:cstheme="minorBidi"/>
          <w:lang w:val="fr-FR"/>
        </w:rPr>
        <w:t>Expected</w:t>
      </w:r>
      <w:proofErr w:type="spellEnd"/>
      <w:r w:rsidRPr="0076289A">
        <w:rPr>
          <w:rFonts w:asciiTheme="minorBidi" w:hAnsiTheme="minorBidi" w:cstheme="minorBidi"/>
          <w:lang w:val="fr-FR"/>
        </w:rPr>
        <w:t xml:space="preserve"> </w:t>
      </w:r>
      <w:proofErr w:type="spellStart"/>
      <w:r w:rsidRPr="0076289A">
        <w:rPr>
          <w:rFonts w:asciiTheme="minorBidi" w:hAnsiTheme="minorBidi" w:cstheme="minorBidi"/>
          <w:lang w:val="fr-FR"/>
        </w:rPr>
        <w:t>Shortfall</w:t>
      </w:r>
      <w:proofErr w:type="spellEnd"/>
      <w:r w:rsidRPr="0076289A">
        <w:rPr>
          <w:rFonts w:asciiTheme="minorBidi" w:hAnsiTheme="minorBidi" w:cstheme="minorBidi"/>
          <w:lang w:val="fr-FR"/>
        </w:rPr>
        <w:t xml:space="preserve"> minimal (</w:t>
      </w:r>
      <w:proofErr w:type="spellStart"/>
      <w:r w:rsidRPr="0076289A">
        <w:rPr>
          <w:rFonts w:asciiTheme="minorBidi" w:hAnsiTheme="minorBidi" w:cstheme="minorBidi"/>
          <w:lang w:val="fr-FR"/>
        </w:rPr>
        <w:t>Min_ES</w:t>
      </w:r>
      <w:proofErr w:type="spellEnd"/>
      <w:r w:rsidRPr="0076289A">
        <w:rPr>
          <w:rFonts w:asciiTheme="minorBidi" w:hAnsiTheme="minorBidi" w:cstheme="minorBidi"/>
          <w:lang w:val="fr-FR"/>
        </w:rPr>
        <w:t xml:space="preserve">) arrive en tête avec un ratio de 0.67, suivie de près par PF (0.54) et </w:t>
      </w:r>
      <w:proofErr w:type="spellStart"/>
      <w:r w:rsidRPr="0076289A">
        <w:rPr>
          <w:rFonts w:asciiTheme="minorBidi" w:hAnsiTheme="minorBidi" w:cstheme="minorBidi"/>
          <w:lang w:val="fr-FR"/>
        </w:rPr>
        <w:t>max_sharp</w:t>
      </w:r>
      <w:proofErr w:type="spellEnd"/>
      <w:r w:rsidRPr="0076289A">
        <w:rPr>
          <w:rFonts w:asciiTheme="minorBidi" w:hAnsiTheme="minorBidi" w:cstheme="minorBidi"/>
          <w:lang w:val="fr-FR"/>
        </w:rPr>
        <w:t xml:space="preserve"> (0.42). En revanche, les stratégies de variance minimale affichent des performances négatives (-0.57 et -0.60), soulignant une mauvaise gestion du couple rendement/volatilité sur la période.</w:t>
      </w:r>
    </w:p>
    <w:p w14:paraId="570A2BD6" w14:textId="77777777" w:rsidR="006969C0" w:rsidRDefault="006969C0" w:rsidP="0076289A">
      <w:pPr>
        <w:jc w:val="both"/>
        <w:rPr>
          <w:rFonts w:asciiTheme="minorBidi" w:hAnsiTheme="minorBidi" w:cstheme="minorBidi"/>
          <w:lang w:val="fr-FR"/>
        </w:rPr>
      </w:pPr>
    </w:p>
    <w:p w14:paraId="16B1BE08" w14:textId="77777777" w:rsidR="006969C0" w:rsidRPr="0076289A" w:rsidRDefault="006969C0" w:rsidP="0076289A">
      <w:pPr>
        <w:jc w:val="both"/>
        <w:rPr>
          <w:rFonts w:asciiTheme="minorBidi" w:hAnsiTheme="minorBidi" w:cstheme="minorBidi"/>
          <w:lang w:val="fr-FR"/>
        </w:rPr>
      </w:pPr>
    </w:p>
    <w:p w14:paraId="705DA25B" w14:textId="77777777" w:rsidR="001E2339" w:rsidRDefault="00A00957" w:rsidP="001E2339">
      <w:pPr>
        <w:keepNext/>
      </w:pPr>
      <w:r>
        <w:rPr>
          <w:noProof/>
          <w:lang w:val="fr-CA"/>
          <w14:ligatures w14:val="standardContextual"/>
        </w:rPr>
        <w:lastRenderedPageBreak/>
        <w:drawing>
          <wp:inline distT="0" distB="0" distL="0" distR="0" wp14:anchorId="686F708B" wp14:editId="71EA2996">
            <wp:extent cx="5943600" cy="3566160"/>
            <wp:effectExtent l="0" t="0" r="0" b="0"/>
            <wp:docPr id="2047335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5418" name="Picture 20473354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7F8845A" w14:textId="293F0B44" w:rsidR="0076289A" w:rsidRDefault="001E2339" w:rsidP="001E2339">
      <w:pPr>
        <w:pStyle w:val="Lgende"/>
        <w:jc w:val="center"/>
        <w:rPr>
          <w:lang w:val="fr-CA"/>
        </w:rPr>
      </w:pPr>
      <w:bookmarkStart w:id="54" w:name="_Toc196950614"/>
      <w:r w:rsidRPr="00F82F43">
        <w:rPr>
          <w:lang w:val="fr-CA"/>
        </w:rPr>
        <w:t xml:space="preserve">Figure </w:t>
      </w:r>
      <w:r>
        <w:fldChar w:fldCharType="begin"/>
      </w:r>
      <w:r w:rsidRPr="00F82F43">
        <w:rPr>
          <w:lang w:val="fr-CA"/>
        </w:rPr>
        <w:instrText xml:space="preserve"> SEQ Figure \* ARABIC </w:instrText>
      </w:r>
      <w:r>
        <w:fldChar w:fldCharType="separate"/>
      </w:r>
      <w:r w:rsidR="00036C78">
        <w:rPr>
          <w:noProof/>
          <w:lang w:val="fr-CA"/>
        </w:rPr>
        <w:t>18</w:t>
      </w:r>
      <w:r>
        <w:fldChar w:fldCharType="end"/>
      </w:r>
      <w:r w:rsidRPr="00F82F43">
        <w:rPr>
          <w:lang w:val="fr-CA"/>
        </w:rPr>
        <w:t xml:space="preserve"> - Comparaison des rendements annuels des portefeuilles optimisés</w:t>
      </w:r>
      <w:bookmarkEnd w:id="54"/>
    </w:p>
    <w:p w14:paraId="4C26C446" w14:textId="5BC3B253" w:rsidR="0076289A" w:rsidRPr="005627D8" w:rsidRDefault="005627D8" w:rsidP="005627D8">
      <w:pPr>
        <w:jc w:val="both"/>
        <w:rPr>
          <w:rFonts w:asciiTheme="minorBidi" w:hAnsiTheme="minorBidi" w:cstheme="minorBidi"/>
          <w:lang w:val="fr-FR"/>
        </w:rPr>
      </w:pPr>
      <w:r w:rsidRPr="005627D8">
        <w:rPr>
          <w:rFonts w:asciiTheme="minorBidi" w:hAnsiTheme="minorBidi" w:cstheme="minorBidi"/>
          <w:lang w:val="fr-FR"/>
        </w:rPr>
        <w:t xml:space="preserve">Le portefeuille PF et </w:t>
      </w:r>
      <w:proofErr w:type="spellStart"/>
      <w:r w:rsidRPr="005627D8">
        <w:rPr>
          <w:rFonts w:asciiTheme="minorBidi" w:hAnsiTheme="minorBidi" w:cstheme="minorBidi"/>
          <w:lang w:val="fr-FR"/>
        </w:rPr>
        <w:t>Min_ES</w:t>
      </w:r>
      <w:proofErr w:type="spellEnd"/>
      <w:r w:rsidRPr="005627D8">
        <w:rPr>
          <w:rFonts w:asciiTheme="minorBidi" w:hAnsiTheme="minorBidi" w:cstheme="minorBidi"/>
          <w:lang w:val="fr-FR"/>
        </w:rPr>
        <w:t xml:space="preserve"> partagent la première position avec un rendement annuel de 7 %, tandis que la stratégie Max Sharpe atteint un rendement légèrement inférieur de 5 %. À l’opposé, les portefeuilles </w:t>
      </w:r>
      <w:proofErr w:type="spellStart"/>
      <w:r w:rsidRPr="005627D8">
        <w:rPr>
          <w:rFonts w:asciiTheme="minorBidi" w:hAnsiTheme="minorBidi" w:cstheme="minorBidi"/>
          <w:lang w:val="fr-FR"/>
        </w:rPr>
        <w:t>Min_var</w:t>
      </w:r>
      <w:proofErr w:type="spellEnd"/>
      <w:r w:rsidRPr="005627D8">
        <w:rPr>
          <w:rFonts w:asciiTheme="minorBidi" w:hAnsiTheme="minorBidi" w:cstheme="minorBidi"/>
          <w:lang w:val="fr-FR"/>
        </w:rPr>
        <w:t xml:space="preserve"> et </w:t>
      </w:r>
      <w:proofErr w:type="spellStart"/>
      <w:r w:rsidRPr="005627D8">
        <w:rPr>
          <w:rFonts w:asciiTheme="minorBidi" w:hAnsiTheme="minorBidi" w:cstheme="minorBidi"/>
          <w:lang w:val="fr-FR"/>
        </w:rPr>
        <w:t>Min_var_bounded</w:t>
      </w:r>
      <w:proofErr w:type="spellEnd"/>
      <w:r w:rsidRPr="005627D8">
        <w:rPr>
          <w:rFonts w:asciiTheme="minorBidi" w:hAnsiTheme="minorBidi" w:cstheme="minorBidi"/>
          <w:lang w:val="fr-FR"/>
        </w:rPr>
        <w:t xml:space="preserve"> affichent des rendements négatifs (-8 %), ce qui remet en question leur pertinence dans un environnement de marché plus volatil.</w:t>
      </w:r>
    </w:p>
    <w:p w14:paraId="0CBAEFA3" w14:textId="77777777" w:rsidR="0076289A" w:rsidRDefault="0076289A" w:rsidP="0071133F">
      <w:pPr>
        <w:rPr>
          <w:lang w:val="fr-CA"/>
        </w:rPr>
      </w:pPr>
    </w:p>
    <w:p w14:paraId="3097D7DE" w14:textId="77777777" w:rsidR="00F82F43" w:rsidRDefault="00A00957" w:rsidP="00F82F43">
      <w:pPr>
        <w:keepNext/>
      </w:pPr>
      <w:r>
        <w:rPr>
          <w:noProof/>
          <w:lang w:val="fr-CA"/>
          <w14:ligatures w14:val="standardContextual"/>
        </w:rPr>
        <w:lastRenderedPageBreak/>
        <w:drawing>
          <wp:inline distT="0" distB="0" distL="0" distR="0" wp14:anchorId="5B7767F4" wp14:editId="19BFE613">
            <wp:extent cx="5943600" cy="3566160"/>
            <wp:effectExtent l="0" t="0" r="0" b="0"/>
            <wp:docPr id="400031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31448" name="Picture 4000314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8E167B4" w14:textId="7E61C3A5" w:rsidR="00351924" w:rsidRPr="00351924" w:rsidRDefault="00F82F43" w:rsidP="00F82F43">
      <w:pPr>
        <w:pStyle w:val="Lgende"/>
        <w:jc w:val="center"/>
        <w:rPr>
          <w:lang w:val="fr-CA"/>
        </w:rPr>
      </w:pPr>
      <w:bookmarkStart w:id="55" w:name="_Toc196950615"/>
      <w:r w:rsidRPr="00F82F43">
        <w:rPr>
          <w:lang w:val="fr-CA"/>
        </w:rPr>
        <w:t xml:space="preserve">Figure </w:t>
      </w:r>
      <w:r>
        <w:fldChar w:fldCharType="begin"/>
      </w:r>
      <w:r w:rsidRPr="00F82F43">
        <w:rPr>
          <w:lang w:val="fr-CA"/>
        </w:rPr>
        <w:instrText xml:space="preserve"> SEQ Figure \* ARABIC </w:instrText>
      </w:r>
      <w:r>
        <w:fldChar w:fldCharType="separate"/>
      </w:r>
      <w:r w:rsidR="00036C78">
        <w:rPr>
          <w:noProof/>
          <w:lang w:val="fr-CA"/>
        </w:rPr>
        <w:t>19</w:t>
      </w:r>
      <w:r>
        <w:fldChar w:fldCharType="end"/>
      </w:r>
      <w:r w:rsidRPr="00F82F43">
        <w:rPr>
          <w:lang w:val="fr-CA"/>
        </w:rPr>
        <w:t xml:space="preserve"> - Comparaison du Maximum </w:t>
      </w:r>
      <w:proofErr w:type="spellStart"/>
      <w:r w:rsidRPr="00F82F43">
        <w:rPr>
          <w:lang w:val="fr-CA"/>
        </w:rPr>
        <w:t>Drawdown</w:t>
      </w:r>
      <w:proofErr w:type="spellEnd"/>
      <w:r w:rsidRPr="00F82F43">
        <w:rPr>
          <w:lang w:val="fr-CA"/>
        </w:rPr>
        <w:t xml:space="preserve"> des portefeuilles optimisés</w:t>
      </w:r>
      <w:bookmarkEnd w:id="55"/>
    </w:p>
    <w:p w14:paraId="33DC040D" w14:textId="2F5CD425" w:rsidR="00977593" w:rsidRPr="00977593" w:rsidRDefault="00977593" w:rsidP="00977593">
      <w:pPr>
        <w:jc w:val="both"/>
        <w:rPr>
          <w:rFonts w:asciiTheme="minorBidi" w:hAnsiTheme="minorBidi" w:cstheme="minorBidi"/>
          <w:lang w:val="fr-FR"/>
        </w:rPr>
      </w:pPr>
      <w:r w:rsidRPr="00977593">
        <w:rPr>
          <w:rFonts w:asciiTheme="minorBidi" w:hAnsiTheme="minorBidi" w:cstheme="minorBidi"/>
          <w:lang w:val="fr-FR"/>
        </w:rPr>
        <w:t xml:space="preserve">Ce graphique mesure la perte maximale subie par chaque portefeuille durant la période. La stratégie </w:t>
      </w:r>
      <w:proofErr w:type="spellStart"/>
      <w:r w:rsidRPr="00977593">
        <w:rPr>
          <w:rFonts w:asciiTheme="minorBidi" w:hAnsiTheme="minorBidi" w:cstheme="minorBidi"/>
          <w:lang w:val="fr-FR"/>
        </w:rPr>
        <w:t>Min_ES</w:t>
      </w:r>
      <w:proofErr w:type="spellEnd"/>
      <w:r w:rsidRPr="00977593">
        <w:rPr>
          <w:rFonts w:asciiTheme="minorBidi" w:hAnsiTheme="minorBidi" w:cstheme="minorBidi"/>
          <w:lang w:val="fr-FR"/>
        </w:rPr>
        <w:t xml:space="preserve"> se distingue par sa résilience, avec le </w:t>
      </w:r>
      <w:proofErr w:type="spellStart"/>
      <w:r w:rsidRPr="00977593">
        <w:rPr>
          <w:rFonts w:asciiTheme="minorBidi" w:hAnsiTheme="minorBidi" w:cstheme="minorBidi"/>
          <w:lang w:val="fr-FR"/>
        </w:rPr>
        <w:t>drawdown</w:t>
      </w:r>
      <w:proofErr w:type="spellEnd"/>
      <w:r w:rsidRPr="00977593">
        <w:rPr>
          <w:rFonts w:asciiTheme="minorBidi" w:hAnsiTheme="minorBidi" w:cstheme="minorBidi"/>
          <w:lang w:val="fr-FR"/>
        </w:rPr>
        <w:t xml:space="preserve"> le plus faible à -7 %, suivie par </w:t>
      </w:r>
      <w:proofErr w:type="spellStart"/>
      <w:r w:rsidRPr="00977593">
        <w:rPr>
          <w:rFonts w:asciiTheme="minorBidi" w:hAnsiTheme="minorBidi" w:cstheme="minorBidi"/>
          <w:lang w:val="fr-FR"/>
        </w:rPr>
        <w:t>max_sharp</w:t>
      </w:r>
      <w:proofErr w:type="spellEnd"/>
      <w:r w:rsidRPr="00977593">
        <w:rPr>
          <w:rFonts w:asciiTheme="minorBidi" w:hAnsiTheme="minorBidi" w:cstheme="minorBidi"/>
          <w:lang w:val="fr-FR"/>
        </w:rPr>
        <w:t xml:space="preserve"> (-9 %) et PF (-11 %). Les stratégies de variance minimale enregistrent les baisses les plus marquées (jusqu’à -17 %), ce qui illustre leur fragilité face aux chocs de marché.</w:t>
      </w:r>
    </w:p>
    <w:p w14:paraId="04ACCC51" w14:textId="77777777" w:rsidR="002748BF" w:rsidRDefault="002748BF" w:rsidP="00977593">
      <w:pPr>
        <w:jc w:val="both"/>
        <w:rPr>
          <w:rFonts w:asciiTheme="minorBidi" w:hAnsiTheme="minorBidi" w:cstheme="minorBidi"/>
          <w:lang w:val="fr-FR"/>
        </w:rPr>
      </w:pPr>
    </w:p>
    <w:p w14:paraId="69714571" w14:textId="38CE7A70" w:rsidR="002748BF" w:rsidRPr="002748BF" w:rsidRDefault="002748BF" w:rsidP="002748BF">
      <w:pPr>
        <w:jc w:val="both"/>
        <w:rPr>
          <w:rFonts w:asciiTheme="minorBidi" w:hAnsiTheme="minorBidi" w:cstheme="minorBidi"/>
          <w:lang w:val="fr-FR"/>
        </w:rPr>
      </w:pPr>
      <w:r w:rsidRPr="002748BF">
        <w:rPr>
          <w:rFonts w:asciiTheme="minorBidi" w:hAnsiTheme="minorBidi" w:cstheme="minorBidi"/>
          <w:lang w:val="fr-FR"/>
        </w:rPr>
        <w:t xml:space="preserve">L’analyse des quatre métriques clés met en évidence la pertinence de l’approche d’optimisation adoptée par </w:t>
      </w:r>
      <w:proofErr w:type="spellStart"/>
      <w:r w:rsidRPr="002748BF">
        <w:rPr>
          <w:rFonts w:asciiTheme="minorBidi" w:hAnsiTheme="minorBidi" w:cstheme="minorBidi"/>
          <w:lang w:val="fr-FR"/>
        </w:rPr>
        <w:t>PolyFinances</w:t>
      </w:r>
      <w:proofErr w:type="spellEnd"/>
      <w:r w:rsidRPr="002748BF">
        <w:rPr>
          <w:rFonts w:asciiTheme="minorBidi" w:hAnsiTheme="minorBidi" w:cstheme="minorBidi"/>
          <w:lang w:val="fr-FR"/>
        </w:rPr>
        <w:t xml:space="preserve">, qui surpasse la majorité des stratégies classiques testées. Le portefeuille optimisé de PF affiche un excellent ratio rendement/risque, une volatilité contenue, et un </w:t>
      </w:r>
      <w:proofErr w:type="spellStart"/>
      <w:r w:rsidRPr="002748BF">
        <w:rPr>
          <w:rFonts w:asciiTheme="minorBidi" w:hAnsiTheme="minorBidi" w:cstheme="minorBidi"/>
          <w:lang w:val="fr-FR"/>
        </w:rPr>
        <w:t>drawdown</w:t>
      </w:r>
      <w:proofErr w:type="spellEnd"/>
      <w:r w:rsidRPr="002748BF">
        <w:rPr>
          <w:rFonts w:asciiTheme="minorBidi" w:hAnsiTheme="minorBidi" w:cstheme="minorBidi"/>
          <w:lang w:val="fr-FR"/>
        </w:rPr>
        <w:t xml:space="preserve"> modéré, confirmant la solidité de l’optimisation mise en place. La stratégie à </w:t>
      </w:r>
      <w:proofErr w:type="spellStart"/>
      <w:r w:rsidRPr="002748BF">
        <w:rPr>
          <w:rFonts w:asciiTheme="minorBidi" w:hAnsiTheme="minorBidi" w:cstheme="minorBidi"/>
          <w:lang w:val="fr-FR"/>
        </w:rPr>
        <w:t>Expected</w:t>
      </w:r>
      <w:proofErr w:type="spellEnd"/>
      <w:r w:rsidRPr="002748BF">
        <w:rPr>
          <w:rFonts w:asciiTheme="minorBidi" w:hAnsiTheme="minorBidi" w:cstheme="minorBidi"/>
          <w:lang w:val="fr-FR"/>
        </w:rPr>
        <w:t xml:space="preserve"> </w:t>
      </w:r>
      <w:proofErr w:type="spellStart"/>
      <w:r w:rsidRPr="002748BF">
        <w:rPr>
          <w:rFonts w:asciiTheme="minorBidi" w:hAnsiTheme="minorBidi" w:cstheme="minorBidi"/>
          <w:lang w:val="fr-FR"/>
        </w:rPr>
        <w:t>Shortfall</w:t>
      </w:r>
      <w:proofErr w:type="spellEnd"/>
      <w:r w:rsidRPr="002748BF">
        <w:rPr>
          <w:rFonts w:asciiTheme="minorBidi" w:hAnsiTheme="minorBidi" w:cstheme="minorBidi"/>
          <w:lang w:val="fr-FR"/>
        </w:rPr>
        <w:t xml:space="preserve"> minimal se démarque également, notamment pour sa faible volatilité et sa capacité à limiter les pertes extrêmes. À l’inverse, les portefeuilles fondés sur la variance minimale ont généré des rendements négatifs et une volatilité plus élevée que prévu, illustrant leurs limites dans un contexte réel. Cette évaluation confirme la valeur ajoutée de l’optimisation sur mesure réalisée dans le cadre de ce projet.</w:t>
      </w:r>
    </w:p>
    <w:p w14:paraId="67F6152F" w14:textId="77777777" w:rsidR="00BD4A27" w:rsidRDefault="00BD4A27" w:rsidP="002748BF">
      <w:pPr>
        <w:jc w:val="both"/>
        <w:rPr>
          <w:rFonts w:asciiTheme="minorBidi" w:hAnsiTheme="minorBidi" w:cstheme="minorBidi"/>
          <w:lang w:val="fr-FR"/>
        </w:rPr>
      </w:pPr>
    </w:p>
    <w:p w14:paraId="5F97210E" w14:textId="36CF1767" w:rsidR="00D74386" w:rsidRDefault="000B0F15" w:rsidP="00763FDE">
      <w:pPr>
        <w:pStyle w:val="Titre2"/>
        <w:rPr>
          <w:rFonts w:hint="eastAsia"/>
          <w:lang w:val="fr-FR"/>
        </w:rPr>
      </w:pPr>
      <w:bookmarkStart w:id="56" w:name="_Toc199594622"/>
      <w:r>
        <w:rPr>
          <w:lang w:val="fr-FR"/>
        </w:rPr>
        <w:t>4.</w:t>
      </w:r>
      <w:r w:rsidR="00B40C8B">
        <w:rPr>
          <w:lang w:val="fr-FR"/>
        </w:rPr>
        <w:t xml:space="preserve">3 </w:t>
      </w:r>
      <w:r w:rsidR="00D74386">
        <w:rPr>
          <w:lang w:val="fr-FR"/>
        </w:rPr>
        <w:t>Analyse sectorielle du portefeuille optimisé</w:t>
      </w:r>
      <w:bookmarkEnd w:id="56"/>
    </w:p>
    <w:p w14:paraId="156C628B" w14:textId="17778BF9" w:rsidR="00BD4A27" w:rsidRDefault="000E7224" w:rsidP="002748BF">
      <w:pPr>
        <w:jc w:val="both"/>
        <w:rPr>
          <w:rFonts w:asciiTheme="minorBidi" w:hAnsiTheme="minorBidi" w:cstheme="minorBidi"/>
          <w:lang w:val="fr-FR"/>
        </w:rPr>
      </w:pPr>
      <w:r w:rsidRPr="000E7224">
        <w:rPr>
          <w:rFonts w:asciiTheme="minorBidi" w:hAnsiTheme="minorBidi" w:cstheme="minorBidi"/>
          <w:lang w:val="fr-FR"/>
        </w:rPr>
        <w:t xml:space="preserve">Les graphiques suivants présentent l’évolution de la valeur du portefeuille optimisé de </w:t>
      </w:r>
      <w:proofErr w:type="spellStart"/>
      <w:r w:rsidRPr="000E7224">
        <w:rPr>
          <w:rFonts w:asciiTheme="minorBidi" w:hAnsiTheme="minorBidi" w:cstheme="minorBidi"/>
          <w:lang w:val="fr-FR"/>
        </w:rPr>
        <w:t>PolyFinances</w:t>
      </w:r>
      <w:proofErr w:type="spellEnd"/>
      <w:r w:rsidRPr="000E7224">
        <w:rPr>
          <w:rFonts w:asciiTheme="minorBidi" w:hAnsiTheme="minorBidi" w:cstheme="minorBidi"/>
          <w:lang w:val="fr-FR"/>
        </w:rPr>
        <w:t xml:space="preserve"> pour chaque secteur. Ils permettent de comprendre quels secteurs ont le plus contribué à la performance globale du portefeuille, et lesquels ont freiné sa progression</w:t>
      </w:r>
    </w:p>
    <w:p w14:paraId="7EE53067" w14:textId="77777777" w:rsidR="00AB5332" w:rsidRDefault="00BD4A27" w:rsidP="00AB5332">
      <w:pPr>
        <w:keepNext/>
        <w:jc w:val="both"/>
      </w:pPr>
      <w:r>
        <w:rPr>
          <w:rFonts w:asciiTheme="minorBidi" w:hAnsiTheme="minorBidi" w:cstheme="minorBidi"/>
          <w:noProof/>
          <w:lang w:val="fr-FR"/>
          <w14:ligatures w14:val="standardContextual"/>
        </w:rPr>
        <w:lastRenderedPageBreak/>
        <w:drawing>
          <wp:inline distT="0" distB="0" distL="0" distR="0" wp14:anchorId="6B866566" wp14:editId="35F51EF3">
            <wp:extent cx="5943600" cy="2971800"/>
            <wp:effectExtent l="0" t="0" r="0" b="0"/>
            <wp:docPr id="1150000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0041" name="Picture 11500000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F92E939" w14:textId="67D2F227" w:rsidR="000E557D" w:rsidRDefault="00AB5332" w:rsidP="00023F4A">
      <w:pPr>
        <w:pStyle w:val="Lgende"/>
        <w:jc w:val="center"/>
        <w:rPr>
          <w:rFonts w:asciiTheme="minorBidi" w:hAnsiTheme="minorBidi" w:cstheme="minorBidi"/>
          <w:lang w:val="fr-FR"/>
        </w:rPr>
      </w:pPr>
      <w:bookmarkStart w:id="57" w:name="_Toc196950616"/>
      <w:r w:rsidRPr="00796D9A">
        <w:rPr>
          <w:lang w:val="fr-FR"/>
        </w:rPr>
        <w:t xml:space="preserve">Figure </w:t>
      </w:r>
      <w:r>
        <w:fldChar w:fldCharType="begin"/>
      </w:r>
      <w:r w:rsidRPr="00796D9A">
        <w:rPr>
          <w:lang w:val="fr-FR"/>
        </w:rPr>
        <w:instrText xml:space="preserve"> SEQ Figure \* ARABIC </w:instrText>
      </w:r>
      <w:r>
        <w:fldChar w:fldCharType="separate"/>
      </w:r>
      <w:r w:rsidR="00036C78">
        <w:rPr>
          <w:noProof/>
          <w:lang w:val="fr-FR"/>
        </w:rPr>
        <w:t>20</w:t>
      </w:r>
      <w:r>
        <w:fldChar w:fldCharType="end"/>
      </w:r>
      <w:r w:rsidRPr="00796D9A">
        <w:rPr>
          <w:lang w:val="fr-FR"/>
        </w:rPr>
        <w:t xml:space="preserve"> - Analyse sectorielle : évolution du portefeuille optimisé dans le secteur de la consommation discrétionnaire</w:t>
      </w:r>
      <w:bookmarkEnd w:id="57"/>
    </w:p>
    <w:p w14:paraId="13F13734" w14:textId="7323850C" w:rsidR="009A1634" w:rsidRPr="009C2691" w:rsidRDefault="00B3687A" w:rsidP="009C2691">
      <w:pPr>
        <w:jc w:val="both"/>
        <w:rPr>
          <w:rFonts w:asciiTheme="minorBidi" w:hAnsiTheme="minorBidi" w:cstheme="minorBidi"/>
          <w:lang w:val="fr-FR"/>
        </w:rPr>
      </w:pPr>
      <w:r w:rsidRPr="00B3687A">
        <w:rPr>
          <w:rFonts w:asciiTheme="minorBidi" w:hAnsiTheme="minorBidi" w:cstheme="minorBidi"/>
          <w:lang w:val="fr-FR"/>
        </w:rPr>
        <w:t>Dans ce secteur cyclique, PF adopte une posture prudente, avec une croissance progressive mais limitée. Les portefeuilles équipondérés et Max Sharpe borné sont les plus performants, captant mieux la reprise post-inflation du secteur</w:t>
      </w:r>
      <w:r w:rsidR="00CE6A6E">
        <w:rPr>
          <w:rFonts w:asciiTheme="minorBidi" w:hAnsiTheme="minorBidi" w:cstheme="minorBidi"/>
          <w:lang w:val="fr-FR"/>
        </w:rPr>
        <w:t>.</w:t>
      </w:r>
    </w:p>
    <w:p w14:paraId="7C867101" w14:textId="77777777" w:rsidR="00FB0630" w:rsidRDefault="00BD4A27" w:rsidP="00FB0630">
      <w:pPr>
        <w:keepNext/>
        <w:jc w:val="both"/>
      </w:pPr>
      <w:r>
        <w:rPr>
          <w:rFonts w:asciiTheme="minorBidi" w:hAnsiTheme="minorBidi" w:cstheme="minorBidi"/>
          <w:noProof/>
          <w:lang w:val="fr-FR"/>
          <w14:ligatures w14:val="standardContextual"/>
        </w:rPr>
        <w:drawing>
          <wp:inline distT="0" distB="0" distL="0" distR="0" wp14:anchorId="55098A4A" wp14:editId="2EB0212A">
            <wp:extent cx="5943600" cy="2971800"/>
            <wp:effectExtent l="0" t="0" r="0" b="0"/>
            <wp:docPr id="1206780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80075" name="Picture 12067800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8CE8945" w14:textId="50348105" w:rsidR="009A1634" w:rsidRDefault="00FB0630" w:rsidP="00023F4A">
      <w:pPr>
        <w:pStyle w:val="Lgende"/>
        <w:jc w:val="center"/>
        <w:rPr>
          <w:rFonts w:asciiTheme="minorBidi" w:hAnsiTheme="minorBidi" w:cstheme="minorBidi"/>
          <w:lang w:val="fr-FR"/>
        </w:rPr>
      </w:pPr>
      <w:bookmarkStart w:id="58" w:name="_Toc196950617"/>
      <w:r w:rsidRPr="00FB0630">
        <w:rPr>
          <w:lang w:val="fr-CA"/>
        </w:rPr>
        <w:t xml:space="preserve">Figure </w:t>
      </w:r>
      <w:r>
        <w:fldChar w:fldCharType="begin"/>
      </w:r>
      <w:r w:rsidRPr="00FB0630">
        <w:rPr>
          <w:lang w:val="fr-CA"/>
        </w:rPr>
        <w:instrText xml:space="preserve"> SEQ Figure \* ARABIC </w:instrText>
      </w:r>
      <w:r>
        <w:fldChar w:fldCharType="separate"/>
      </w:r>
      <w:r w:rsidR="00036C78">
        <w:rPr>
          <w:noProof/>
          <w:lang w:val="fr-CA"/>
        </w:rPr>
        <w:t>21</w:t>
      </w:r>
      <w:r>
        <w:fldChar w:fldCharType="end"/>
      </w:r>
      <w:r w:rsidRPr="00FB0630">
        <w:rPr>
          <w:lang w:val="fr-CA"/>
        </w:rPr>
        <w:t xml:space="preserve"> - Analyse sectorielle : évolution du portefeuille optimisé dans le secteur des produits de consommation de base</w:t>
      </w:r>
      <w:bookmarkEnd w:id="58"/>
    </w:p>
    <w:p w14:paraId="3A555AB7" w14:textId="4783737E" w:rsidR="009A1634" w:rsidRDefault="005B2926" w:rsidP="002748BF">
      <w:pPr>
        <w:jc w:val="both"/>
        <w:rPr>
          <w:rFonts w:asciiTheme="minorBidi" w:hAnsiTheme="minorBidi" w:cstheme="minorBidi"/>
          <w:lang w:val="fr-FR"/>
        </w:rPr>
      </w:pPr>
      <w:r w:rsidRPr="005B2926">
        <w:rPr>
          <w:rFonts w:asciiTheme="minorBidi" w:hAnsiTheme="minorBidi" w:cstheme="minorBidi"/>
          <w:lang w:val="fr-FR"/>
        </w:rPr>
        <w:t>Le portefeuille optimisé de PF évolue de manière stable mais reste derrière les stratégies Max Sharpe borné et équipondérée. Ces dernières réussissent à mieux exploiter la résilience structurelle des entreprises de produits de base face à l’incertitude économique.</w:t>
      </w:r>
    </w:p>
    <w:p w14:paraId="66E5325E" w14:textId="77777777" w:rsidR="009A1634" w:rsidRDefault="009A1634" w:rsidP="002748BF">
      <w:pPr>
        <w:jc w:val="both"/>
        <w:rPr>
          <w:rFonts w:asciiTheme="minorBidi" w:hAnsiTheme="minorBidi" w:cstheme="minorBidi"/>
          <w:lang w:val="fr-FR"/>
        </w:rPr>
      </w:pPr>
    </w:p>
    <w:p w14:paraId="4525249C" w14:textId="77777777" w:rsidR="009A1634" w:rsidRDefault="009A1634" w:rsidP="002748BF">
      <w:pPr>
        <w:jc w:val="both"/>
        <w:rPr>
          <w:rFonts w:asciiTheme="minorBidi" w:hAnsiTheme="minorBidi" w:cstheme="minorBidi"/>
          <w:lang w:val="fr-FR"/>
        </w:rPr>
      </w:pPr>
    </w:p>
    <w:p w14:paraId="61217E26" w14:textId="77777777" w:rsidR="00FB0630" w:rsidRDefault="00BD4A27" w:rsidP="00FB0630">
      <w:pPr>
        <w:keepNext/>
        <w:jc w:val="both"/>
      </w:pPr>
      <w:r>
        <w:rPr>
          <w:rFonts w:asciiTheme="minorBidi" w:hAnsiTheme="minorBidi" w:cstheme="minorBidi"/>
          <w:noProof/>
          <w:lang w:val="fr-FR"/>
          <w14:ligatures w14:val="standardContextual"/>
        </w:rPr>
        <w:lastRenderedPageBreak/>
        <w:drawing>
          <wp:inline distT="0" distB="0" distL="0" distR="0" wp14:anchorId="7FB9E568" wp14:editId="0CC2F7FB">
            <wp:extent cx="5943600" cy="2971800"/>
            <wp:effectExtent l="0" t="0" r="0" b="0"/>
            <wp:docPr id="2077389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9118" name="Picture 20773891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1893959" w14:textId="11E21117" w:rsidR="00184C3A" w:rsidRDefault="00FB0630" w:rsidP="00FB0630">
      <w:pPr>
        <w:pStyle w:val="Lgende"/>
        <w:jc w:val="center"/>
        <w:rPr>
          <w:rFonts w:asciiTheme="minorBidi" w:hAnsiTheme="minorBidi" w:cstheme="minorBidi"/>
          <w:lang w:val="fr-FR"/>
        </w:rPr>
      </w:pPr>
      <w:bookmarkStart w:id="59" w:name="_Toc196950618"/>
      <w:r w:rsidRPr="00FB0630">
        <w:rPr>
          <w:lang w:val="fr-CA"/>
        </w:rPr>
        <w:t xml:space="preserve">Figure </w:t>
      </w:r>
      <w:r>
        <w:fldChar w:fldCharType="begin"/>
      </w:r>
      <w:r w:rsidRPr="00FB0630">
        <w:rPr>
          <w:lang w:val="fr-CA"/>
        </w:rPr>
        <w:instrText xml:space="preserve"> SEQ Figure \* ARABIC </w:instrText>
      </w:r>
      <w:r>
        <w:fldChar w:fldCharType="separate"/>
      </w:r>
      <w:r w:rsidR="00036C78">
        <w:rPr>
          <w:noProof/>
          <w:lang w:val="fr-CA"/>
        </w:rPr>
        <w:t>22</w:t>
      </w:r>
      <w:r>
        <w:fldChar w:fldCharType="end"/>
      </w:r>
      <w:r w:rsidRPr="00FB0630">
        <w:rPr>
          <w:lang w:val="fr-CA"/>
        </w:rPr>
        <w:t xml:space="preserve"> - Analyse sectorielle : évolution du portefeuille optimisé dans le secteur de l'énergie</w:t>
      </w:r>
      <w:bookmarkEnd w:id="59"/>
    </w:p>
    <w:p w14:paraId="6F3C552A" w14:textId="77777777" w:rsidR="00184C3A" w:rsidRDefault="00184C3A" w:rsidP="002748BF">
      <w:pPr>
        <w:jc w:val="both"/>
        <w:rPr>
          <w:rFonts w:asciiTheme="minorBidi" w:hAnsiTheme="minorBidi" w:cstheme="minorBidi"/>
          <w:lang w:val="fr-FR"/>
        </w:rPr>
      </w:pPr>
    </w:p>
    <w:p w14:paraId="6E7F5D75" w14:textId="3F7532E9" w:rsidR="00BA1D58" w:rsidRDefault="00C07B2D" w:rsidP="00FA7641">
      <w:pPr>
        <w:jc w:val="both"/>
        <w:rPr>
          <w:rFonts w:asciiTheme="minorBidi" w:hAnsiTheme="minorBidi" w:cstheme="minorBidi"/>
          <w:lang w:val="fr-FR"/>
        </w:rPr>
      </w:pPr>
      <w:r w:rsidRPr="00C07B2D">
        <w:rPr>
          <w:rFonts w:asciiTheme="minorBidi" w:hAnsiTheme="minorBidi" w:cstheme="minorBidi"/>
          <w:lang w:val="fr-FR"/>
        </w:rPr>
        <w:t xml:space="preserve">PF affiche une performance correcte dans le secteur de l’énergie, sans exceller. Ce sont les portefeuilles Max Sharpe et </w:t>
      </w:r>
      <w:proofErr w:type="spellStart"/>
      <w:r w:rsidRPr="00C07B2D">
        <w:rPr>
          <w:rFonts w:asciiTheme="minorBidi" w:hAnsiTheme="minorBidi" w:cstheme="minorBidi"/>
          <w:lang w:val="fr-FR"/>
        </w:rPr>
        <w:t>Min_ES</w:t>
      </w:r>
      <w:proofErr w:type="spellEnd"/>
      <w:r w:rsidRPr="00C07B2D">
        <w:rPr>
          <w:rFonts w:asciiTheme="minorBidi" w:hAnsiTheme="minorBidi" w:cstheme="minorBidi"/>
          <w:lang w:val="fr-FR"/>
        </w:rPr>
        <w:t xml:space="preserve"> qui dominent ici, ayant probablement surpondéré des titres pétroliers ou énergétiques profitant de la hausse des prix.</w:t>
      </w:r>
    </w:p>
    <w:p w14:paraId="28D94CC8" w14:textId="77777777" w:rsidR="00BA1D58" w:rsidRPr="00FA7641" w:rsidRDefault="00BA1D58" w:rsidP="00FA7641">
      <w:pPr>
        <w:jc w:val="both"/>
        <w:rPr>
          <w:rFonts w:asciiTheme="minorBidi" w:hAnsiTheme="minorBidi" w:cstheme="minorBidi"/>
          <w:lang w:val="fr-FR"/>
        </w:rPr>
      </w:pPr>
    </w:p>
    <w:p w14:paraId="11D101E5" w14:textId="77777777" w:rsidR="00FB0630" w:rsidRDefault="00BD4A27" w:rsidP="00FB0630">
      <w:pPr>
        <w:keepNext/>
        <w:jc w:val="both"/>
      </w:pPr>
      <w:r>
        <w:rPr>
          <w:rFonts w:asciiTheme="minorBidi" w:hAnsiTheme="minorBidi" w:cstheme="minorBidi"/>
          <w:noProof/>
          <w:lang w:val="fr-FR"/>
          <w14:ligatures w14:val="standardContextual"/>
        </w:rPr>
        <w:drawing>
          <wp:inline distT="0" distB="0" distL="0" distR="0" wp14:anchorId="7BB4C8D5" wp14:editId="45F2C02A">
            <wp:extent cx="5943600" cy="2971800"/>
            <wp:effectExtent l="0" t="0" r="0" b="0"/>
            <wp:docPr id="753618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18228" name="Picture 7536182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CCB6EC0" w14:textId="22898EDF" w:rsidR="003810BA" w:rsidRDefault="00FB0630" w:rsidP="00FB0630">
      <w:pPr>
        <w:pStyle w:val="Lgende"/>
        <w:jc w:val="center"/>
        <w:rPr>
          <w:rFonts w:asciiTheme="minorBidi" w:hAnsiTheme="minorBidi" w:cstheme="minorBidi"/>
          <w:lang w:val="fr-FR"/>
        </w:rPr>
      </w:pPr>
      <w:bookmarkStart w:id="60" w:name="_Toc196950619"/>
      <w:r w:rsidRPr="00FB0630">
        <w:rPr>
          <w:lang w:val="fr-CA"/>
        </w:rPr>
        <w:t xml:space="preserve">Figure </w:t>
      </w:r>
      <w:r>
        <w:fldChar w:fldCharType="begin"/>
      </w:r>
      <w:r w:rsidRPr="00FB0630">
        <w:rPr>
          <w:lang w:val="fr-CA"/>
        </w:rPr>
        <w:instrText xml:space="preserve"> SEQ Figure \* ARABIC </w:instrText>
      </w:r>
      <w:r>
        <w:fldChar w:fldCharType="separate"/>
      </w:r>
      <w:r w:rsidR="00036C78">
        <w:rPr>
          <w:noProof/>
          <w:lang w:val="fr-CA"/>
        </w:rPr>
        <w:t>23</w:t>
      </w:r>
      <w:r>
        <w:fldChar w:fldCharType="end"/>
      </w:r>
      <w:r w:rsidRPr="00FB0630">
        <w:rPr>
          <w:lang w:val="fr-CA"/>
        </w:rPr>
        <w:t xml:space="preserve"> - Analyse sectorielle : évolution du portefeuille optimisé dans le secteur de la finance</w:t>
      </w:r>
      <w:bookmarkEnd w:id="60"/>
    </w:p>
    <w:p w14:paraId="0FF78B24" w14:textId="77777777" w:rsidR="003810BA" w:rsidRDefault="003810BA" w:rsidP="002748BF">
      <w:pPr>
        <w:jc w:val="both"/>
        <w:rPr>
          <w:rFonts w:asciiTheme="minorBidi" w:hAnsiTheme="minorBidi" w:cstheme="minorBidi"/>
          <w:lang w:val="fr-FR"/>
        </w:rPr>
      </w:pPr>
    </w:p>
    <w:p w14:paraId="5C91F543" w14:textId="77777777" w:rsidR="004547D4" w:rsidRDefault="004547D4" w:rsidP="004547D4">
      <w:pPr>
        <w:jc w:val="both"/>
        <w:rPr>
          <w:rFonts w:asciiTheme="minorBidi" w:hAnsiTheme="minorBidi" w:cstheme="minorBidi"/>
          <w:lang w:val="fr-FR"/>
        </w:rPr>
      </w:pPr>
      <w:r w:rsidRPr="004547D4">
        <w:rPr>
          <w:rFonts w:asciiTheme="minorBidi" w:hAnsiTheme="minorBidi" w:cstheme="minorBidi"/>
          <w:lang w:val="fr-FR"/>
        </w:rPr>
        <w:t>C’est dans ce secteur que PF brille le plus nettement. Il affiche une croissance constante et marquée, surpassant toutes les autres stratégies. Cela démontre une très bonne allocation de titres bancaires et financiers dans la stratégie optimisée.</w:t>
      </w:r>
    </w:p>
    <w:p w14:paraId="171260B8" w14:textId="77777777" w:rsidR="004547D4" w:rsidRDefault="004547D4" w:rsidP="004547D4">
      <w:pPr>
        <w:jc w:val="both"/>
        <w:rPr>
          <w:rFonts w:asciiTheme="minorBidi" w:hAnsiTheme="minorBidi" w:cstheme="minorBidi"/>
          <w:lang w:val="fr-FR"/>
        </w:rPr>
      </w:pPr>
    </w:p>
    <w:p w14:paraId="257B8EEB" w14:textId="77777777" w:rsidR="006A36DB" w:rsidRDefault="00BD4A27" w:rsidP="006A36DB">
      <w:pPr>
        <w:keepNext/>
        <w:jc w:val="both"/>
      </w:pPr>
      <w:r>
        <w:rPr>
          <w:rFonts w:asciiTheme="minorBidi" w:hAnsiTheme="minorBidi" w:cstheme="minorBidi"/>
          <w:noProof/>
          <w:lang w:val="fr-FR"/>
          <w14:ligatures w14:val="standardContextual"/>
        </w:rPr>
        <w:lastRenderedPageBreak/>
        <w:drawing>
          <wp:inline distT="0" distB="0" distL="0" distR="0" wp14:anchorId="29B9B682" wp14:editId="73F2D56E">
            <wp:extent cx="5943600" cy="2971800"/>
            <wp:effectExtent l="0" t="0" r="0" b="0"/>
            <wp:docPr id="1426605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5009" name="Picture 14266050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2052E05" w14:textId="234B40C6" w:rsidR="003810BA" w:rsidRDefault="006A36DB" w:rsidP="006A36DB">
      <w:pPr>
        <w:pStyle w:val="Lgende"/>
        <w:jc w:val="center"/>
        <w:rPr>
          <w:rFonts w:asciiTheme="minorBidi" w:hAnsiTheme="minorBidi" w:cstheme="minorBidi"/>
          <w:lang w:val="fr-FR"/>
        </w:rPr>
      </w:pPr>
      <w:bookmarkStart w:id="61" w:name="_Toc196950620"/>
      <w:r w:rsidRPr="006A36DB">
        <w:rPr>
          <w:lang w:val="fr-CA"/>
        </w:rPr>
        <w:t xml:space="preserve">Figure </w:t>
      </w:r>
      <w:r>
        <w:fldChar w:fldCharType="begin"/>
      </w:r>
      <w:r w:rsidRPr="006A36DB">
        <w:rPr>
          <w:lang w:val="fr-CA"/>
        </w:rPr>
        <w:instrText xml:space="preserve"> SEQ Figure \* ARABIC </w:instrText>
      </w:r>
      <w:r>
        <w:fldChar w:fldCharType="separate"/>
      </w:r>
      <w:r w:rsidR="00036C78">
        <w:rPr>
          <w:noProof/>
          <w:lang w:val="fr-CA"/>
        </w:rPr>
        <w:t>24</w:t>
      </w:r>
      <w:r>
        <w:fldChar w:fldCharType="end"/>
      </w:r>
      <w:r w:rsidRPr="006A36DB">
        <w:rPr>
          <w:lang w:val="fr-CA"/>
        </w:rPr>
        <w:t xml:space="preserve"> - Analyse sectorielle : évolution du portefeuille optimisé dans le secteur Industriel</w:t>
      </w:r>
      <w:bookmarkEnd w:id="61"/>
    </w:p>
    <w:p w14:paraId="6469E02C" w14:textId="4C729E71" w:rsidR="00BA1D58" w:rsidRDefault="00796D9A" w:rsidP="00AD7CC2">
      <w:pPr>
        <w:jc w:val="both"/>
        <w:rPr>
          <w:rFonts w:asciiTheme="minorBidi" w:hAnsiTheme="minorBidi" w:cstheme="minorBidi"/>
          <w:lang w:val="fr-FR"/>
        </w:rPr>
      </w:pPr>
      <w:r>
        <w:rPr>
          <w:rFonts w:asciiTheme="minorBidi" w:hAnsiTheme="minorBidi" w:cstheme="minorBidi"/>
          <w:lang w:val="fr-FR"/>
        </w:rPr>
        <w:t>Dans</w:t>
      </w:r>
      <w:r w:rsidRPr="00796D9A">
        <w:rPr>
          <w:rFonts w:asciiTheme="minorBidi" w:hAnsiTheme="minorBidi" w:cstheme="minorBidi"/>
          <w:lang w:val="fr-FR"/>
        </w:rPr>
        <w:t xml:space="preserve"> le secteur industriel, PF performe très bien et se classe parmi les meilleurs portefeuilles. Sa progression est constante et soutenue, derrière </w:t>
      </w:r>
      <w:proofErr w:type="spellStart"/>
      <w:r w:rsidRPr="00796D9A">
        <w:rPr>
          <w:rFonts w:asciiTheme="minorBidi" w:hAnsiTheme="minorBidi" w:cstheme="minorBidi"/>
          <w:lang w:val="fr-FR"/>
        </w:rPr>
        <w:t>Min_ES</w:t>
      </w:r>
      <w:proofErr w:type="spellEnd"/>
      <w:r w:rsidRPr="00796D9A">
        <w:rPr>
          <w:rFonts w:asciiTheme="minorBidi" w:hAnsiTheme="minorBidi" w:cstheme="minorBidi"/>
          <w:lang w:val="fr-FR"/>
        </w:rPr>
        <w:t xml:space="preserve"> mais devant Max Sharpe et les portefeuilles à variance minimale.</w:t>
      </w:r>
    </w:p>
    <w:p w14:paraId="78353E48" w14:textId="77777777" w:rsidR="00BA1D58" w:rsidRPr="00AD7CC2" w:rsidRDefault="00BA1D58" w:rsidP="00AD7CC2">
      <w:pPr>
        <w:jc w:val="both"/>
        <w:rPr>
          <w:rFonts w:asciiTheme="minorBidi" w:hAnsiTheme="minorBidi" w:cstheme="minorBidi"/>
          <w:lang w:val="fr-FR"/>
        </w:rPr>
      </w:pPr>
    </w:p>
    <w:p w14:paraId="660D36D1" w14:textId="77777777" w:rsidR="00716581" w:rsidRDefault="00BD4A27" w:rsidP="00716581">
      <w:pPr>
        <w:keepNext/>
        <w:jc w:val="both"/>
      </w:pPr>
      <w:r>
        <w:rPr>
          <w:rFonts w:asciiTheme="minorBidi" w:hAnsiTheme="minorBidi" w:cstheme="minorBidi"/>
          <w:noProof/>
          <w:lang w:val="fr-FR"/>
          <w14:ligatures w14:val="standardContextual"/>
        </w:rPr>
        <w:drawing>
          <wp:inline distT="0" distB="0" distL="0" distR="0" wp14:anchorId="211C3118" wp14:editId="57585CF4">
            <wp:extent cx="5943600" cy="2971800"/>
            <wp:effectExtent l="0" t="0" r="0" b="0"/>
            <wp:docPr id="1065219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9344" name="Picture 10652193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A2180B" w14:textId="3AA592F9" w:rsidR="00BA1D58" w:rsidRDefault="00716581" w:rsidP="00716581">
      <w:pPr>
        <w:pStyle w:val="Lgende"/>
        <w:jc w:val="center"/>
        <w:rPr>
          <w:rFonts w:asciiTheme="minorBidi" w:hAnsiTheme="minorBidi" w:cstheme="minorBidi"/>
          <w:lang w:val="fr-FR"/>
        </w:rPr>
      </w:pPr>
      <w:bookmarkStart w:id="62" w:name="_Toc196950621"/>
      <w:r w:rsidRPr="000E3580">
        <w:rPr>
          <w:lang w:val="fr-CA"/>
        </w:rPr>
        <w:t xml:space="preserve">Figure </w:t>
      </w:r>
      <w:r>
        <w:fldChar w:fldCharType="begin"/>
      </w:r>
      <w:r w:rsidRPr="000E3580">
        <w:rPr>
          <w:lang w:val="fr-CA"/>
        </w:rPr>
        <w:instrText xml:space="preserve"> SEQ Figure \* ARABIC </w:instrText>
      </w:r>
      <w:r>
        <w:fldChar w:fldCharType="separate"/>
      </w:r>
      <w:r w:rsidR="00036C78">
        <w:rPr>
          <w:noProof/>
          <w:lang w:val="fr-CA"/>
        </w:rPr>
        <w:t>25</w:t>
      </w:r>
      <w:r>
        <w:fldChar w:fldCharType="end"/>
      </w:r>
      <w:r w:rsidRPr="000E3580">
        <w:rPr>
          <w:lang w:val="fr-CA"/>
        </w:rPr>
        <w:t xml:space="preserve"> - Analyse sectorielle : évolution du portefeuille optimisé dans le secteur de la technologie</w:t>
      </w:r>
      <w:bookmarkEnd w:id="62"/>
    </w:p>
    <w:p w14:paraId="36000E9C" w14:textId="77777777" w:rsidR="00DD0478" w:rsidRDefault="00DD0478" w:rsidP="00DD0478">
      <w:pPr>
        <w:jc w:val="both"/>
        <w:rPr>
          <w:rFonts w:asciiTheme="minorBidi" w:hAnsiTheme="minorBidi" w:cstheme="minorBidi"/>
          <w:lang w:val="fr-FR"/>
        </w:rPr>
      </w:pPr>
      <w:r w:rsidRPr="00DD0478">
        <w:rPr>
          <w:rFonts w:asciiTheme="minorBidi" w:hAnsiTheme="minorBidi" w:cstheme="minorBidi"/>
          <w:lang w:val="fr-FR"/>
        </w:rPr>
        <w:t xml:space="preserve">Le portefeuille de PF reste relativement stable dans ce secteur, mais se fait surpasser par les stratégies à variance minimale (non bornée et bornée), qui bénéficient d’un effet de levier sectoriel important. Toutefois, cette performance s’accompagne d’une forte volatilité. À l’inverse, la stratégie </w:t>
      </w:r>
      <w:proofErr w:type="spellStart"/>
      <w:r w:rsidRPr="00DD0478">
        <w:rPr>
          <w:rFonts w:asciiTheme="minorBidi" w:hAnsiTheme="minorBidi" w:cstheme="minorBidi"/>
          <w:lang w:val="fr-FR"/>
        </w:rPr>
        <w:t>Min_ES</w:t>
      </w:r>
      <w:proofErr w:type="spellEnd"/>
      <w:r w:rsidRPr="00DD0478">
        <w:rPr>
          <w:rFonts w:asciiTheme="minorBidi" w:hAnsiTheme="minorBidi" w:cstheme="minorBidi"/>
          <w:lang w:val="fr-FR"/>
        </w:rPr>
        <w:t xml:space="preserve"> ne prend aucune position dans ce secteur, ce qui explique sa performance nulle ici.</w:t>
      </w:r>
    </w:p>
    <w:p w14:paraId="0F48D33F" w14:textId="77777777" w:rsidR="00DD0478" w:rsidRDefault="00DD0478" w:rsidP="00DD0478">
      <w:pPr>
        <w:jc w:val="both"/>
        <w:rPr>
          <w:rFonts w:asciiTheme="minorBidi" w:hAnsiTheme="minorBidi" w:cstheme="minorBidi"/>
          <w:lang w:val="fr-FR"/>
        </w:rPr>
      </w:pPr>
    </w:p>
    <w:p w14:paraId="7795B80A" w14:textId="77777777" w:rsidR="00716581" w:rsidRDefault="00BD4A27" w:rsidP="00716581">
      <w:pPr>
        <w:keepNext/>
        <w:jc w:val="both"/>
      </w:pPr>
      <w:r>
        <w:rPr>
          <w:rFonts w:asciiTheme="minorBidi" w:hAnsiTheme="minorBidi" w:cstheme="minorBidi"/>
          <w:noProof/>
          <w:lang w:val="fr-FR"/>
          <w14:ligatures w14:val="standardContextual"/>
        </w:rPr>
        <w:lastRenderedPageBreak/>
        <w:drawing>
          <wp:inline distT="0" distB="0" distL="0" distR="0" wp14:anchorId="6A006C77" wp14:editId="1481EC71">
            <wp:extent cx="5943600" cy="2971800"/>
            <wp:effectExtent l="0" t="0" r="0" b="0"/>
            <wp:docPr id="1036953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53468" name="Picture 10369534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81175A2" w14:textId="6850ABE2" w:rsidR="00BA1D58" w:rsidRDefault="00716581" w:rsidP="00716581">
      <w:pPr>
        <w:pStyle w:val="Lgende"/>
        <w:jc w:val="center"/>
        <w:rPr>
          <w:rFonts w:asciiTheme="minorBidi" w:hAnsiTheme="minorBidi" w:cstheme="minorBidi"/>
          <w:lang w:val="fr-FR"/>
        </w:rPr>
      </w:pPr>
      <w:bookmarkStart w:id="63" w:name="_Toc196950622"/>
      <w:r w:rsidRPr="000E3580">
        <w:rPr>
          <w:lang w:val="fr-CA"/>
        </w:rPr>
        <w:t xml:space="preserve">Figure </w:t>
      </w:r>
      <w:r>
        <w:fldChar w:fldCharType="begin"/>
      </w:r>
      <w:r w:rsidRPr="000E3580">
        <w:rPr>
          <w:lang w:val="fr-CA"/>
        </w:rPr>
        <w:instrText xml:space="preserve"> SEQ Figure \* ARABIC </w:instrText>
      </w:r>
      <w:r>
        <w:fldChar w:fldCharType="separate"/>
      </w:r>
      <w:r w:rsidR="00036C78">
        <w:rPr>
          <w:noProof/>
          <w:lang w:val="fr-CA"/>
        </w:rPr>
        <w:t>26</w:t>
      </w:r>
      <w:r>
        <w:fldChar w:fldCharType="end"/>
      </w:r>
      <w:r w:rsidRPr="000E3580">
        <w:rPr>
          <w:lang w:val="fr-CA"/>
        </w:rPr>
        <w:t xml:space="preserve"> - Analyse sectorielle : évolution du portefeuille optimisé dans le secteur des Matériaux</w:t>
      </w:r>
      <w:bookmarkEnd w:id="63"/>
    </w:p>
    <w:p w14:paraId="12F593F9" w14:textId="3E20B235" w:rsidR="001758C1" w:rsidRPr="001758C1" w:rsidRDefault="001758C1" w:rsidP="001758C1">
      <w:pPr>
        <w:jc w:val="both"/>
        <w:rPr>
          <w:rFonts w:asciiTheme="minorBidi" w:hAnsiTheme="minorBidi" w:cstheme="minorBidi"/>
          <w:lang w:val="fr-FR"/>
        </w:rPr>
      </w:pPr>
      <w:r w:rsidRPr="001758C1">
        <w:rPr>
          <w:rFonts w:asciiTheme="minorBidi" w:hAnsiTheme="minorBidi" w:cstheme="minorBidi"/>
          <w:lang w:val="fr-FR"/>
        </w:rPr>
        <w:t xml:space="preserve">Le portefeuille PF se positionne de manière prudente dans ce secteur, avec une croissance modérée. Ce sont les portefeuilles Max Sharpe (borné) et </w:t>
      </w:r>
      <w:proofErr w:type="spellStart"/>
      <w:r w:rsidRPr="001758C1">
        <w:rPr>
          <w:rFonts w:asciiTheme="minorBidi" w:hAnsiTheme="minorBidi" w:cstheme="minorBidi"/>
          <w:lang w:val="fr-FR"/>
        </w:rPr>
        <w:t>Min_ES</w:t>
      </w:r>
      <w:proofErr w:type="spellEnd"/>
      <w:r w:rsidRPr="001758C1">
        <w:rPr>
          <w:rFonts w:asciiTheme="minorBidi" w:hAnsiTheme="minorBidi" w:cstheme="minorBidi"/>
          <w:lang w:val="fr-FR"/>
        </w:rPr>
        <w:t xml:space="preserve"> qui dominent ici, avec des valorisations nettement plus élevées. Cela peut s’expliquer par une meilleure sélection de titres cycliques dans un contexte de reprise sectorielle.</w:t>
      </w:r>
    </w:p>
    <w:p w14:paraId="77B482F4" w14:textId="77777777" w:rsidR="00BA1D58" w:rsidRDefault="00BA1D58" w:rsidP="002748BF">
      <w:pPr>
        <w:jc w:val="both"/>
        <w:rPr>
          <w:rFonts w:asciiTheme="minorBidi" w:hAnsiTheme="minorBidi" w:cstheme="minorBidi"/>
          <w:lang w:val="fr-FR"/>
        </w:rPr>
      </w:pPr>
    </w:p>
    <w:p w14:paraId="14E6C1F1" w14:textId="77777777" w:rsidR="00BA1D58" w:rsidRDefault="00BA1D58" w:rsidP="002748BF">
      <w:pPr>
        <w:jc w:val="both"/>
        <w:rPr>
          <w:rFonts w:asciiTheme="minorBidi" w:hAnsiTheme="minorBidi" w:cstheme="minorBidi"/>
          <w:lang w:val="fr-FR"/>
        </w:rPr>
      </w:pPr>
    </w:p>
    <w:p w14:paraId="0F73B763" w14:textId="77777777" w:rsidR="000E3580" w:rsidRDefault="00BD4A27" w:rsidP="000E3580">
      <w:pPr>
        <w:keepNext/>
        <w:jc w:val="both"/>
      </w:pPr>
      <w:r>
        <w:rPr>
          <w:rFonts w:asciiTheme="minorBidi" w:hAnsiTheme="minorBidi" w:cstheme="minorBidi"/>
          <w:noProof/>
          <w:lang w:val="fr-FR"/>
          <w14:ligatures w14:val="standardContextual"/>
        </w:rPr>
        <w:drawing>
          <wp:inline distT="0" distB="0" distL="0" distR="0" wp14:anchorId="6B73659C" wp14:editId="57FCB393">
            <wp:extent cx="5943600" cy="2971800"/>
            <wp:effectExtent l="0" t="0" r="0" b="0"/>
            <wp:docPr id="1487563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3304" name="Picture 148756330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7C5168" w14:textId="2D500B49" w:rsidR="001758C1" w:rsidRDefault="000E3580" w:rsidP="000E3580">
      <w:pPr>
        <w:pStyle w:val="Lgende"/>
        <w:jc w:val="center"/>
        <w:rPr>
          <w:rFonts w:asciiTheme="minorBidi" w:hAnsiTheme="minorBidi" w:cstheme="minorBidi"/>
          <w:lang w:val="fr-FR"/>
        </w:rPr>
      </w:pPr>
      <w:bookmarkStart w:id="64" w:name="_Toc196950623"/>
      <w:r w:rsidRPr="00FC2FC9">
        <w:rPr>
          <w:lang w:val="fr-CA"/>
        </w:rPr>
        <w:t xml:space="preserve">Figure </w:t>
      </w:r>
      <w:r>
        <w:fldChar w:fldCharType="begin"/>
      </w:r>
      <w:r w:rsidRPr="00FC2FC9">
        <w:rPr>
          <w:lang w:val="fr-CA"/>
        </w:rPr>
        <w:instrText xml:space="preserve"> SEQ Figure \* ARABIC </w:instrText>
      </w:r>
      <w:r>
        <w:fldChar w:fldCharType="separate"/>
      </w:r>
      <w:r w:rsidR="00036C78" w:rsidRPr="00FC2FC9">
        <w:rPr>
          <w:noProof/>
          <w:lang w:val="fr-CA"/>
        </w:rPr>
        <w:t>27</w:t>
      </w:r>
      <w:r>
        <w:fldChar w:fldCharType="end"/>
      </w:r>
      <w:r w:rsidRPr="00FC2FC9">
        <w:rPr>
          <w:lang w:val="fr-CA"/>
        </w:rPr>
        <w:t xml:space="preserve"> - Analyse sectorielle : évolution du portefeuille optimisé dans le secteur de l'immobilier</w:t>
      </w:r>
      <w:bookmarkEnd w:id="64"/>
    </w:p>
    <w:p w14:paraId="3C79AC39" w14:textId="77777777" w:rsidR="001758C1" w:rsidRDefault="001758C1" w:rsidP="002748BF">
      <w:pPr>
        <w:jc w:val="both"/>
        <w:rPr>
          <w:rFonts w:asciiTheme="minorBidi" w:hAnsiTheme="minorBidi" w:cstheme="minorBidi"/>
          <w:lang w:val="fr-FR"/>
        </w:rPr>
      </w:pPr>
    </w:p>
    <w:p w14:paraId="6AF7DCA2" w14:textId="77777777" w:rsidR="000E3580" w:rsidRDefault="000E3580" w:rsidP="00724959">
      <w:pPr>
        <w:jc w:val="both"/>
        <w:rPr>
          <w:rFonts w:asciiTheme="minorBidi" w:hAnsiTheme="minorBidi" w:cstheme="minorBidi"/>
          <w:lang w:val="fr-FR"/>
        </w:rPr>
      </w:pPr>
    </w:p>
    <w:p w14:paraId="1D201DF0" w14:textId="77777777" w:rsidR="000E3580" w:rsidRDefault="000E3580" w:rsidP="00724959">
      <w:pPr>
        <w:jc w:val="both"/>
        <w:rPr>
          <w:rFonts w:asciiTheme="minorBidi" w:hAnsiTheme="minorBidi" w:cstheme="minorBidi"/>
          <w:lang w:val="fr-FR"/>
        </w:rPr>
      </w:pPr>
    </w:p>
    <w:p w14:paraId="520DDCAD" w14:textId="41D82C16" w:rsidR="00724959" w:rsidRDefault="00724959" w:rsidP="00724959">
      <w:pPr>
        <w:jc w:val="both"/>
        <w:rPr>
          <w:rFonts w:asciiTheme="minorBidi" w:hAnsiTheme="minorBidi" w:cstheme="minorBidi"/>
          <w:lang w:val="fr-FR"/>
        </w:rPr>
      </w:pPr>
      <w:r w:rsidRPr="00724959">
        <w:rPr>
          <w:rFonts w:asciiTheme="minorBidi" w:hAnsiTheme="minorBidi" w:cstheme="minorBidi"/>
          <w:lang w:val="fr-FR"/>
        </w:rPr>
        <w:lastRenderedPageBreak/>
        <w:t xml:space="preserve">Dans le secteur immobilier, PF montre une faible exposition et une croissance limitée. C’est le portefeuille équipondéré qui tire le mieux son épingle du jeu, grâce à une diversification naturelle. </w:t>
      </w:r>
      <w:proofErr w:type="spellStart"/>
      <w:r w:rsidRPr="00724959">
        <w:rPr>
          <w:rFonts w:asciiTheme="minorBidi" w:hAnsiTheme="minorBidi" w:cstheme="minorBidi"/>
          <w:lang w:val="fr-FR"/>
        </w:rPr>
        <w:t>Min_ES</w:t>
      </w:r>
      <w:proofErr w:type="spellEnd"/>
      <w:r w:rsidRPr="00724959">
        <w:rPr>
          <w:rFonts w:asciiTheme="minorBidi" w:hAnsiTheme="minorBidi" w:cstheme="minorBidi"/>
          <w:lang w:val="fr-FR"/>
        </w:rPr>
        <w:t xml:space="preserve"> n’a ici encore aucune exposition, illustrant une stratégie défensive qui écarte les secteurs les plus sensibles aux hausses de taux.</w:t>
      </w:r>
    </w:p>
    <w:p w14:paraId="2C1BA197" w14:textId="77777777" w:rsidR="001758C1" w:rsidRDefault="001758C1" w:rsidP="002748BF">
      <w:pPr>
        <w:jc w:val="both"/>
        <w:rPr>
          <w:rFonts w:asciiTheme="minorBidi" w:hAnsiTheme="minorBidi" w:cstheme="minorBidi"/>
          <w:lang w:val="fr-FR"/>
        </w:rPr>
      </w:pPr>
    </w:p>
    <w:p w14:paraId="256D4756" w14:textId="77777777" w:rsidR="000E3580" w:rsidRDefault="00BD4A27" w:rsidP="000E3580">
      <w:pPr>
        <w:keepNext/>
        <w:jc w:val="both"/>
      </w:pPr>
      <w:r>
        <w:rPr>
          <w:rFonts w:asciiTheme="minorBidi" w:hAnsiTheme="minorBidi" w:cstheme="minorBidi"/>
          <w:noProof/>
          <w:lang w:val="fr-FR"/>
          <w14:ligatures w14:val="standardContextual"/>
        </w:rPr>
        <w:drawing>
          <wp:inline distT="0" distB="0" distL="0" distR="0" wp14:anchorId="7E6E3466" wp14:editId="5CC6F6F3">
            <wp:extent cx="5943600" cy="2971800"/>
            <wp:effectExtent l="0" t="0" r="0" b="0"/>
            <wp:docPr id="18185472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47231" name="Picture 18185472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97B24E" w14:textId="6C341EEE" w:rsidR="00724959" w:rsidRDefault="000E3580" w:rsidP="005850C4">
      <w:pPr>
        <w:pStyle w:val="Lgende"/>
        <w:jc w:val="center"/>
        <w:rPr>
          <w:rFonts w:asciiTheme="minorBidi" w:hAnsiTheme="minorBidi" w:cstheme="minorBidi"/>
          <w:lang w:val="fr-FR"/>
        </w:rPr>
      </w:pPr>
      <w:bookmarkStart w:id="65" w:name="_Toc196950624"/>
      <w:r w:rsidRPr="00FC2FC9">
        <w:rPr>
          <w:lang w:val="fr-CA"/>
        </w:rPr>
        <w:t xml:space="preserve">Figure </w:t>
      </w:r>
      <w:r>
        <w:fldChar w:fldCharType="begin"/>
      </w:r>
      <w:r w:rsidRPr="00FC2FC9">
        <w:rPr>
          <w:lang w:val="fr-CA"/>
        </w:rPr>
        <w:instrText xml:space="preserve"> SEQ Figure \* ARABIC </w:instrText>
      </w:r>
      <w:r>
        <w:fldChar w:fldCharType="separate"/>
      </w:r>
      <w:r w:rsidR="00036C78" w:rsidRPr="00FC2FC9">
        <w:rPr>
          <w:noProof/>
          <w:lang w:val="fr-CA"/>
        </w:rPr>
        <w:t>28</w:t>
      </w:r>
      <w:r>
        <w:fldChar w:fldCharType="end"/>
      </w:r>
      <w:r w:rsidRPr="00FC2FC9">
        <w:rPr>
          <w:lang w:val="fr-CA"/>
        </w:rPr>
        <w:t xml:space="preserve"> - Analyse sectorielle : évolution du portefeuille optimisé dans le secteur des Télécommunications</w:t>
      </w:r>
      <w:bookmarkEnd w:id="65"/>
    </w:p>
    <w:p w14:paraId="04F27229" w14:textId="24ADC9AA" w:rsidR="00724959" w:rsidRDefault="00F0567E" w:rsidP="002748BF">
      <w:pPr>
        <w:jc w:val="both"/>
        <w:rPr>
          <w:rFonts w:asciiTheme="minorBidi" w:hAnsiTheme="minorBidi" w:cstheme="minorBidi"/>
          <w:lang w:val="fr-FR"/>
        </w:rPr>
      </w:pPr>
      <w:r w:rsidRPr="00F0567E">
        <w:rPr>
          <w:rFonts w:asciiTheme="minorBidi" w:hAnsiTheme="minorBidi" w:cstheme="minorBidi"/>
          <w:lang w:val="fr-FR"/>
        </w:rPr>
        <w:t>Le secteur des télécommunications affiche une performance globalement négative pour la majorité des portefeuilles, y compris celui de PF. Malgré une relative stabilité du portefeuille optimisé, ce secteur est marqué par une faible croissance, une pression réglementaire et une dynamique de marché défavorable.</w:t>
      </w:r>
    </w:p>
    <w:p w14:paraId="103F8CB6" w14:textId="77777777" w:rsidR="00036C78" w:rsidRDefault="00BD4A27" w:rsidP="00036C78">
      <w:pPr>
        <w:keepNext/>
        <w:jc w:val="both"/>
      </w:pPr>
      <w:r>
        <w:rPr>
          <w:rFonts w:asciiTheme="minorBidi" w:hAnsiTheme="minorBidi" w:cstheme="minorBidi"/>
          <w:noProof/>
          <w:lang w:val="fr-FR"/>
          <w14:ligatures w14:val="standardContextual"/>
        </w:rPr>
        <w:drawing>
          <wp:inline distT="0" distB="0" distL="0" distR="0" wp14:anchorId="13CAE527" wp14:editId="35E2E70F">
            <wp:extent cx="5943600" cy="2971800"/>
            <wp:effectExtent l="0" t="0" r="0" b="0"/>
            <wp:docPr id="4208882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88277" name="Picture 4208882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133A41F" w14:textId="250A4BFC" w:rsidR="00BD4A27" w:rsidRPr="002748BF" w:rsidRDefault="00036C78" w:rsidP="00036C78">
      <w:pPr>
        <w:pStyle w:val="Lgende"/>
        <w:jc w:val="center"/>
        <w:rPr>
          <w:rFonts w:asciiTheme="minorBidi" w:hAnsiTheme="minorBidi" w:cstheme="minorBidi"/>
          <w:lang w:val="fr-FR"/>
        </w:rPr>
      </w:pPr>
      <w:bookmarkStart w:id="66" w:name="_Toc196950625"/>
      <w:r w:rsidRPr="00FC2FC9">
        <w:rPr>
          <w:lang w:val="fr-CA"/>
        </w:rPr>
        <w:t xml:space="preserve">Figure </w:t>
      </w:r>
      <w:r>
        <w:fldChar w:fldCharType="begin"/>
      </w:r>
      <w:r w:rsidRPr="00FC2FC9">
        <w:rPr>
          <w:lang w:val="fr-CA"/>
        </w:rPr>
        <w:instrText xml:space="preserve"> SEQ Figure \* ARABIC </w:instrText>
      </w:r>
      <w:r>
        <w:fldChar w:fldCharType="separate"/>
      </w:r>
      <w:r w:rsidRPr="00FC2FC9">
        <w:rPr>
          <w:noProof/>
          <w:lang w:val="fr-CA"/>
        </w:rPr>
        <w:t>29</w:t>
      </w:r>
      <w:r>
        <w:fldChar w:fldCharType="end"/>
      </w:r>
      <w:r w:rsidRPr="00FC2FC9">
        <w:rPr>
          <w:lang w:val="fr-CA"/>
        </w:rPr>
        <w:t xml:space="preserve"> - Analyse sectorielle : évolution du portefeuille optimisé dans le secteur des Matériaux</w:t>
      </w:r>
      <w:bookmarkEnd w:id="66"/>
    </w:p>
    <w:p w14:paraId="11D8AA5F" w14:textId="4D824602" w:rsidR="00F0567E" w:rsidRPr="00763FDE" w:rsidRDefault="00763FDE" w:rsidP="00763FDE">
      <w:pPr>
        <w:jc w:val="both"/>
        <w:rPr>
          <w:rFonts w:asciiTheme="minorBidi" w:hAnsiTheme="minorBidi" w:cstheme="minorBidi"/>
          <w:lang w:val="fr-FR"/>
        </w:rPr>
      </w:pPr>
      <w:r w:rsidRPr="00763FDE">
        <w:rPr>
          <w:rFonts w:asciiTheme="minorBidi" w:hAnsiTheme="minorBidi" w:cstheme="minorBidi"/>
          <w:lang w:val="fr-FR"/>
        </w:rPr>
        <w:lastRenderedPageBreak/>
        <w:t xml:space="preserve">Le portefeuille de PF sous-performe dans ce secteur défensif, tandis que les stratégies Max Sharpe et </w:t>
      </w:r>
      <w:proofErr w:type="spellStart"/>
      <w:r w:rsidRPr="00763FDE">
        <w:rPr>
          <w:rFonts w:asciiTheme="minorBidi" w:hAnsiTheme="minorBidi" w:cstheme="minorBidi"/>
          <w:lang w:val="fr-FR"/>
        </w:rPr>
        <w:t>Min_ES</w:t>
      </w:r>
      <w:proofErr w:type="spellEnd"/>
      <w:r w:rsidRPr="00763FDE">
        <w:rPr>
          <w:rFonts w:asciiTheme="minorBidi" w:hAnsiTheme="minorBidi" w:cstheme="minorBidi"/>
          <w:lang w:val="fr-FR"/>
        </w:rPr>
        <w:t xml:space="preserve"> montrent des croissances nettes. Cela reflète un positionnement stratégique plus offensif de ces deux approches sur les titres à dividendes stables et moins volatils.</w:t>
      </w:r>
    </w:p>
    <w:p w14:paraId="39070C53" w14:textId="31D064E1" w:rsidR="00442ECC" w:rsidRPr="00E52ECA" w:rsidRDefault="006960E6" w:rsidP="009A48AC">
      <w:pPr>
        <w:pStyle w:val="Titre1"/>
        <w:spacing w:line="276" w:lineRule="auto"/>
        <w:jc w:val="both"/>
        <w:rPr>
          <w:rFonts w:ascii="Arial" w:hAnsi="Arial" w:cs="Arial"/>
          <w:lang w:val="fr-CA"/>
        </w:rPr>
      </w:pPr>
      <w:bookmarkStart w:id="67" w:name="_Toc664480143"/>
      <w:bookmarkStart w:id="68" w:name="_Toc472595490"/>
      <w:bookmarkStart w:id="69" w:name="_Toc199594623"/>
      <w:r>
        <w:rPr>
          <w:rFonts w:ascii="Arial" w:hAnsi="Arial" w:cs="Arial"/>
          <w:lang w:val="fr-CA"/>
        </w:rPr>
        <w:t>5</w:t>
      </w:r>
      <w:r w:rsidR="007C69A3" w:rsidRPr="00E52ECA">
        <w:rPr>
          <w:rFonts w:ascii="Arial" w:hAnsi="Arial" w:cs="Arial"/>
          <w:lang w:val="fr-CA"/>
        </w:rPr>
        <w:t xml:space="preserve">. </w:t>
      </w:r>
      <w:r w:rsidR="00442ECC" w:rsidRPr="00E52ECA">
        <w:rPr>
          <w:rFonts w:ascii="Arial" w:hAnsi="Arial" w:cs="Arial"/>
          <w:lang w:val="fr-CA"/>
        </w:rPr>
        <w:t>Conclusion</w:t>
      </w:r>
      <w:bookmarkEnd w:id="67"/>
      <w:bookmarkEnd w:id="68"/>
      <w:bookmarkEnd w:id="69"/>
    </w:p>
    <w:p w14:paraId="51532652" w14:textId="77777777" w:rsidR="00DC39E8" w:rsidRPr="009A48AC" w:rsidRDefault="00DC39E8" w:rsidP="009A48AC">
      <w:pPr>
        <w:spacing w:line="276" w:lineRule="auto"/>
        <w:jc w:val="both"/>
        <w:rPr>
          <w:rFonts w:ascii="Arial" w:hAnsi="Arial" w:cs="Arial"/>
          <w:lang w:val="fr-CA"/>
        </w:rPr>
      </w:pPr>
      <w:bookmarkStart w:id="70" w:name="_Toc1064909882"/>
      <w:bookmarkStart w:id="71" w:name="_Toc971597466"/>
      <w:r w:rsidRPr="009A48AC">
        <w:rPr>
          <w:rFonts w:ascii="Arial" w:hAnsi="Arial" w:cs="Arial"/>
          <w:lang w:val="fr-CA"/>
        </w:rPr>
        <w:t xml:space="preserve">Le projet a permis de franchir plusieurs étapes importantes. Quant aux avancées et succès, il a d’abord offert une vision claire et structurée de la répartition sectorielle du portefeuille. Cette compréhension approfondie a été rendue possible grâce au calcul de multiples indicateurs tels que le rendement annualisé, la volatilité, les ratios rendement/risque ainsi que le maximum </w:t>
      </w:r>
      <w:proofErr w:type="spellStart"/>
      <w:r w:rsidRPr="009A48AC">
        <w:rPr>
          <w:rFonts w:ascii="Arial" w:hAnsi="Arial" w:cs="Arial"/>
          <w:lang w:val="fr-CA"/>
        </w:rPr>
        <w:t>drawdown</w:t>
      </w:r>
      <w:proofErr w:type="spellEnd"/>
      <w:r w:rsidRPr="009A48AC">
        <w:rPr>
          <w:rFonts w:ascii="Arial" w:hAnsi="Arial" w:cs="Arial"/>
          <w:lang w:val="fr-CA"/>
        </w:rPr>
        <w:t xml:space="preserve">, utilisés pour comparer les différentes stratégies d’optimisation testées. Sur le plan pédagogique, le projet constitue une base précieuse pour les futurs membres du comité </w:t>
      </w:r>
      <w:proofErr w:type="spellStart"/>
      <w:r w:rsidRPr="009A48AC">
        <w:rPr>
          <w:rFonts w:ascii="Arial" w:hAnsi="Arial" w:cs="Arial"/>
          <w:lang w:val="fr-CA"/>
        </w:rPr>
        <w:t>PolyFinances</w:t>
      </w:r>
      <w:proofErr w:type="spellEnd"/>
      <w:r w:rsidRPr="009A48AC">
        <w:rPr>
          <w:rFonts w:ascii="Arial" w:hAnsi="Arial" w:cs="Arial"/>
          <w:lang w:val="fr-CA"/>
        </w:rPr>
        <w:t xml:space="preserve">, tant par sa méthodologie rigoureuse que par la clarté de ses résultats. Il a permis la validation partielle de la stratégie actuellement en place, dans plusieurs cas, le portefeuille réel a surpassé les portefeuilles optimisés, notamment ceux fondés sur la variance minimale, en termes de rendement, de stabilité et de </w:t>
      </w:r>
      <w:proofErr w:type="spellStart"/>
      <w:r w:rsidRPr="009A48AC">
        <w:rPr>
          <w:rFonts w:ascii="Arial" w:hAnsi="Arial" w:cs="Arial"/>
          <w:lang w:val="fr-CA"/>
        </w:rPr>
        <w:t>drawdown</w:t>
      </w:r>
      <w:proofErr w:type="spellEnd"/>
      <w:r w:rsidRPr="009A48AC">
        <w:rPr>
          <w:rFonts w:ascii="Arial" w:hAnsi="Arial" w:cs="Arial"/>
          <w:lang w:val="fr-CA"/>
        </w:rPr>
        <w:t>. Il en résulte une certaine légitimité de la gestion actuelle, tout en mettant en évidence la pertinence de l’approche adoptée par le comité.</w:t>
      </w:r>
    </w:p>
    <w:p w14:paraId="7DF1E63C" w14:textId="77777777" w:rsidR="00DC39E8" w:rsidRPr="009A48AC" w:rsidRDefault="00DC39E8" w:rsidP="009A48AC">
      <w:pPr>
        <w:spacing w:line="276" w:lineRule="auto"/>
        <w:jc w:val="both"/>
        <w:rPr>
          <w:rFonts w:ascii="Arial" w:hAnsi="Arial" w:cs="Arial"/>
          <w:lang w:val="fr-CA"/>
        </w:rPr>
      </w:pPr>
    </w:p>
    <w:p w14:paraId="441A92D1" w14:textId="77777777" w:rsidR="00DC39E8" w:rsidRPr="009A48AC" w:rsidRDefault="00DC39E8" w:rsidP="009A48AC">
      <w:pPr>
        <w:spacing w:line="276" w:lineRule="auto"/>
        <w:jc w:val="both"/>
        <w:rPr>
          <w:rFonts w:ascii="Arial" w:hAnsi="Arial" w:cs="Arial"/>
          <w:lang w:val="fr-CA"/>
        </w:rPr>
      </w:pPr>
      <w:r w:rsidRPr="009A48AC">
        <w:rPr>
          <w:rFonts w:ascii="Arial" w:hAnsi="Arial" w:cs="Arial"/>
          <w:lang w:val="fr-CA"/>
        </w:rPr>
        <w:t>Quant aux limites et échecs, certaines faiblesses notables ont été relevées au cours de l’analyse. Les simulations menées reposent exclusivement sur des données historiques, ce qui limite leur portée prédictive dans un environnement futur incertain. De plus, les hypothèses retenues pour simplifier le modèle, comme l’absence de frais de transaction, l’autorisation de pondérations fractionnaires ou la non-considération de la liquidité, s’écartent sensiblement des contraintes rencontrées en pratique. Le rééquilibrage théorique effectué chaque trimestre, bien qu’encadré méthodologiquement, ne reflète pas fidèlement la réalité opérationnelle de la gestion d’un portefeuille. En outre, certains portefeuilles optimisés ne couvraient pas l’ensemble des secteurs, ce qui a introduit un biais dans la comparaison. Enfin, des approches courantes telles que l’utilisation de la frontière efficiente ou la pondération fondée sur la volatilité n’ont pas été explorées, réduisant ainsi la diversité des perspectives d’optimisation analysées.</w:t>
      </w:r>
    </w:p>
    <w:p w14:paraId="4A7F41E7" w14:textId="77777777" w:rsidR="00DC39E8" w:rsidRPr="009A48AC" w:rsidRDefault="00DC39E8" w:rsidP="009A48AC">
      <w:pPr>
        <w:spacing w:line="276" w:lineRule="auto"/>
        <w:jc w:val="both"/>
        <w:rPr>
          <w:rFonts w:ascii="Arial" w:hAnsi="Arial" w:cs="Arial"/>
          <w:lang w:val="fr-CA"/>
        </w:rPr>
      </w:pPr>
    </w:p>
    <w:p w14:paraId="43CB3F91" w14:textId="3ED1B427" w:rsidR="002E55C0" w:rsidRPr="00310FE0" w:rsidRDefault="00DC39E8" w:rsidP="00310FE0">
      <w:pPr>
        <w:spacing w:line="276" w:lineRule="auto"/>
        <w:jc w:val="both"/>
        <w:rPr>
          <w:rFonts w:ascii="Arial" w:hAnsi="Arial" w:cs="Arial"/>
          <w:lang w:val="fr-CA"/>
        </w:rPr>
      </w:pPr>
      <w:r w:rsidRPr="009A48AC">
        <w:rPr>
          <w:rFonts w:ascii="Arial" w:hAnsi="Arial" w:cs="Arial"/>
          <w:lang w:val="fr-CA"/>
        </w:rPr>
        <w:t>Enfin, parmi les pistes d’amélioration identifiées, plusieurs axes de bonification sont envisagés. L’intégration de contraintes environnementales, sociales et de gouvernance (ESG), de même que des contraintes sectorielles, permettrait de rapprocher les modèles d’optimisation de la réalité actuelle des marchés. L’ajout de frais de transaction simulés ainsi qu’un modèle de rééquilibrage plus représentatif des pratiques réelles renforcerait également la robustesse des résultats.</w:t>
      </w:r>
      <w:bookmarkEnd w:id="70"/>
      <w:bookmarkEnd w:id="71"/>
    </w:p>
    <w:sectPr w:rsidR="002E55C0" w:rsidRPr="00310FE0" w:rsidSect="001635EF">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3C84D" w14:textId="77777777" w:rsidR="008E3E9A" w:rsidRDefault="008E3E9A">
      <w:r>
        <w:separator/>
      </w:r>
    </w:p>
  </w:endnote>
  <w:endnote w:type="continuationSeparator" w:id="0">
    <w:p w14:paraId="2091AF65" w14:textId="77777777" w:rsidR="008E3E9A" w:rsidRDefault="008E3E9A">
      <w:r>
        <w:continuationSeparator/>
      </w:r>
    </w:p>
  </w:endnote>
  <w:endnote w:type="continuationNotice" w:id="1">
    <w:p w14:paraId="47E28449" w14:textId="77777777" w:rsidR="008E3E9A" w:rsidRDefault="008E3E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93359515"/>
      <w:docPartObj>
        <w:docPartGallery w:val="Page Numbers (Bottom of Page)"/>
        <w:docPartUnique/>
      </w:docPartObj>
    </w:sdtPr>
    <w:sdtContent>
      <w:p w14:paraId="1CFF3FF4" w14:textId="0308DAED" w:rsidR="001635EF" w:rsidRDefault="001635EF">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A6B2F38" w14:textId="77777777" w:rsidR="001635EF" w:rsidRDefault="001635E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970926457"/>
      <w:docPartObj>
        <w:docPartGallery w:val="Page Numbers (Bottom of Page)"/>
        <w:docPartUnique/>
      </w:docPartObj>
    </w:sdtPr>
    <w:sdtContent>
      <w:p w14:paraId="64011631" w14:textId="75B5CE44" w:rsidR="001635EF" w:rsidRDefault="001635EF">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02F09E99" w14:textId="77777777" w:rsidR="001635EF" w:rsidRDefault="001635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8AB0D70" w14:paraId="7D79C551" w14:textId="77777777" w:rsidTr="78AB0D70">
      <w:trPr>
        <w:trHeight w:val="300"/>
      </w:trPr>
      <w:tc>
        <w:tcPr>
          <w:tcW w:w="3120" w:type="dxa"/>
        </w:tcPr>
        <w:p w14:paraId="5C727684" w14:textId="5A5281F6" w:rsidR="78AB0D70" w:rsidRDefault="78AB0D70" w:rsidP="78AB0D70">
          <w:pPr>
            <w:pStyle w:val="En-tte"/>
            <w:ind w:left="-115"/>
          </w:pPr>
        </w:p>
      </w:tc>
      <w:tc>
        <w:tcPr>
          <w:tcW w:w="3120" w:type="dxa"/>
        </w:tcPr>
        <w:p w14:paraId="174BFC14" w14:textId="51A32504" w:rsidR="78AB0D70" w:rsidRDefault="78AB0D70" w:rsidP="78AB0D70">
          <w:pPr>
            <w:pStyle w:val="En-tte"/>
            <w:jc w:val="center"/>
          </w:pPr>
        </w:p>
      </w:tc>
      <w:tc>
        <w:tcPr>
          <w:tcW w:w="3120" w:type="dxa"/>
        </w:tcPr>
        <w:p w14:paraId="45F3FCE5" w14:textId="7DB6E6BD" w:rsidR="78AB0D70" w:rsidRDefault="78AB0D70" w:rsidP="78AB0D70">
          <w:pPr>
            <w:pStyle w:val="En-tte"/>
            <w:ind w:right="-115"/>
            <w:jc w:val="right"/>
          </w:pPr>
        </w:p>
      </w:tc>
    </w:tr>
  </w:tbl>
  <w:p w14:paraId="24023B99" w14:textId="0A677577" w:rsidR="002B4947" w:rsidRDefault="002B49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C15A8" w14:textId="77777777" w:rsidR="008E3E9A" w:rsidRDefault="008E3E9A">
      <w:r>
        <w:separator/>
      </w:r>
    </w:p>
  </w:footnote>
  <w:footnote w:type="continuationSeparator" w:id="0">
    <w:p w14:paraId="20E608DA" w14:textId="77777777" w:rsidR="008E3E9A" w:rsidRDefault="008E3E9A">
      <w:r>
        <w:continuationSeparator/>
      </w:r>
    </w:p>
  </w:footnote>
  <w:footnote w:type="continuationNotice" w:id="1">
    <w:p w14:paraId="56D7E921" w14:textId="77777777" w:rsidR="008E3E9A" w:rsidRDefault="008E3E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8AB0D70" w14:paraId="2A6288D5" w14:textId="77777777" w:rsidTr="78AB0D70">
      <w:trPr>
        <w:trHeight w:val="300"/>
      </w:trPr>
      <w:tc>
        <w:tcPr>
          <w:tcW w:w="3120" w:type="dxa"/>
        </w:tcPr>
        <w:p w14:paraId="223B6226" w14:textId="24394459" w:rsidR="78AB0D70" w:rsidRDefault="78AB0D70" w:rsidP="78AB0D70">
          <w:pPr>
            <w:pStyle w:val="En-tte"/>
            <w:ind w:left="-115"/>
          </w:pPr>
        </w:p>
      </w:tc>
      <w:tc>
        <w:tcPr>
          <w:tcW w:w="3120" w:type="dxa"/>
        </w:tcPr>
        <w:p w14:paraId="20EFAA40" w14:textId="0FB41869" w:rsidR="78AB0D70" w:rsidRDefault="78AB0D70" w:rsidP="78AB0D70">
          <w:pPr>
            <w:pStyle w:val="En-tte"/>
            <w:jc w:val="center"/>
          </w:pPr>
        </w:p>
      </w:tc>
      <w:tc>
        <w:tcPr>
          <w:tcW w:w="3120" w:type="dxa"/>
        </w:tcPr>
        <w:p w14:paraId="1788BD87" w14:textId="50E66638" w:rsidR="78AB0D70" w:rsidRDefault="78AB0D70" w:rsidP="78AB0D70">
          <w:pPr>
            <w:pStyle w:val="En-tte"/>
            <w:ind w:right="-115"/>
            <w:jc w:val="right"/>
          </w:pPr>
        </w:p>
      </w:tc>
    </w:tr>
  </w:tbl>
  <w:p w14:paraId="78601B20" w14:textId="44F98008" w:rsidR="002B4947" w:rsidRDefault="002B494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8AB0D70" w14:paraId="63F5C313" w14:textId="77777777" w:rsidTr="78AB0D70">
      <w:trPr>
        <w:trHeight w:val="300"/>
      </w:trPr>
      <w:tc>
        <w:tcPr>
          <w:tcW w:w="3120" w:type="dxa"/>
        </w:tcPr>
        <w:p w14:paraId="46939C9D" w14:textId="04C29044" w:rsidR="78AB0D70" w:rsidRDefault="78AB0D70" w:rsidP="78AB0D70">
          <w:pPr>
            <w:pStyle w:val="En-tte"/>
            <w:ind w:left="-115"/>
          </w:pPr>
        </w:p>
      </w:tc>
      <w:tc>
        <w:tcPr>
          <w:tcW w:w="3120" w:type="dxa"/>
        </w:tcPr>
        <w:p w14:paraId="2B19E43A" w14:textId="5AE10C86" w:rsidR="78AB0D70" w:rsidRDefault="78AB0D70" w:rsidP="78AB0D70">
          <w:pPr>
            <w:pStyle w:val="En-tte"/>
            <w:jc w:val="center"/>
          </w:pPr>
        </w:p>
      </w:tc>
      <w:tc>
        <w:tcPr>
          <w:tcW w:w="3120" w:type="dxa"/>
        </w:tcPr>
        <w:p w14:paraId="5AD595AF" w14:textId="574FECB5" w:rsidR="78AB0D70" w:rsidRDefault="78AB0D70" w:rsidP="78AB0D70">
          <w:pPr>
            <w:pStyle w:val="En-tte"/>
            <w:ind w:right="-115"/>
            <w:jc w:val="right"/>
          </w:pPr>
        </w:p>
      </w:tc>
    </w:tr>
  </w:tbl>
  <w:p w14:paraId="18819218" w14:textId="36950ED5" w:rsidR="002B4947" w:rsidRDefault="002B494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C6805"/>
    <w:multiLevelType w:val="multilevel"/>
    <w:tmpl w:val="9DC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D6EA1"/>
    <w:multiLevelType w:val="multilevel"/>
    <w:tmpl w:val="A68E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43606"/>
    <w:multiLevelType w:val="multilevel"/>
    <w:tmpl w:val="6D3E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C766F"/>
    <w:multiLevelType w:val="hybridMultilevel"/>
    <w:tmpl w:val="7C26626A"/>
    <w:lvl w:ilvl="0" w:tplc="E7265970">
      <w:start w:val="4"/>
      <w:numFmt w:val="bullet"/>
      <w:lvlText w:val=""/>
      <w:lvlJc w:val="left"/>
      <w:pPr>
        <w:ind w:left="720" w:hanging="360"/>
      </w:pPr>
      <w:rPr>
        <w:rFonts w:ascii="Symbol" w:eastAsia="Times New Roman" w:hAnsi="Symbo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7367F59"/>
    <w:multiLevelType w:val="multilevel"/>
    <w:tmpl w:val="A5D456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BBD2F0A"/>
    <w:multiLevelType w:val="multilevel"/>
    <w:tmpl w:val="9540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B7575"/>
    <w:multiLevelType w:val="hybridMultilevel"/>
    <w:tmpl w:val="6B5400BE"/>
    <w:lvl w:ilvl="0" w:tplc="952C47B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6161580"/>
    <w:multiLevelType w:val="hybridMultilevel"/>
    <w:tmpl w:val="F19A5AFA"/>
    <w:lvl w:ilvl="0" w:tplc="EA4ADDE4">
      <w:start w:val="4"/>
      <w:numFmt w:val="bullet"/>
      <w:lvlText w:val=""/>
      <w:lvlJc w:val="left"/>
      <w:pPr>
        <w:ind w:left="1080" w:hanging="360"/>
      </w:pPr>
      <w:rPr>
        <w:rFonts w:ascii="Symbol" w:eastAsia="Times New Roman" w:hAnsi="Symbol" w:cs="Aria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15:restartNumberingAfterBreak="0">
    <w:nsid w:val="3BA67CA7"/>
    <w:multiLevelType w:val="multilevel"/>
    <w:tmpl w:val="B0A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36325"/>
    <w:multiLevelType w:val="hybridMultilevel"/>
    <w:tmpl w:val="FFFFFFFF"/>
    <w:lvl w:ilvl="0" w:tplc="ECF8A350">
      <w:start w:val="1"/>
      <w:numFmt w:val="lowerLetter"/>
      <w:lvlText w:val="%1."/>
      <w:lvlJc w:val="left"/>
      <w:pPr>
        <w:ind w:left="720" w:hanging="360"/>
      </w:pPr>
    </w:lvl>
    <w:lvl w:ilvl="1" w:tplc="A63E2896">
      <w:start w:val="1"/>
      <w:numFmt w:val="lowerLetter"/>
      <w:lvlText w:val="%2."/>
      <w:lvlJc w:val="left"/>
      <w:pPr>
        <w:ind w:left="1440" w:hanging="360"/>
      </w:pPr>
    </w:lvl>
    <w:lvl w:ilvl="2" w:tplc="46CC62E0">
      <w:start w:val="1"/>
      <w:numFmt w:val="lowerRoman"/>
      <w:lvlText w:val="%3."/>
      <w:lvlJc w:val="right"/>
      <w:pPr>
        <w:ind w:left="2160" w:hanging="180"/>
      </w:pPr>
    </w:lvl>
    <w:lvl w:ilvl="3" w:tplc="AE14CB36">
      <w:start w:val="1"/>
      <w:numFmt w:val="decimal"/>
      <w:lvlText w:val="%4."/>
      <w:lvlJc w:val="left"/>
      <w:pPr>
        <w:ind w:left="2880" w:hanging="360"/>
      </w:pPr>
    </w:lvl>
    <w:lvl w:ilvl="4" w:tplc="5F02490A">
      <w:start w:val="1"/>
      <w:numFmt w:val="lowerLetter"/>
      <w:lvlText w:val="%5."/>
      <w:lvlJc w:val="left"/>
      <w:pPr>
        <w:ind w:left="3600" w:hanging="360"/>
      </w:pPr>
    </w:lvl>
    <w:lvl w:ilvl="5" w:tplc="8304966E">
      <w:start w:val="1"/>
      <w:numFmt w:val="lowerRoman"/>
      <w:lvlText w:val="%6."/>
      <w:lvlJc w:val="right"/>
      <w:pPr>
        <w:ind w:left="4320" w:hanging="180"/>
      </w:pPr>
    </w:lvl>
    <w:lvl w:ilvl="6" w:tplc="86888A0A">
      <w:start w:val="1"/>
      <w:numFmt w:val="decimal"/>
      <w:lvlText w:val="%7."/>
      <w:lvlJc w:val="left"/>
      <w:pPr>
        <w:ind w:left="5040" w:hanging="360"/>
      </w:pPr>
    </w:lvl>
    <w:lvl w:ilvl="7" w:tplc="24D67494">
      <w:start w:val="1"/>
      <w:numFmt w:val="lowerLetter"/>
      <w:lvlText w:val="%8."/>
      <w:lvlJc w:val="left"/>
      <w:pPr>
        <w:ind w:left="5760" w:hanging="360"/>
      </w:pPr>
    </w:lvl>
    <w:lvl w:ilvl="8" w:tplc="E494B686">
      <w:start w:val="1"/>
      <w:numFmt w:val="lowerRoman"/>
      <w:lvlText w:val="%9."/>
      <w:lvlJc w:val="right"/>
      <w:pPr>
        <w:ind w:left="6480" w:hanging="180"/>
      </w:pPr>
    </w:lvl>
  </w:abstractNum>
  <w:abstractNum w:abstractNumId="10" w15:restartNumberingAfterBreak="0">
    <w:nsid w:val="497C4E97"/>
    <w:multiLevelType w:val="hybridMultilevel"/>
    <w:tmpl w:val="F8E2BCEC"/>
    <w:lvl w:ilvl="0" w:tplc="C62C21A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4C0B1364"/>
    <w:multiLevelType w:val="multilevel"/>
    <w:tmpl w:val="3FF0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45199"/>
    <w:multiLevelType w:val="multilevel"/>
    <w:tmpl w:val="4460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FE0A90"/>
    <w:multiLevelType w:val="hybridMultilevel"/>
    <w:tmpl w:val="D056078C"/>
    <w:lvl w:ilvl="0" w:tplc="C76CFAAA">
      <w:start w:val="4"/>
      <w:numFmt w:val="bullet"/>
      <w:lvlText w:val=""/>
      <w:lvlJc w:val="left"/>
      <w:pPr>
        <w:ind w:left="720" w:hanging="360"/>
      </w:pPr>
      <w:rPr>
        <w:rFonts w:ascii="Symbol" w:eastAsia="Times New Roman" w:hAnsi="Symbo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4980B7D"/>
    <w:multiLevelType w:val="hybridMultilevel"/>
    <w:tmpl w:val="FEC2ECEE"/>
    <w:lvl w:ilvl="0" w:tplc="F314F1D4">
      <w:start w:val="3"/>
      <w:numFmt w:val="bullet"/>
      <w:lvlText w:val=""/>
      <w:lvlJc w:val="left"/>
      <w:pPr>
        <w:ind w:left="720" w:hanging="360"/>
      </w:pPr>
      <w:rPr>
        <w:rFonts w:ascii="Symbol" w:eastAsia="Times New Roman" w:hAnsi="Symbo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570B7D69"/>
    <w:multiLevelType w:val="hybridMultilevel"/>
    <w:tmpl w:val="06EE2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64C699"/>
    <w:multiLevelType w:val="hybridMultilevel"/>
    <w:tmpl w:val="FFFFFFFF"/>
    <w:lvl w:ilvl="0" w:tplc="209C6E44">
      <w:start w:val="1"/>
      <w:numFmt w:val="lowerLetter"/>
      <w:lvlText w:val="%1."/>
      <w:lvlJc w:val="left"/>
      <w:pPr>
        <w:ind w:left="720" w:hanging="360"/>
      </w:pPr>
    </w:lvl>
    <w:lvl w:ilvl="1" w:tplc="BEE6F992">
      <w:start w:val="1"/>
      <w:numFmt w:val="lowerLetter"/>
      <w:lvlText w:val="%2."/>
      <w:lvlJc w:val="left"/>
      <w:pPr>
        <w:ind w:left="1440" w:hanging="360"/>
      </w:pPr>
    </w:lvl>
    <w:lvl w:ilvl="2" w:tplc="F13C2CCE">
      <w:start w:val="1"/>
      <w:numFmt w:val="lowerRoman"/>
      <w:lvlText w:val="%3."/>
      <w:lvlJc w:val="right"/>
      <w:pPr>
        <w:ind w:left="2160" w:hanging="180"/>
      </w:pPr>
    </w:lvl>
    <w:lvl w:ilvl="3" w:tplc="320C731C">
      <w:start w:val="1"/>
      <w:numFmt w:val="decimal"/>
      <w:lvlText w:val="%4."/>
      <w:lvlJc w:val="left"/>
      <w:pPr>
        <w:ind w:left="2880" w:hanging="360"/>
      </w:pPr>
    </w:lvl>
    <w:lvl w:ilvl="4" w:tplc="8F949B94">
      <w:start w:val="1"/>
      <w:numFmt w:val="lowerLetter"/>
      <w:lvlText w:val="%5."/>
      <w:lvlJc w:val="left"/>
      <w:pPr>
        <w:ind w:left="3600" w:hanging="360"/>
      </w:pPr>
    </w:lvl>
    <w:lvl w:ilvl="5" w:tplc="23DCFD5A">
      <w:start w:val="1"/>
      <w:numFmt w:val="lowerRoman"/>
      <w:lvlText w:val="%6."/>
      <w:lvlJc w:val="right"/>
      <w:pPr>
        <w:ind w:left="4320" w:hanging="180"/>
      </w:pPr>
    </w:lvl>
    <w:lvl w:ilvl="6" w:tplc="0E82E69E">
      <w:start w:val="1"/>
      <w:numFmt w:val="decimal"/>
      <w:lvlText w:val="%7."/>
      <w:lvlJc w:val="left"/>
      <w:pPr>
        <w:ind w:left="5040" w:hanging="360"/>
      </w:pPr>
    </w:lvl>
    <w:lvl w:ilvl="7" w:tplc="DA9899C0">
      <w:start w:val="1"/>
      <w:numFmt w:val="lowerLetter"/>
      <w:lvlText w:val="%8."/>
      <w:lvlJc w:val="left"/>
      <w:pPr>
        <w:ind w:left="5760" w:hanging="360"/>
      </w:pPr>
    </w:lvl>
    <w:lvl w:ilvl="8" w:tplc="044889EA">
      <w:start w:val="1"/>
      <w:numFmt w:val="lowerRoman"/>
      <w:lvlText w:val="%9."/>
      <w:lvlJc w:val="right"/>
      <w:pPr>
        <w:ind w:left="6480" w:hanging="180"/>
      </w:pPr>
    </w:lvl>
  </w:abstractNum>
  <w:abstractNum w:abstractNumId="17" w15:restartNumberingAfterBreak="0">
    <w:nsid w:val="5C8A5AA3"/>
    <w:multiLevelType w:val="multilevel"/>
    <w:tmpl w:val="C8FE6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986B9B"/>
    <w:multiLevelType w:val="multilevel"/>
    <w:tmpl w:val="E4EA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6A5CEF"/>
    <w:multiLevelType w:val="multilevel"/>
    <w:tmpl w:val="F8FEAFA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02557A"/>
    <w:multiLevelType w:val="hybridMultilevel"/>
    <w:tmpl w:val="DB028DCC"/>
    <w:lvl w:ilvl="0" w:tplc="173CD5B4">
      <w:start w:val="7"/>
      <w:numFmt w:val="bullet"/>
      <w:lvlText w:val="-"/>
      <w:lvlJc w:val="left"/>
      <w:pPr>
        <w:ind w:left="720" w:hanging="360"/>
      </w:pPr>
      <w:rPr>
        <w:rFonts w:ascii="Aptos" w:eastAsia="Times New Roman" w:hAnsi="Apto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7D433D4C"/>
    <w:multiLevelType w:val="multilevel"/>
    <w:tmpl w:val="93382E3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8645FE"/>
    <w:multiLevelType w:val="multilevel"/>
    <w:tmpl w:val="A9907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B72B4E"/>
    <w:multiLevelType w:val="multilevel"/>
    <w:tmpl w:val="0066B36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112360703">
    <w:abstractNumId w:val="23"/>
  </w:num>
  <w:num w:numId="2" w16cid:durableId="2103143977">
    <w:abstractNumId w:val="15"/>
  </w:num>
  <w:num w:numId="3" w16cid:durableId="1794446379">
    <w:abstractNumId w:val="4"/>
  </w:num>
  <w:num w:numId="4" w16cid:durableId="184561201">
    <w:abstractNumId w:val="19"/>
  </w:num>
  <w:num w:numId="5" w16cid:durableId="563179350">
    <w:abstractNumId w:val="17"/>
  </w:num>
  <w:num w:numId="6" w16cid:durableId="36205495">
    <w:abstractNumId w:val="12"/>
  </w:num>
  <w:num w:numId="7" w16cid:durableId="927885262">
    <w:abstractNumId w:val="21"/>
  </w:num>
  <w:num w:numId="8" w16cid:durableId="1930695391">
    <w:abstractNumId w:val="22"/>
  </w:num>
  <w:num w:numId="9" w16cid:durableId="275530435">
    <w:abstractNumId w:val="16"/>
  </w:num>
  <w:num w:numId="10" w16cid:durableId="1681619522">
    <w:abstractNumId w:val="9"/>
  </w:num>
  <w:num w:numId="11" w16cid:durableId="920065815">
    <w:abstractNumId w:val="1"/>
  </w:num>
  <w:num w:numId="12" w16cid:durableId="1764572150">
    <w:abstractNumId w:val="20"/>
  </w:num>
  <w:num w:numId="13" w16cid:durableId="545066499">
    <w:abstractNumId w:val="18"/>
  </w:num>
  <w:num w:numId="14" w16cid:durableId="136840653">
    <w:abstractNumId w:val="11"/>
  </w:num>
  <w:num w:numId="15" w16cid:durableId="1765220322">
    <w:abstractNumId w:val="5"/>
  </w:num>
  <w:num w:numId="16" w16cid:durableId="1612280305">
    <w:abstractNumId w:val="2"/>
  </w:num>
  <w:num w:numId="17" w16cid:durableId="1564438824">
    <w:abstractNumId w:val="8"/>
  </w:num>
  <w:num w:numId="18" w16cid:durableId="1317687994">
    <w:abstractNumId w:val="0"/>
  </w:num>
  <w:num w:numId="19" w16cid:durableId="1529487116">
    <w:abstractNumId w:val="6"/>
  </w:num>
  <w:num w:numId="20" w16cid:durableId="2047370792">
    <w:abstractNumId w:val="10"/>
  </w:num>
  <w:num w:numId="21" w16cid:durableId="1569146080">
    <w:abstractNumId w:val="14"/>
  </w:num>
  <w:num w:numId="22" w16cid:durableId="2075539025">
    <w:abstractNumId w:val="3"/>
  </w:num>
  <w:num w:numId="23" w16cid:durableId="1331641360">
    <w:abstractNumId w:val="7"/>
  </w:num>
  <w:num w:numId="24" w16cid:durableId="405106167">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ECC"/>
    <w:rsid w:val="0000062A"/>
    <w:rsid w:val="000006C7"/>
    <w:rsid w:val="00001068"/>
    <w:rsid w:val="00001186"/>
    <w:rsid w:val="00001530"/>
    <w:rsid w:val="0000158A"/>
    <w:rsid w:val="00002866"/>
    <w:rsid w:val="00002DF0"/>
    <w:rsid w:val="0000375A"/>
    <w:rsid w:val="0000414A"/>
    <w:rsid w:val="00004257"/>
    <w:rsid w:val="0000437D"/>
    <w:rsid w:val="0000460D"/>
    <w:rsid w:val="00004A63"/>
    <w:rsid w:val="00004A97"/>
    <w:rsid w:val="000058CE"/>
    <w:rsid w:val="00005BA0"/>
    <w:rsid w:val="000068D4"/>
    <w:rsid w:val="00007675"/>
    <w:rsid w:val="00007C71"/>
    <w:rsid w:val="0001255E"/>
    <w:rsid w:val="0001270B"/>
    <w:rsid w:val="000127E9"/>
    <w:rsid w:val="00015049"/>
    <w:rsid w:val="000165C2"/>
    <w:rsid w:val="000169F9"/>
    <w:rsid w:val="00016ED1"/>
    <w:rsid w:val="00017935"/>
    <w:rsid w:val="00017B6D"/>
    <w:rsid w:val="00020721"/>
    <w:rsid w:val="00020CAB"/>
    <w:rsid w:val="00021781"/>
    <w:rsid w:val="00021C9E"/>
    <w:rsid w:val="00022F48"/>
    <w:rsid w:val="00023F4A"/>
    <w:rsid w:val="00024D96"/>
    <w:rsid w:val="00026488"/>
    <w:rsid w:val="000272EF"/>
    <w:rsid w:val="00030329"/>
    <w:rsid w:val="00033CDB"/>
    <w:rsid w:val="00033D7C"/>
    <w:rsid w:val="00034462"/>
    <w:rsid w:val="000344E6"/>
    <w:rsid w:val="00035A4C"/>
    <w:rsid w:val="00036C78"/>
    <w:rsid w:val="0003756E"/>
    <w:rsid w:val="00037AA7"/>
    <w:rsid w:val="00042AB1"/>
    <w:rsid w:val="00043D38"/>
    <w:rsid w:val="00046E9E"/>
    <w:rsid w:val="00046F52"/>
    <w:rsid w:val="00047071"/>
    <w:rsid w:val="000475AA"/>
    <w:rsid w:val="00047A06"/>
    <w:rsid w:val="000522E5"/>
    <w:rsid w:val="0005315F"/>
    <w:rsid w:val="00053A2D"/>
    <w:rsid w:val="000540C1"/>
    <w:rsid w:val="00055CD1"/>
    <w:rsid w:val="00055F0B"/>
    <w:rsid w:val="00056B33"/>
    <w:rsid w:val="00057059"/>
    <w:rsid w:val="00057838"/>
    <w:rsid w:val="00057872"/>
    <w:rsid w:val="00057DC7"/>
    <w:rsid w:val="00060AF5"/>
    <w:rsid w:val="00060D1A"/>
    <w:rsid w:val="00061B8D"/>
    <w:rsid w:val="000625A7"/>
    <w:rsid w:val="000632D1"/>
    <w:rsid w:val="000632E6"/>
    <w:rsid w:val="0006384E"/>
    <w:rsid w:val="000638DC"/>
    <w:rsid w:val="000647EE"/>
    <w:rsid w:val="00064812"/>
    <w:rsid w:val="000652DD"/>
    <w:rsid w:val="0006561B"/>
    <w:rsid w:val="00065ACD"/>
    <w:rsid w:val="00066141"/>
    <w:rsid w:val="00066373"/>
    <w:rsid w:val="00066EB7"/>
    <w:rsid w:val="00067406"/>
    <w:rsid w:val="0006741C"/>
    <w:rsid w:val="00067B67"/>
    <w:rsid w:val="00070938"/>
    <w:rsid w:val="00070C84"/>
    <w:rsid w:val="00070F29"/>
    <w:rsid w:val="0007198A"/>
    <w:rsid w:val="00072A7F"/>
    <w:rsid w:val="00072DAE"/>
    <w:rsid w:val="000730AA"/>
    <w:rsid w:val="000731B4"/>
    <w:rsid w:val="00073400"/>
    <w:rsid w:val="000738D7"/>
    <w:rsid w:val="000743C7"/>
    <w:rsid w:val="00075230"/>
    <w:rsid w:val="000754AC"/>
    <w:rsid w:val="00077141"/>
    <w:rsid w:val="0007715F"/>
    <w:rsid w:val="0007766C"/>
    <w:rsid w:val="00081E95"/>
    <w:rsid w:val="00082020"/>
    <w:rsid w:val="00082767"/>
    <w:rsid w:val="00082CFE"/>
    <w:rsid w:val="00083F79"/>
    <w:rsid w:val="00085F0A"/>
    <w:rsid w:val="0008638C"/>
    <w:rsid w:val="000863EB"/>
    <w:rsid w:val="00086D69"/>
    <w:rsid w:val="000878E2"/>
    <w:rsid w:val="00087BBE"/>
    <w:rsid w:val="000905A7"/>
    <w:rsid w:val="00090FEA"/>
    <w:rsid w:val="00091C65"/>
    <w:rsid w:val="00091D24"/>
    <w:rsid w:val="00091F70"/>
    <w:rsid w:val="0009238E"/>
    <w:rsid w:val="00093791"/>
    <w:rsid w:val="0009389E"/>
    <w:rsid w:val="000948F1"/>
    <w:rsid w:val="00094A52"/>
    <w:rsid w:val="000965E3"/>
    <w:rsid w:val="000976A7"/>
    <w:rsid w:val="00097DEF"/>
    <w:rsid w:val="00097E19"/>
    <w:rsid w:val="000A011D"/>
    <w:rsid w:val="000A029B"/>
    <w:rsid w:val="000A0F00"/>
    <w:rsid w:val="000A17B0"/>
    <w:rsid w:val="000A2069"/>
    <w:rsid w:val="000A2571"/>
    <w:rsid w:val="000A2CBE"/>
    <w:rsid w:val="000A3372"/>
    <w:rsid w:val="000A71CD"/>
    <w:rsid w:val="000A7405"/>
    <w:rsid w:val="000A740F"/>
    <w:rsid w:val="000A78BF"/>
    <w:rsid w:val="000B03A5"/>
    <w:rsid w:val="000B0A24"/>
    <w:rsid w:val="000B0F15"/>
    <w:rsid w:val="000B212B"/>
    <w:rsid w:val="000B2EAF"/>
    <w:rsid w:val="000B3BCC"/>
    <w:rsid w:val="000B3CE5"/>
    <w:rsid w:val="000B4968"/>
    <w:rsid w:val="000B5920"/>
    <w:rsid w:val="000B6EA0"/>
    <w:rsid w:val="000B728C"/>
    <w:rsid w:val="000B7409"/>
    <w:rsid w:val="000B7996"/>
    <w:rsid w:val="000B7CC1"/>
    <w:rsid w:val="000C0EFB"/>
    <w:rsid w:val="000C14DA"/>
    <w:rsid w:val="000C2042"/>
    <w:rsid w:val="000C2CE9"/>
    <w:rsid w:val="000C2DD8"/>
    <w:rsid w:val="000C3741"/>
    <w:rsid w:val="000C3C90"/>
    <w:rsid w:val="000C3CA3"/>
    <w:rsid w:val="000C471E"/>
    <w:rsid w:val="000C5058"/>
    <w:rsid w:val="000C59EC"/>
    <w:rsid w:val="000C6AC8"/>
    <w:rsid w:val="000D0BFF"/>
    <w:rsid w:val="000D1B86"/>
    <w:rsid w:val="000D1FCA"/>
    <w:rsid w:val="000D2250"/>
    <w:rsid w:val="000D2FBD"/>
    <w:rsid w:val="000D347A"/>
    <w:rsid w:val="000D3F19"/>
    <w:rsid w:val="000D6821"/>
    <w:rsid w:val="000D710B"/>
    <w:rsid w:val="000D7A8E"/>
    <w:rsid w:val="000E0D89"/>
    <w:rsid w:val="000E100A"/>
    <w:rsid w:val="000E13DD"/>
    <w:rsid w:val="000E1C0A"/>
    <w:rsid w:val="000E1FBF"/>
    <w:rsid w:val="000E1FE6"/>
    <w:rsid w:val="000E2285"/>
    <w:rsid w:val="000E2FBB"/>
    <w:rsid w:val="000E3580"/>
    <w:rsid w:val="000E4493"/>
    <w:rsid w:val="000E4596"/>
    <w:rsid w:val="000E557D"/>
    <w:rsid w:val="000E59D0"/>
    <w:rsid w:val="000E6365"/>
    <w:rsid w:val="000E64B0"/>
    <w:rsid w:val="000E651F"/>
    <w:rsid w:val="000E69A3"/>
    <w:rsid w:val="000E69F1"/>
    <w:rsid w:val="000E7224"/>
    <w:rsid w:val="000E7ACF"/>
    <w:rsid w:val="000E7D4C"/>
    <w:rsid w:val="000E7F82"/>
    <w:rsid w:val="000F0372"/>
    <w:rsid w:val="000F0B0E"/>
    <w:rsid w:val="000F12A5"/>
    <w:rsid w:val="000F1564"/>
    <w:rsid w:val="000F221A"/>
    <w:rsid w:val="000F3379"/>
    <w:rsid w:val="000F3962"/>
    <w:rsid w:val="000F3DCA"/>
    <w:rsid w:val="000F48ED"/>
    <w:rsid w:val="000F5ADD"/>
    <w:rsid w:val="000F61AE"/>
    <w:rsid w:val="000F65ED"/>
    <w:rsid w:val="00100514"/>
    <w:rsid w:val="00100D33"/>
    <w:rsid w:val="00100D55"/>
    <w:rsid w:val="00101A50"/>
    <w:rsid w:val="00101EDD"/>
    <w:rsid w:val="001026C8"/>
    <w:rsid w:val="00102D69"/>
    <w:rsid w:val="0010485D"/>
    <w:rsid w:val="00104B4D"/>
    <w:rsid w:val="00104C9F"/>
    <w:rsid w:val="00104CA1"/>
    <w:rsid w:val="00104EF1"/>
    <w:rsid w:val="00105B07"/>
    <w:rsid w:val="00105E6B"/>
    <w:rsid w:val="00107C17"/>
    <w:rsid w:val="0011089B"/>
    <w:rsid w:val="001109C4"/>
    <w:rsid w:val="00110A6A"/>
    <w:rsid w:val="00111626"/>
    <w:rsid w:val="00111F13"/>
    <w:rsid w:val="001123DE"/>
    <w:rsid w:val="0011254A"/>
    <w:rsid w:val="00112AEE"/>
    <w:rsid w:val="00112EC2"/>
    <w:rsid w:val="00113F10"/>
    <w:rsid w:val="001140F2"/>
    <w:rsid w:val="00115865"/>
    <w:rsid w:val="00116220"/>
    <w:rsid w:val="00117071"/>
    <w:rsid w:val="0011779D"/>
    <w:rsid w:val="001200D2"/>
    <w:rsid w:val="001210DF"/>
    <w:rsid w:val="0012143C"/>
    <w:rsid w:val="0012423A"/>
    <w:rsid w:val="0012438F"/>
    <w:rsid w:val="00124919"/>
    <w:rsid w:val="00125B2E"/>
    <w:rsid w:val="001271F4"/>
    <w:rsid w:val="00127BF1"/>
    <w:rsid w:val="001301AF"/>
    <w:rsid w:val="0013113D"/>
    <w:rsid w:val="001317B6"/>
    <w:rsid w:val="00132117"/>
    <w:rsid w:val="00132431"/>
    <w:rsid w:val="0013250F"/>
    <w:rsid w:val="00132C27"/>
    <w:rsid w:val="00132C39"/>
    <w:rsid w:val="0013347A"/>
    <w:rsid w:val="001335E8"/>
    <w:rsid w:val="00134061"/>
    <w:rsid w:val="001340EB"/>
    <w:rsid w:val="0013451C"/>
    <w:rsid w:val="00135CEF"/>
    <w:rsid w:val="0013629E"/>
    <w:rsid w:val="00136CE8"/>
    <w:rsid w:val="0014059D"/>
    <w:rsid w:val="00140D16"/>
    <w:rsid w:val="00140DF5"/>
    <w:rsid w:val="001420DE"/>
    <w:rsid w:val="00143321"/>
    <w:rsid w:val="00143B19"/>
    <w:rsid w:val="00144148"/>
    <w:rsid w:val="00144910"/>
    <w:rsid w:val="00145FFE"/>
    <w:rsid w:val="00147450"/>
    <w:rsid w:val="00147A7D"/>
    <w:rsid w:val="00147DF3"/>
    <w:rsid w:val="001500A3"/>
    <w:rsid w:val="00150EAD"/>
    <w:rsid w:val="00150F19"/>
    <w:rsid w:val="00151A28"/>
    <w:rsid w:val="00151C14"/>
    <w:rsid w:val="0015290C"/>
    <w:rsid w:val="00152E1F"/>
    <w:rsid w:val="00153A53"/>
    <w:rsid w:val="00154C98"/>
    <w:rsid w:val="00154E6E"/>
    <w:rsid w:val="00156379"/>
    <w:rsid w:val="00156B5C"/>
    <w:rsid w:val="00157A3D"/>
    <w:rsid w:val="001601F3"/>
    <w:rsid w:val="0016022E"/>
    <w:rsid w:val="001608F8"/>
    <w:rsid w:val="00160AD8"/>
    <w:rsid w:val="00161921"/>
    <w:rsid w:val="00162539"/>
    <w:rsid w:val="00162A39"/>
    <w:rsid w:val="0016326C"/>
    <w:rsid w:val="001635EF"/>
    <w:rsid w:val="001637FA"/>
    <w:rsid w:val="00163D60"/>
    <w:rsid w:val="00163D7E"/>
    <w:rsid w:val="0016447D"/>
    <w:rsid w:val="00164924"/>
    <w:rsid w:val="00164C25"/>
    <w:rsid w:val="0016566D"/>
    <w:rsid w:val="00166475"/>
    <w:rsid w:val="001665F0"/>
    <w:rsid w:val="001679D1"/>
    <w:rsid w:val="00170B93"/>
    <w:rsid w:val="00170C70"/>
    <w:rsid w:val="001718CE"/>
    <w:rsid w:val="001718DE"/>
    <w:rsid w:val="00171BA6"/>
    <w:rsid w:val="00172147"/>
    <w:rsid w:val="00173022"/>
    <w:rsid w:val="001732D5"/>
    <w:rsid w:val="001739A0"/>
    <w:rsid w:val="00173D09"/>
    <w:rsid w:val="00175254"/>
    <w:rsid w:val="001757AF"/>
    <w:rsid w:val="001758C1"/>
    <w:rsid w:val="00175903"/>
    <w:rsid w:val="00176E84"/>
    <w:rsid w:val="001807F8"/>
    <w:rsid w:val="001808D0"/>
    <w:rsid w:val="00180CC2"/>
    <w:rsid w:val="0018148F"/>
    <w:rsid w:val="001820C5"/>
    <w:rsid w:val="00182223"/>
    <w:rsid w:val="001822CA"/>
    <w:rsid w:val="00182759"/>
    <w:rsid w:val="001830CD"/>
    <w:rsid w:val="0018313C"/>
    <w:rsid w:val="00183892"/>
    <w:rsid w:val="00183D87"/>
    <w:rsid w:val="00184C3A"/>
    <w:rsid w:val="00185071"/>
    <w:rsid w:val="00185739"/>
    <w:rsid w:val="001858A1"/>
    <w:rsid w:val="001867D0"/>
    <w:rsid w:val="00186B72"/>
    <w:rsid w:val="0018735F"/>
    <w:rsid w:val="0018790F"/>
    <w:rsid w:val="0018793B"/>
    <w:rsid w:val="00191481"/>
    <w:rsid w:val="001925F6"/>
    <w:rsid w:val="0019287B"/>
    <w:rsid w:val="0019369E"/>
    <w:rsid w:val="001936DB"/>
    <w:rsid w:val="00194233"/>
    <w:rsid w:val="00195995"/>
    <w:rsid w:val="001961C0"/>
    <w:rsid w:val="00197647"/>
    <w:rsid w:val="00197829"/>
    <w:rsid w:val="0019784A"/>
    <w:rsid w:val="001A0A12"/>
    <w:rsid w:val="001A1929"/>
    <w:rsid w:val="001A22CB"/>
    <w:rsid w:val="001A5234"/>
    <w:rsid w:val="001A5626"/>
    <w:rsid w:val="001A5962"/>
    <w:rsid w:val="001A697C"/>
    <w:rsid w:val="001A6C43"/>
    <w:rsid w:val="001A6C5F"/>
    <w:rsid w:val="001A6CE9"/>
    <w:rsid w:val="001A712D"/>
    <w:rsid w:val="001A71B7"/>
    <w:rsid w:val="001A76E5"/>
    <w:rsid w:val="001A77F2"/>
    <w:rsid w:val="001A7C1E"/>
    <w:rsid w:val="001B087D"/>
    <w:rsid w:val="001B1266"/>
    <w:rsid w:val="001B31E5"/>
    <w:rsid w:val="001B34BF"/>
    <w:rsid w:val="001B3C8E"/>
    <w:rsid w:val="001B62AC"/>
    <w:rsid w:val="001B67F3"/>
    <w:rsid w:val="001B68C3"/>
    <w:rsid w:val="001B719A"/>
    <w:rsid w:val="001C0A36"/>
    <w:rsid w:val="001C1778"/>
    <w:rsid w:val="001C18BB"/>
    <w:rsid w:val="001C2999"/>
    <w:rsid w:val="001C2F2D"/>
    <w:rsid w:val="001C3463"/>
    <w:rsid w:val="001C3FEE"/>
    <w:rsid w:val="001C5195"/>
    <w:rsid w:val="001C685A"/>
    <w:rsid w:val="001C6E20"/>
    <w:rsid w:val="001C73A6"/>
    <w:rsid w:val="001D02C0"/>
    <w:rsid w:val="001D2CCD"/>
    <w:rsid w:val="001D2E09"/>
    <w:rsid w:val="001D4896"/>
    <w:rsid w:val="001D5697"/>
    <w:rsid w:val="001D5DFE"/>
    <w:rsid w:val="001D6217"/>
    <w:rsid w:val="001D661C"/>
    <w:rsid w:val="001D6FF4"/>
    <w:rsid w:val="001E0405"/>
    <w:rsid w:val="001E07C0"/>
    <w:rsid w:val="001E0C6E"/>
    <w:rsid w:val="001E149C"/>
    <w:rsid w:val="001E2339"/>
    <w:rsid w:val="001E414B"/>
    <w:rsid w:val="001E45A6"/>
    <w:rsid w:val="001E4ABF"/>
    <w:rsid w:val="001E4B78"/>
    <w:rsid w:val="001E6438"/>
    <w:rsid w:val="001E6C17"/>
    <w:rsid w:val="001E6CE1"/>
    <w:rsid w:val="001E7856"/>
    <w:rsid w:val="001E7E53"/>
    <w:rsid w:val="001F0611"/>
    <w:rsid w:val="001F0766"/>
    <w:rsid w:val="001F0D9C"/>
    <w:rsid w:val="001F1849"/>
    <w:rsid w:val="001F1FD5"/>
    <w:rsid w:val="001F29AA"/>
    <w:rsid w:val="001F2B82"/>
    <w:rsid w:val="001F41D0"/>
    <w:rsid w:val="001F5126"/>
    <w:rsid w:val="001F535B"/>
    <w:rsid w:val="001F59FA"/>
    <w:rsid w:val="001F5A5F"/>
    <w:rsid w:val="001F6EC4"/>
    <w:rsid w:val="001F7404"/>
    <w:rsid w:val="001F7880"/>
    <w:rsid w:val="001F7CC1"/>
    <w:rsid w:val="00200359"/>
    <w:rsid w:val="00200808"/>
    <w:rsid w:val="00200931"/>
    <w:rsid w:val="002012EF"/>
    <w:rsid w:val="002013C9"/>
    <w:rsid w:val="0020202C"/>
    <w:rsid w:val="00203168"/>
    <w:rsid w:val="002046F3"/>
    <w:rsid w:val="00205714"/>
    <w:rsid w:val="002058D1"/>
    <w:rsid w:val="002060F7"/>
    <w:rsid w:val="00206878"/>
    <w:rsid w:val="00207B77"/>
    <w:rsid w:val="0021023B"/>
    <w:rsid w:val="002109F3"/>
    <w:rsid w:val="00210EF5"/>
    <w:rsid w:val="00212074"/>
    <w:rsid w:val="00213D02"/>
    <w:rsid w:val="00214055"/>
    <w:rsid w:val="002161B4"/>
    <w:rsid w:val="00220D96"/>
    <w:rsid w:val="00222BAE"/>
    <w:rsid w:val="0022423C"/>
    <w:rsid w:val="00224DC6"/>
    <w:rsid w:val="002259D7"/>
    <w:rsid w:val="00225EA8"/>
    <w:rsid w:val="00226241"/>
    <w:rsid w:val="002277F0"/>
    <w:rsid w:val="00227A98"/>
    <w:rsid w:val="00227FA0"/>
    <w:rsid w:val="00230C7D"/>
    <w:rsid w:val="00230CDC"/>
    <w:rsid w:val="00231ABE"/>
    <w:rsid w:val="00231E4D"/>
    <w:rsid w:val="002321B6"/>
    <w:rsid w:val="00232678"/>
    <w:rsid w:val="002332AE"/>
    <w:rsid w:val="00233CDC"/>
    <w:rsid w:val="00234BAB"/>
    <w:rsid w:val="00235569"/>
    <w:rsid w:val="00235783"/>
    <w:rsid w:val="00237365"/>
    <w:rsid w:val="00237767"/>
    <w:rsid w:val="00237C4E"/>
    <w:rsid w:val="00243771"/>
    <w:rsid w:val="00243958"/>
    <w:rsid w:val="002440F2"/>
    <w:rsid w:val="0024429D"/>
    <w:rsid w:val="002451B6"/>
    <w:rsid w:val="00245B38"/>
    <w:rsid w:val="002464D8"/>
    <w:rsid w:val="00246D4A"/>
    <w:rsid w:val="00246EFE"/>
    <w:rsid w:val="002472D1"/>
    <w:rsid w:val="00247680"/>
    <w:rsid w:val="00247923"/>
    <w:rsid w:val="0025046F"/>
    <w:rsid w:val="00250F63"/>
    <w:rsid w:val="0025177D"/>
    <w:rsid w:val="00251893"/>
    <w:rsid w:val="002519FA"/>
    <w:rsid w:val="0025253B"/>
    <w:rsid w:val="0025294E"/>
    <w:rsid w:val="00252F6F"/>
    <w:rsid w:val="00252F70"/>
    <w:rsid w:val="00254765"/>
    <w:rsid w:val="00254B68"/>
    <w:rsid w:val="00254C19"/>
    <w:rsid w:val="00254CD7"/>
    <w:rsid w:val="00256499"/>
    <w:rsid w:val="002571E0"/>
    <w:rsid w:val="0026180C"/>
    <w:rsid w:val="00261E29"/>
    <w:rsid w:val="00263192"/>
    <w:rsid w:val="00264622"/>
    <w:rsid w:val="002649F7"/>
    <w:rsid w:val="0026508C"/>
    <w:rsid w:val="00265FC8"/>
    <w:rsid w:val="0026678A"/>
    <w:rsid w:val="0026681C"/>
    <w:rsid w:val="00267399"/>
    <w:rsid w:val="0026739F"/>
    <w:rsid w:val="002709D8"/>
    <w:rsid w:val="00272B29"/>
    <w:rsid w:val="00272D2E"/>
    <w:rsid w:val="00273F35"/>
    <w:rsid w:val="002747AE"/>
    <w:rsid w:val="002748BF"/>
    <w:rsid w:val="00276316"/>
    <w:rsid w:val="002770F9"/>
    <w:rsid w:val="002770FC"/>
    <w:rsid w:val="002777E5"/>
    <w:rsid w:val="0028057A"/>
    <w:rsid w:val="00280978"/>
    <w:rsid w:val="002815B5"/>
    <w:rsid w:val="00281A92"/>
    <w:rsid w:val="00281B5C"/>
    <w:rsid w:val="00282109"/>
    <w:rsid w:val="00282C43"/>
    <w:rsid w:val="002833DD"/>
    <w:rsid w:val="00283732"/>
    <w:rsid w:val="00284871"/>
    <w:rsid w:val="002849F6"/>
    <w:rsid w:val="00285103"/>
    <w:rsid w:val="00285555"/>
    <w:rsid w:val="00285C2B"/>
    <w:rsid w:val="0028650F"/>
    <w:rsid w:val="00286774"/>
    <w:rsid w:val="0029000E"/>
    <w:rsid w:val="00290698"/>
    <w:rsid w:val="00291138"/>
    <w:rsid w:val="00291AB6"/>
    <w:rsid w:val="00291E51"/>
    <w:rsid w:val="0029373B"/>
    <w:rsid w:val="002948BF"/>
    <w:rsid w:val="0029570D"/>
    <w:rsid w:val="00295EF5"/>
    <w:rsid w:val="0029605F"/>
    <w:rsid w:val="00296D7D"/>
    <w:rsid w:val="002A0AB8"/>
    <w:rsid w:val="002A1969"/>
    <w:rsid w:val="002A23BB"/>
    <w:rsid w:val="002A294D"/>
    <w:rsid w:val="002A29CE"/>
    <w:rsid w:val="002A2C42"/>
    <w:rsid w:val="002A4785"/>
    <w:rsid w:val="002A51F4"/>
    <w:rsid w:val="002A55DF"/>
    <w:rsid w:val="002A576C"/>
    <w:rsid w:val="002A5DE3"/>
    <w:rsid w:val="002A5E1C"/>
    <w:rsid w:val="002A5F82"/>
    <w:rsid w:val="002A61E0"/>
    <w:rsid w:val="002A67CA"/>
    <w:rsid w:val="002A6C4F"/>
    <w:rsid w:val="002B1660"/>
    <w:rsid w:val="002B2BE0"/>
    <w:rsid w:val="002B3A17"/>
    <w:rsid w:val="002B416C"/>
    <w:rsid w:val="002B4947"/>
    <w:rsid w:val="002B685B"/>
    <w:rsid w:val="002B722E"/>
    <w:rsid w:val="002B7311"/>
    <w:rsid w:val="002B76ED"/>
    <w:rsid w:val="002B7B47"/>
    <w:rsid w:val="002C08F6"/>
    <w:rsid w:val="002C0A6C"/>
    <w:rsid w:val="002C14BA"/>
    <w:rsid w:val="002C1647"/>
    <w:rsid w:val="002C2B66"/>
    <w:rsid w:val="002C3B85"/>
    <w:rsid w:val="002C3C4B"/>
    <w:rsid w:val="002C43E1"/>
    <w:rsid w:val="002C4DCE"/>
    <w:rsid w:val="002C55FB"/>
    <w:rsid w:val="002C6AD1"/>
    <w:rsid w:val="002D1177"/>
    <w:rsid w:val="002D1796"/>
    <w:rsid w:val="002D1AE9"/>
    <w:rsid w:val="002D1C12"/>
    <w:rsid w:val="002D1CE6"/>
    <w:rsid w:val="002D2731"/>
    <w:rsid w:val="002D2773"/>
    <w:rsid w:val="002D333B"/>
    <w:rsid w:val="002D390D"/>
    <w:rsid w:val="002D394D"/>
    <w:rsid w:val="002D3CF8"/>
    <w:rsid w:val="002D3DD0"/>
    <w:rsid w:val="002D5B9B"/>
    <w:rsid w:val="002D5BD9"/>
    <w:rsid w:val="002D6F7C"/>
    <w:rsid w:val="002D71E9"/>
    <w:rsid w:val="002D72DD"/>
    <w:rsid w:val="002D751C"/>
    <w:rsid w:val="002E03AD"/>
    <w:rsid w:val="002E07FD"/>
    <w:rsid w:val="002E0A41"/>
    <w:rsid w:val="002E0AA9"/>
    <w:rsid w:val="002E3388"/>
    <w:rsid w:val="002E3D5C"/>
    <w:rsid w:val="002E4E13"/>
    <w:rsid w:val="002E4F26"/>
    <w:rsid w:val="002E55C0"/>
    <w:rsid w:val="002E72B6"/>
    <w:rsid w:val="002E7BB0"/>
    <w:rsid w:val="002E7DC7"/>
    <w:rsid w:val="002F04E5"/>
    <w:rsid w:val="002F1D38"/>
    <w:rsid w:val="002F4068"/>
    <w:rsid w:val="002F440B"/>
    <w:rsid w:val="002F5257"/>
    <w:rsid w:val="002F5538"/>
    <w:rsid w:val="002F651E"/>
    <w:rsid w:val="002F675B"/>
    <w:rsid w:val="002F6792"/>
    <w:rsid w:val="002F6A64"/>
    <w:rsid w:val="003008D8"/>
    <w:rsid w:val="00301E8B"/>
    <w:rsid w:val="00302D8C"/>
    <w:rsid w:val="00303116"/>
    <w:rsid w:val="00303A49"/>
    <w:rsid w:val="00304E72"/>
    <w:rsid w:val="003052C9"/>
    <w:rsid w:val="003063CF"/>
    <w:rsid w:val="003069E8"/>
    <w:rsid w:val="00306D67"/>
    <w:rsid w:val="0031077B"/>
    <w:rsid w:val="00310CCD"/>
    <w:rsid w:val="00310FE0"/>
    <w:rsid w:val="003114C5"/>
    <w:rsid w:val="00312B86"/>
    <w:rsid w:val="00312C06"/>
    <w:rsid w:val="00312F11"/>
    <w:rsid w:val="0031325D"/>
    <w:rsid w:val="00314162"/>
    <w:rsid w:val="0031494D"/>
    <w:rsid w:val="003149CB"/>
    <w:rsid w:val="0031554F"/>
    <w:rsid w:val="00316220"/>
    <w:rsid w:val="00316A20"/>
    <w:rsid w:val="00317108"/>
    <w:rsid w:val="0031734F"/>
    <w:rsid w:val="0031740F"/>
    <w:rsid w:val="00317B16"/>
    <w:rsid w:val="0032070C"/>
    <w:rsid w:val="00321D1E"/>
    <w:rsid w:val="00322DA9"/>
    <w:rsid w:val="00323D93"/>
    <w:rsid w:val="0032528C"/>
    <w:rsid w:val="00325DFF"/>
    <w:rsid w:val="003264A8"/>
    <w:rsid w:val="0032707A"/>
    <w:rsid w:val="0032732F"/>
    <w:rsid w:val="0032773D"/>
    <w:rsid w:val="003279D6"/>
    <w:rsid w:val="00327A35"/>
    <w:rsid w:val="00327E81"/>
    <w:rsid w:val="00330BF3"/>
    <w:rsid w:val="00331A77"/>
    <w:rsid w:val="00331F1A"/>
    <w:rsid w:val="00332431"/>
    <w:rsid w:val="00332D84"/>
    <w:rsid w:val="003338AA"/>
    <w:rsid w:val="00333ABB"/>
    <w:rsid w:val="003345BB"/>
    <w:rsid w:val="00334833"/>
    <w:rsid w:val="00334C99"/>
    <w:rsid w:val="00335035"/>
    <w:rsid w:val="003359E6"/>
    <w:rsid w:val="00335D54"/>
    <w:rsid w:val="00335D94"/>
    <w:rsid w:val="0033608C"/>
    <w:rsid w:val="0033733D"/>
    <w:rsid w:val="00340F56"/>
    <w:rsid w:val="0034127D"/>
    <w:rsid w:val="00341D5C"/>
    <w:rsid w:val="00341E55"/>
    <w:rsid w:val="0034286A"/>
    <w:rsid w:val="00342D40"/>
    <w:rsid w:val="00342EFA"/>
    <w:rsid w:val="00344253"/>
    <w:rsid w:val="00344538"/>
    <w:rsid w:val="0034515A"/>
    <w:rsid w:val="003453D7"/>
    <w:rsid w:val="00345407"/>
    <w:rsid w:val="00345AB9"/>
    <w:rsid w:val="003467FF"/>
    <w:rsid w:val="00346982"/>
    <w:rsid w:val="00346C94"/>
    <w:rsid w:val="003479CB"/>
    <w:rsid w:val="003500D7"/>
    <w:rsid w:val="00350256"/>
    <w:rsid w:val="00350B4E"/>
    <w:rsid w:val="00351393"/>
    <w:rsid w:val="003516D4"/>
    <w:rsid w:val="00351924"/>
    <w:rsid w:val="00351E5A"/>
    <w:rsid w:val="003525F7"/>
    <w:rsid w:val="00353BC9"/>
    <w:rsid w:val="00353E1F"/>
    <w:rsid w:val="00354DD5"/>
    <w:rsid w:val="0035615A"/>
    <w:rsid w:val="00356421"/>
    <w:rsid w:val="003570C1"/>
    <w:rsid w:val="00357DC9"/>
    <w:rsid w:val="0036054E"/>
    <w:rsid w:val="0036264F"/>
    <w:rsid w:val="003633EA"/>
    <w:rsid w:val="00363D1F"/>
    <w:rsid w:val="00363E4B"/>
    <w:rsid w:val="003643BF"/>
    <w:rsid w:val="00364776"/>
    <w:rsid w:val="00365607"/>
    <w:rsid w:val="00365715"/>
    <w:rsid w:val="0036639A"/>
    <w:rsid w:val="003671BD"/>
    <w:rsid w:val="00371214"/>
    <w:rsid w:val="0037145A"/>
    <w:rsid w:val="00371754"/>
    <w:rsid w:val="00371EF3"/>
    <w:rsid w:val="00372C23"/>
    <w:rsid w:val="00373269"/>
    <w:rsid w:val="003732AE"/>
    <w:rsid w:val="0037343C"/>
    <w:rsid w:val="003734BB"/>
    <w:rsid w:val="00376790"/>
    <w:rsid w:val="00380BE0"/>
    <w:rsid w:val="00380C16"/>
    <w:rsid w:val="003810BA"/>
    <w:rsid w:val="003817DD"/>
    <w:rsid w:val="00382DEA"/>
    <w:rsid w:val="0038300D"/>
    <w:rsid w:val="00383429"/>
    <w:rsid w:val="00383969"/>
    <w:rsid w:val="00384364"/>
    <w:rsid w:val="00384A9C"/>
    <w:rsid w:val="00385FA6"/>
    <w:rsid w:val="00386311"/>
    <w:rsid w:val="00386392"/>
    <w:rsid w:val="0038644E"/>
    <w:rsid w:val="00386B37"/>
    <w:rsid w:val="00386E17"/>
    <w:rsid w:val="0038759F"/>
    <w:rsid w:val="00387BA9"/>
    <w:rsid w:val="00387E05"/>
    <w:rsid w:val="0039273A"/>
    <w:rsid w:val="00393658"/>
    <w:rsid w:val="0039481E"/>
    <w:rsid w:val="00394848"/>
    <w:rsid w:val="00394951"/>
    <w:rsid w:val="00394D95"/>
    <w:rsid w:val="003963AC"/>
    <w:rsid w:val="003969CB"/>
    <w:rsid w:val="003A0EEB"/>
    <w:rsid w:val="003A2DFA"/>
    <w:rsid w:val="003A2E0E"/>
    <w:rsid w:val="003A39CF"/>
    <w:rsid w:val="003A600E"/>
    <w:rsid w:val="003A6BD6"/>
    <w:rsid w:val="003A6D37"/>
    <w:rsid w:val="003A7C05"/>
    <w:rsid w:val="003A7CCB"/>
    <w:rsid w:val="003B16D1"/>
    <w:rsid w:val="003B1810"/>
    <w:rsid w:val="003B24DD"/>
    <w:rsid w:val="003B25CB"/>
    <w:rsid w:val="003B2835"/>
    <w:rsid w:val="003B33F6"/>
    <w:rsid w:val="003B3BE7"/>
    <w:rsid w:val="003B42F9"/>
    <w:rsid w:val="003B5E86"/>
    <w:rsid w:val="003B671B"/>
    <w:rsid w:val="003B6FCB"/>
    <w:rsid w:val="003B7B65"/>
    <w:rsid w:val="003C1B6F"/>
    <w:rsid w:val="003C287E"/>
    <w:rsid w:val="003C2962"/>
    <w:rsid w:val="003C6A4A"/>
    <w:rsid w:val="003C7794"/>
    <w:rsid w:val="003D06C0"/>
    <w:rsid w:val="003D121A"/>
    <w:rsid w:val="003D1E72"/>
    <w:rsid w:val="003D2577"/>
    <w:rsid w:val="003D26A4"/>
    <w:rsid w:val="003D2FDA"/>
    <w:rsid w:val="003D3073"/>
    <w:rsid w:val="003D31F6"/>
    <w:rsid w:val="003D3616"/>
    <w:rsid w:val="003D3943"/>
    <w:rsid w:val="003D3B7F"/>
    <w:rsid w:val="003D3EB7"/>
    <w:rsid w:val="003D461E"/>
    <w:rsid w:val="003D4DC8"/>
    <w:rsid w:val="003D5E05"/>
    <w:rsid w:val="003D758D"/>
    <w:rsid w:val="003E023F"/>
    <w:rsid w:val="003E47E9"/>
    <w:rsid w:val="003E55E3"/>
    <w:rsid w:val="003E5B01"/>
    <w:rsid w:val="003E6302"/>
    <w:rsid w:val="003E6E8D"/>
    <w:rsid w:val="003E71C4"/>
    <w:rsid w:val="003E786C"/>
    <w:rsid w:val="003E7B37"/>
    <w:rsid w:val="003F0CA7"/>
    <w:rsid w:val="003F1763"/>
    <w:rsid w:val="003F21BE"/>
    <w:rsid w:val="003F447F"/>
    <w:rsid w:val="003F47F7"/>
    <w:rsid w:val="003F5315"/>
    <w:rsid w:val="003F733F"/>
    <w:rsid w:val="003F7B12"/>
    <w:rsid w:val="003F7E27"/>
    <w:rsid w:val="004002B9"/>
    <w:rsid w:val="00401944"/>
    <w:rsid w:val="00401AE0"/>
    <w:rsid w:val="00401F59"/>
    <w:rsid w:val="00402067"/>
    <w:rsid w:val="00403313"/>
    <w:rsid w:val="0040365B"/>
    <w:rsid w:val="00405548"/>
    <w:rsid w:val="00405750"/>
    <w:rsid w:val="00405949"/>
    <w:rsid w:val="00406466"/>
    <w:rsid w:val="00406903"/>
    <w:rsid w:val="0041052F"/>
    <w:rsid w:val="004110CD"/>
    <w:rsid w:val="00411BC6"/>
    <w:rsid w:val="00412934"/>
    <w:rsid w:val="00412DB3"/>
    <w:rsid w:val="00414877"/>
    <w:rsid w:val="00414BA8"/>
    <w:rsid w:val="0041525D"/>
    <w:rsid w:val="004153A8"/>
    <w:rsid w:val="004157E3"/>
    <w:rsid w:val="00415901"/>
    <w:rsid w:val="00420691"/>
    <w:rsid w:val="00421BCC"/>
    <w:rsid w:val="004224F1"/>
    <w:rsid w:val="00422AB8"/>
    <w:rsid w:val="004239B8"/>
    <w:rsid w:val="00423AB8"/>
    <w:rsid w:val="00425876"/>
    <w:rsid w:val="0042634D"/>
    <w:rsid w:val="0042642A"/>
    <w:rsid w:val="00426EBB"/>
    <w:rsid w:val="00426EEB"/>
    <w:rsid w:val="004307F2"/>
    <w:rsid w:val="004309FD"/>
    <w:rsid w:val="00430A0B"/>
    <w:rsid w:val="004317FF"/>
    <w:rsid w:val="00432553"/>
    <w:rsid w:val="00433496"/>
    <w:rsid w:val="004337CD"/>
    <w:rsid w:val="00433B8B"/>
    <w:rsid w:val="0043405C"/>
    <w:rsid w:val="00434270"/>
    <w:rsid w:val="004354A3"/>
    <w:rsid w:val="004354D1"/>
    <w:rsid w:val="0043558D"/>
    <w:rsid w:val="00436D61"/>
    <w:rsid w:val="00437A5B"/>
    <w:rsid w:val="00440774"/>
    <w:rsid w:val="00440C23"/>
    <w:rsid w:val="00440F02"/>
    <w:rsid w:val="0044261C"/>
    <w:rsid w:val="00442757"/>
    <w:rsid w:val="00442D17"/>
    <w:rsid w:val="00442ECC"/>
    <w:rsid w:val="0044333D"/>
    <w:rsid w:val="004437B7"/>
    <w:rsid w:val="0044440F"/>
    <w:rsid w:val="00444B19"/>
    <w:rsid w:val="00444C6B"/>
    <w:rsid w:val="004456B7"/>
    <w:rsid w:val="00445C1C"/>
    <w:rsid w:val="00446B42"/>
    <w:rsid w:val="00447899"/>
    <w:rsid w:val="00450D78"/>
    <w:rsid w:val="0045125A"/>
    <w:rsid w:val="00451651"/>
    <w:rsid w:val="004517D3"/>
    <w:rsid w:val="00451B6B"/>
    <w:rsid w:val="00452A6F"/>
    <w:rsid w:val="004533EC"/>
    <w:rsid w:val="004535C6"/>
    <w:rsid w:val="00453844"/>
    <w:rsid w:val="00453B5F"/>
    <w:rsid w:val="004547D4"/>
    <w:rsid w:val="00454D1A"/>
    <w:rsid w:val="0045520F"/>
    <w:rsid w:val="004552BC"/>
    <w:rsid w:val="0045538B"/>
    <w:rsid w:val="00455DF0"/>
    <w:rsid w:val="004561CF"/>
    <w:rsid w:val="00456F8E"/>
    <w:rsid w:val="00457C98"/>
    <w:rsid w:val="004609FC"/>
    <w:rsid w:val="00461222"/>
    <w:rsid w:val="004618C4"/>
    <w:rsid w:val="00462422"/>
    <w:rsid w:val="004624B1"/>
    <w:rsid w:val="00462AF3"/>
    <w:rsid w:val="00462F66"/>
    <w:rsid w:val="00464EB3"/>
    <w:rsid w:val="00464F3B"/>
    <w:rsid w:val="00465B52"/>
    <w:rsid w:val="00465F60"/>
    <w:rsid w:val="004662F4"/>
    <w:rsid w:val="00466907"/>
    <w:rsid w:val="00466CE6"/>
    <w:rsid w:val="00467118"/>
    <w:rsid w:val="00467904"/>
    <w:rsid w:val="00467D55"/>
    <w:rsid w:val="00470F09"/>
    <w:rsid w:val="00471475"/>
    <w:rsid w:val="00471852"/>
    <w:rsid w:val="00471DAA"/>
    <w:rsid w:val="0047414E"/>
    <w:rsid w:val="00476E27"/>
    <w:rsid w:val="004805D2"/>
    <w:rsid w:val="00480696"/>
    <w:rsid w:val="00481259"/>
    <w:rsid w:val="0048153C"/>
    <w:rsid w:val="004825D2"/>
    <w:rsid w:val="004828A2"/>
    <w:rsid w:val="00484164"/>
    <w:rsid w:val="004847CF"/>
    <w:rsid w:val="0048522A"/>
    <w:rsid w:val="00486320"/>
    <w:rsid w:val="00486A9E"/>
    <w:rsid w:val="0048768D"/>
    <w:rsid w:val="004879FE"/>
    <w:rsid w:val="004903A9"/>
    <w:rsid w:val="004910A9"/>
    <w:rsid w:val="004925D5"/>
    <w:rsid w:val="00493B1D"/>
    <w:rsid w:val="00493DDF"/>
    <w:rsid w:val="004954DB"/>
    <w:rsid w:val="00497932"/>
    <w:rsid w:val="00497ED9"/>
    <w:rsid w:val="004A0423"/>
    <w:rsid w:val="004A10BA"/>
    <w:rsid w:val="004A1728"/>
    <w:rsid w:val="004A2C6E"/>
    <w:rsid w:val="004A324E"/>
    <w:rsid w:val="004A37CD"/>
    <w:rsid w:val="004A39E5"/>
    <w:rsid w:val="004A3AAB"/>
    <w:rsid w:val="004A4096"/>
    <w:rsid w:val="004A4933"/>
    <w:rsid w:val="004A58C6"/>
    <w:rsid w:val="004A5D57"/>
    <w:rsid w:val="004A7383"/>
    <w:rsid w:val="004B0418"/>
    <w:rsid w:val="004B1956"/>
    <w:rsid w:val="004B1AA2"/>
    <w:rsid w:val="004B1E26"/>
    <w:rsid w:val="004B1E2C"/>
    <w:rsid w:val="004B308D"/>
    <w:rsid w:val="004B3F6B"/>
    <w:rsid w:val="004B4195"/>
    <w:rsid w:val="004B475D"/>
    <w:rsid w:val="004B49D9"/>
    <w:rsid w:val="004B4C31"/>
    <w:rsid w:val="004B5280"/>
    <w:rsid w:val="004B625E"/>
    <w:rsid w:val="004B66E8"/>
    <w:rsid w:val="004B7B9E"/>
    <w:rsid w:val="004C048F"/>
    <w:rsid w:val="004C0A08"/>
    <w:rsid w:val="004C1266"/>
    <w:rsid w:val="004C157D"/>
    <w:rsid w:val="004C1673"/>
    <w:rsid w:val="004C207F"/>
    <w:rsid w:val="004C2F46"/>
    <w:rsid w:val="004C3D68"/>
    <w:rsid w:val="004C52AD"/>
    <w:rsid w:val="004C52C2"/>
    <w:rsid w:val="004C5A5E"/>
    <w:rsid w:val="004C5BAE"/>
    <w:rsid w:val="004C64BB"/>
    <w:rsid w:val="004C65FD"/>
    <w:rsid w:val="004C6D77"/>
    <w:rsid w:val="004D0B59"/>
    <w:rsid w:val="004D1053"/>
    <w:rsid w:val="004D12D3"/>
    <w:rsid w:val="004D165F"/>
    <w:rsid w:val="004D2202"/>
    <w:rsid w:val="004D2700"/>
    <w:rsid w:val="004D37A8"/>
    <w:rsid w:val="004D40A6"/>
    <w:rsid w:val="004D465B"/>
    <w:rsid w:val="004D523D"/>
    <w:rsid w:val="004D5DC2"/>
    <w:rsid w:val="004D6048"/>
    <w:rsid w:val="004D6311"/>
    <w:rsid w:val="004E0002"/>
    <w:rsid w:val="004E0722"/>
    <w:rsid w:val="004E0A4D"/>
    <w:rsid w:val="004E20F0"/>
    <w:rsid w:val="004E2792"/>
    <w:rsid w:val="004E3291"/>
    <w:rsid w:val="004E440C"/>
    <w:rsid w:val="004E5139"/>
    <w:rsid w:val="004E5208"/>
    <w:rsid w:val="004E526D"/>
    <w:rsid w:val="004E5C8C"/>
    <w:rsid w:val="004E60D2"/>
    <w:rsid w:val="004E616C"/>
    <w:rsid w:val="004E6497"/>
    <w:rsid w:val="004E6715"/>
    <w:rsid w:val="004F04AD"/>
    <w:rsid w:val="004F075B"/>
    <w:rsid w:val="004F180F"/>
    <w:rsid w:val="004F1A35"/>
    <w:rsid w:val="004F2B8E"/>
    <w:rsid w:val="004F323B"/>
    <w:rsid w:val="004F41DF"/>
    <w:rsid w:val="004F4A88"/>
    <w:rsid w:val="004F54E1"/>
    <w:rsid w:val="004F5637"/>
    <w:rsid w:val="004F6065"/>
    <w:rsid w:val="004F69FC"/>
    <w:rsid w:val="004F7BD0"/>
    <w:rsid w:val="00500ED2"/>
    <w:rsid w:val="0050142B"/>
    <w:rsid w:val="00501D64"/>
    <w:rsid w:val="00502802"/>
    <w:rsid w:val="005043A0"/>
    <w:rsid w:val="0050474A"/>
    <w:rsid w:val="00504971"/>
    <w:rsid w:val="005052F9"/>
    <w:rsid w:val="0050558C"/>
    <w:rsid w:val="00506578"/>
    <w:rsid w:val="00506EF5"/>
    <w:rsid w:val="00507552"/>
    <w:rsid w:val="00507BA6"/>
    <w:rsid w:val="00510701"/>
    <w:rsid w:val="00510E0D"/>
    <w:rsid w:val="00512853"/>
    <w:rsid w:val="00514A18"/>
    <w:rsid w:val="00515375"/>
    <w:rsid w:val="005156CD"/>
    <w:rsid w:val="005156EC"/>
    <w:rsid w:val="005179CB"/>
    <w:rsid w:val="00517F91"/>
    <w:rsid w:val="0052131D"/>
    <w:rsid w:val="005214D9"/>
    <w:rsid w:val="005219F4"/>
    <w:rsid w:val="00521A0C"/>
    <w:rsid w:val="00521D6B"/>
    <w:rsid w:val="00525B57"/>
    <w:rsid w:val="0052664B"/>
    <w:rsid w:val="00527626"/>
    <w:rsid w:val="00527E5C"/>
    <w:rsid w:val="00530EF5"/>
    <w:rsid w:val="00531286"/>
    <w:rsid w:val="005312D2"/>
    <w:rsid w:val="00532D23"/>
    <w:rsid w:val="0053352D"/>
    <w:rsid w:val="00533875"/>
    <w:rsid w:val="00534453"/>
    <w:rsid w:val="0053573F"/>
    <w:rsid w:val="00535EE4"/>
    <w:rsid w:val="00536131"/>
    <w:rsid w:val="00536D0D"/>
    <w:rsid w:val="00537000"/>
    <w:rsid w:val="00537A96"/>
    <w:rsid w:val="005400B4"/>
    <w:rsid w:val="00540C7B"/>
    <w:rsid w:val="005416D4"/>
    <w:rsid w:val="005421AB"/>
    <w:rsid w:val="00542820"/>
    <w:rsid w:val="005429F5"/>
    <w:rsid w:val="00542A5F"/>
    <w:rsid w:val="0054378B"/>
    <w:rsid w:val="005443D8"/>
    <w:rsid w:val="0054484A"/>
    <w:rsid w:val="00544B30"/>
    <w:rsid w:val="00550F22"/>
    <w:rsid w:val="0055127C"/>
    <w:rsid w:val="0055144F"/>
    <w:rsid w:val="00551865"/>
    <w:rsid w:val="005529A8"/>
    <w:rsid w:val="005533E8"/>
    <w:rsid w:val="00553826"/>
    <w:rsid w:val="00553F7F"/>
    <w:rsid w:val="005559BF"/>
    <w:rsid w:val="00556091"/>
    <w:rsid w:val="00557555"/>
    <w:rsid w:val="00557C58"/>
    <w:rsid w:val="00560575"/>
    <w:rsid w:val="005615FF"/>
    <w:rsid w:val="00561E0F"/>
    <w:rsid w:val="005627D8"/>
    <w:rsid w:val="00562803"/>
    <w:rsid w:val="00564177"/>
    <w:rsid w:val="00564CF7"/>
    <w:rsid w:val="00564DEE"/>
    <w:rsid w:val="00565315"/>
    <w:rsid w:val="00565539"/>
    <w:rsid w:val="00566C83"/>
    <w:rsid w:val="00567E09"/>
    <w:rsid w:val="00570A96"/>
    <w:rsid w:val="005715D8"/>
    <w:rsid w:val="00572AEF"/>
    <w:rsid w:val="005732B4"/>
    <w:rsid w:val="0057358E"/>
    <w:rsid w:val="00574A87"/>
    <w:rsid w:val="00576697"/>
    <w:rsid w:val="005766AA"/>
    <w:rsid w:val="00577339"/>
    <w:rsid w:val="005778BB"/>
    <w:rsid w:val="00577AFC"/>
    <w:rsid w:val="0058143A"/>
    <w:rsid w:val="005825EB"/>
    <w:rsid w:val="00582CAE"/>
    <w:rsid w:val="005839F3"/>
    <w:rsid w:val="005850C4"/>
    <w:rsid w:val="0058661B"/>
    <w:rsid w:val="00586B22"/>
    <w:rsid w:val="00586CC7"/>
    <w:rsid w:val="00587695"/>
    <w:rsid w:val="00590567"/>
    <w:rsid w:val="00590AE5"/>
    <w:rsid w:val="0059200C"/>
    <w:rsid w:val="005923C8"/>
    <w:rsid w:val="00593B89"/>
    <w:rsid w:val="00593FBF"/>
    <w:rsid w:val="005953A1"/>
    <w:rsid w:val="0059654A"/>
    <w:rsid w:val="00596F1E"/>
    <w:rsid w:val="00597131"/>
    <w:rsid w:val="0059755F"/>
    <w:rsid w:val="00597B40"/>
    <w:rsid w:val="005A2685"/>
    <w:rsid w:val="005A2DEE"/>
    <w:rsid w:val="005A40E1"/>
    <w:rsid w:val="005A456F"/>
    <w:rsid w:val="005A73D5"/>
    <w:rsid w:val="005A7587"/>
    <w:rsid w:val="005A7C25"/>
    <w:rsid w:val="005B1640"/>
    <w:rsid w:val="005B16F2"/>
    <w:rsid w:val="005B1A27"/>
    <w:rsid w:val="005B2926"/>
    <w:rsid w:val="005B3CEF"/>
    <w:rsid w:val="005B3D09"/>
    <w:rsid w:val="005B53D3"/>
    <w:rsid w:val="005B5FE3"/>
    <w:rsid w:val="005B717E"/>
    <w:rsid w:val="005B781F"/>
    <w:rsid w:val="005C053A"/>
    <w:rsid w:val="005C07DA"/>
    <w:rsid w:val="005C0838"/>
    <w:rsid w:val="005C09AF"/>
    <w:rsid w:val="005C12C0"/>
    <w:rsid w:val="005C1BF4"/>
    <w:rsid w:val="005C2F5A"/>
    <w:rsid w:val="005C3260"/>
    <w:rsid w:val="005C384E"/>
    <w:rsid w:val="005C3CCA"/>
    <w:rsid w:val="005C4215"/>
    <w:rsid w:val="005C48AB"/>
    <w:rsid w:val="005C48C1"/>
    <w:rsid w:val="005C562B"/>
    <w:rsid w:val="005C56F7"/>
    <w:rsid w:val="005C7085"/>
    <w:rsid w:val="005C7A64"/>
    <w:rsid w:val="005D0A41"/>
    <w:rsid w:val="005D226F"/>
    <w:rsid w:val="005D30B9"/>
    <w:rsid w:val="005D374A"/>
    <w:rsid w:val="005D49B9"/>
    <w:rsid w:val="005D5020"/>
    <w:rsid w:val="005D579F"/>
    <w:rsid w:val="005D6B98"/>
    <w:rsid w:val="005D72A0"/>
    <w:rsid w:val="005E1875"/>
    <w:rsid w:val="005E32E6"/>
    <w:rsid w:val="005E5103"/>
    <w:rsid w:val="005E55AA"/>
    <w:rsid w:val="005E730F"/>
    <w:rsid w:val="005E764C"/>
    <w:rsid w:val="005F0668"/>
    <w:rsid w:val="005F0737"/>
    <w:rsid w:val="005F082C"/>
    <w:rsid w:val="005F086F"/>
    <w:rsid w:val="005F1AE3"/>
    <w:rsid w:val="005F21DB"/>
    <w:rsid w:val="005F26B6"/>
    <w:rsid w:val="005F29F0"/>
    <w:rsid w:val="005F320D"/>
    <w:rsid w:val="005F36BB"/>
    <w:rsid w:val="005F4247"/>
    <w:rsid w:val="005F4877"/>
    <w:rsid w:val="005F5E19"/>
    <w:rsid w:val="005F6A4A"/>
    <w:rsid w:val="005F6FF1"/>
    <w:rsid w:val="005F722C"/>
    <w:rsid w:val="00600C1A"/>
    <w:rsid w:val="00600F9E"/>
    <w:rsid w:val="00601881"/>
    <w:rsid w:val="00602BDD"/>
    <w:rsid w:val="00603301"/>
    <w:rsid w:val="00603BE7"/>
    <w:rsid w:val="00603E38"/>
    <w:rsid w:val="00603F42"/>
    <w:rsid w:val="006052D9"/>
    <w:rsid w:val="0060590C"/>
    <w:rsid w:val="00605ECC"/>
    <w:rsid w:val="006060A4"/>
    <w:rsid w:val="00606355"/>
    <w:rsid w:val="0060772F"/>
    <w:rsid w:val="00607929"/>
    <w:rsid w:val="00610884"/>
    <w:rsid w:val="006114C8"/>
    <w:rsid w:val="006126D9"/>
    <w:rsid w:val="00612D47"/>
    <w:rsid w:val="0061503A"/>
    <w:rsid w:val="006169F7"/>
    <w:rsid w:val="00616F77"/>
    <w:rsid w:val="006170B0"/>
    <w:rsid w:val="00617BD8"/>
    <w:rsid w:val="00620636"/>
    <w:rsid w:val="00620A99"/>
    <w:rsid w:val="00620FB3"/>
    <w:rsid w:val="00622198"/>
    <w:rsid w:val="0062260C"/>
    <w:rsid w:val="006227BE"/>
    <w:rsid w:val="00623F29"/>
    <w:rsid w:val="00626123"/>
    <w:rsid w:val="006262E2"/>
    <w:rsid w:val="00630B5B"/>
    <w:rsid w:val="006317E3"/>
    <w:rsid w:val="00631E00"/>
    <w:rsid w:val="0063320F"/>
    <w:rsid w:val="00633C71"/>
    <w:rsid w:val="00633F2A"/>
    <w:rsid w:val="00634AC3"/>
    <w:rsid w:val="0063504A"/>
    <w:rsid w:val="00635262"/>
    <w:rsid w:val="00635D08"/>
    <w:rsid w:val="006360B9"/>
    <w:rsid w:val="00636DCA"/>
    <w:rsid w:val="00637761"/>
    <w:rsid w:val="00637921"/>
    <w:rsid w:val="00641A03"/>
    <w:rsid w:val="00641B04"/>
    <w:rsid w:val="0064205C"/>
    <w:rsid w:val="00642C20"/>
    <w:rsid w:val="0064326A"/>
    <w:rsid w:val="00644450"/>
    <w:rsid w:val="0064548D"/>
    <w:rsid w:val="00645C45"/>
    <w:rsid w:val="00645F9E"/>
    <w:rsid w:val="00646A15"/>
    <w:rsid w:val="00646AFE"/>
    <w:rsid w:val="00647372"/>
    <w:rsid w:val="0064778D"/>
    <w:rsid w:val="00647B0B"/>
    <w:rsid w:val="006500DF"/>
    <w:rsid w:val="00651B2F"/>
    <w:rsid w:val="0065220C"/>
    <w:rsid w:val="0065244D"/>
    <w:rsid w:val="0065383D"/>
    <w:rsid w:val="00655CE0"/>
    <w:rsid w:val="00656364"/>
    <w:rsid w:val="0065670A"/>
    <w:rsid w:val="0065683B"/>
    <w:rsid w:val="00656F7F"/>
    <w:rsid w:val="00656FEC"/>
    <w:rsid w:val="00660000"/>
    <w:rsid w:val="006608B0"/>
    <w:rsid w:val="00661F24"/>
    <w:rsid w:val="00662DE5"/>
    <w:rsid w:val="00663998"/>
    <w:rsid w:val="00663E27"/>
    <w:rsid w:val="006652A8"/>
    <w:rsid w:val="0066565F"/>
    <w:rsid w:val="006663B6"/>
    <w:rsid w:val="0066653B"/>
    <w:rsid w:val="00666C60"/>
    <w:rsid w:val="00666D5A"/>
    <w:rsid w:val="006710BB"/>
    <w:rsid w:val="006713CA"/>
    <w:rsid w:val="00671EB2"/>
    <w:rsid w:val="00671FCF"/>
    <w:rsid w:val="006729AD"/>
    <w:rsid w:val="00672B91"/>
    <w:rsid w:val="00672D61"/>
    <w:rsid w:val="00672D76"/>
    <w:rsid w:val="00672FBB"/>
    <w:rsid w:val="00673BFE"/>
    <w:rsid w:val="00674C58"/>
    <w:rsid w:val="00675465"/>
    <w:rsid w:val="0067593F"/>
    <w:rsid w:val="00675E44"/>
    <w:rsid w:val="00676427"/>
    <w:rsid w:val="00677273"/>
    <w:rsid w:val="0068106D"/>
    <w:rsid w:val="0068155F"/>
    <w:rsid w:val="0068230D"/>
    <w:rsid w:val="00684479"/>
    <w:rsid w:val="00685259"/>
    <w:rsid w:val="0068611D"/>
    <w:rsid w:val="006870E7"/>
    <w:rsid w:val="006878B9"/>
    <w:rsid w:val="00690FFE"/>
    <w:rsid w:val="006920D3"/>
    <w:rsid w:val="00692389"/>
    <w:rsid w:val="006926FF"/>
    <w:rsid w:val="00692F65"/>
    <w:rsid w:val="00693998"/>
    <w:rsid w:val="00694B9E"/>
    <w:rsid w:val="00695C6F"/>
    <w:rsid w:val="00695D9D"/>
    <w:rsid w:val="006960E6"/>
    <w:rsid w:val="006961D4"/>
    <w:rsid w:val="006969C0"/>
    <w:rsid w:val="00696FE5"/>
    <w:rsid w:val="00697BB6"/>
    <w:rsid w:val="006A04D8"/>
    <w:rsid w:val="006A07F2"/>
    <w:rsid w:val="006A0B20"/>
    <w:rsid w:val="006A0E3A"/>
    <w:rsid w:val="006A15BA"/>
    <w:rsid w:val="006A22AC"/>
    <w:rsid w:val="006A2773"/>
    <w:rsid w:val="006A3492"/>
    <w:rsid w:val="006A36D3"/>
    <w:rsid w:val="006A36DB"/>
    <w:rsid w:val="006A4612"/>
    <w:rsid w:val="006A4945"/>
    <w:rsid w:val="006A556B"/>
    <w:rsid w:val="006A60DE"/>
    <w:rsid w:val="006A6751"/>
    <w:rsid w:val="006A6B49"/>
    <w:rsid w:val="006A745F"/>
    <w:rsid w:val="006A75A5"/>
    <w:rsid w:val="006A76FE"/>
    <w:rsid w:val="006A7707"/>
    <w:rsid w:val="006A7833"/>
    <w:rsid w:val="006B0842"/>
    <w:rsid w:val="006B0B1B"/>
    <w:rsid w:val="006B17F4"/>
    <w:rsid w:val="006B1E24"/>
    <w:rsid w:val="006B1ECD"/>
    <w:rsid w:val="006B23BD"/>
    <w:rsid w:val="006B34C4"/>
    <w:rsid w:val="006B355A"/>
    <w:rsid w:val="006B4673"/>
    <w:rsid w:val="006B51A9"/>
    <w:rsid w:val="006B5432"/>
    <w:rsid w:val="006B5828"/>
    <w:rsid w:val="006B5E80"/>
    <w:rsid w:val="006B6069"/>
    <w:rsid w:val="006B6AFE"/>
    <w:rsid w:val="006B6E0A"/>
    <w:rsid w:val="006B7515"/>
    <w:rsid w:val="006B7B65"/>
    <w:rsid w:val="006B7CFD"/>
    <w:rsid w:val="006C0456"/>
    <w:rsid w:val="006C1A08"/>
    <w:rsid w:val="006C1B85"/>
    <w:rsid w:val="006C2271"/>
    <w:rsid w:val="006C279F"/>
    <w:rsid w:val="006C3196"/>
    <w:rsid w:val="006C3363"/>
    <w:rsid w:val="006C6179"/>
    <w:rsid w:val="006C6631"/>
    <w:rsid w:val="006C6C99"/>
    <w:rsid w:val="006C7173"/>
    <w:rsid w:val="006C77EE"/>
    <w:rsid w:val="006D09A4"/>
    <w:rsid w:val="006D167F"/>
    <w:rsid w:val="006D1B92"/>
    <w:rsid w:val="006D1BD4"/>
    <w:rsid w:val="006D2EBE"/>
    <w:rsid w:val="006D30EA"/>
    <w:rsid w:val="006D3CC1"/>
    <w:rsid w:val="006D3D90"/>
    <w:rsid w:val="006D7552"/>
    <w:rsid w:val="006E0262"/>
    <w:rsid w:val="006E1E38"/>
    <w:rsid w:val="006E1EDB"/>
    <w:rsid w:val="006E2960"/>
    <w:rsid w:val="006E2E00"/>
    <w:rsid w:val="006E379D"/>
    <w:rsid w:val="006E37D2"/>
    <w:rsid w:val="006E3A17"/>
    <w:rsid w:val="006E3B6E"/>
    <w:rsid w:val="006E427B"/>
    <w:rsid w:val="006E43A1"/>
    <w:rsid w:val="006E455F"/>
    <w:rsid w:val="006E52B3"/>
    <w:rsid w:val="006E6448"/>
    <w:rsid w:val="006E6DA8"/>
    <w:rsid w:val="006F0150"/>
    <w:rsid w:val="006F0ED3"/>
    <w:rsid w:val="006F14DD"/>
    <w:rsid w:val="006F293B"/>
    <w:rsid w:val="006F2D2E"/>
    <w:rsid w:val="006F2E84"/>
    <w:rsid w:val="006F5323"/>
    <w:rsid w:val="006F56EB"/>
    <w:rsid w:val="006F6C30"/>
    <w:rsid w:val="006F7A55"/>
    <w:rsid w:val="0070001E"/>
    <w:rsid w:val="007002BB"/>
    <w:rsid w:val="00700555"/>
    <w:rsid w:val="00701039"/>
    <w:rsid w:val="00702017"/>
    <w:rsid w:val="007022FA"/>
    <w:rsid w:val="0070304B"/>
    <w:rsid w:val="00703BD1"/>
    <w:rsid w:val="0070434E"/>
    <w:rsid w:val="00704B60"/>
    <w:rsid w:val="0070540E"/>
    <w:rsid w:val="007060A7"/>
    <w:rsid w:val="00707B77"/>
    <w:rsid w:val="007103D1"/>
    <w:rsid w:val="0071133F"/>
    <w:rsid w:val="00711CD5"/>
    <w:rsid w:val="00712FC0"/>
    <w:rsid w:val="00712FE3"/>
    <w:rsid w:val="0071300A"/>
    <w:rsid w:val="007137E6"/>
    <w:rsid w:val="00714747"/>
    <w:rsid w:val="0071485F"/>
    <w:rsid w:val="00714D0F"/>
    <w:rsid w:val="0071503D"/>
    <w:rsid w:val="007155DE"/>
    <w:rsid w:val="007156E9"/>
    <w:rsid w:val="00715C24"/>
    <w:rsid w:val="007161D6"/>
    <w:rsid w:val="00716581"/>
    <w:rsid w:val="0071692D"/>
    <w:rsid w:val="007169AC"/>
    <w:rsid w:val="0071761D"/>
    <w:rsid w:val="00717EA3"/>
    <w:rsid w:val="00720D64"/>
    <w:rsid w:val="00721A5E"/>
    <w:rsid w:val="00722C58"/>
    <w:rsid w:val="00724959"/>
    <w:rsid w:val="00724A59"/>
    <w:rsid w:val="0072639C"/>
    <w:rsid w:val="007266F5"/>
    <w:rsid w:val="007271BA"/>
    <w:rsid w:val="007272F1"/>
    <w:rsid w:val="0072778D"/>
    <w:rsid w:val="00731B2A"/>
    <w:rsid w:val="0073272E"/>
    <w:rsid w:val="00732798"/>
    <w:rsid w:val="007341CE"/>
    <w:rsid w:val="00735737"/>
    <w:rsid w:val="00735B24"/>
    <w:rsid w:val="007362ED"/>
    <w:rsid w:val="00736587"/>
    <w:rsid w:val="00736CB2"/>
    <w:rsid w:val="00737C26"/>
    <w:rsid w:val="00740C8C"/>
    <w:rsid w:val="007414E6"/>
    <w:rsid w:val="00742239"/>
    <w:rsid w:val="00742406"/>
    <w:rsid w:val="00742651"/>
    <w:rsid w:val="007429D9"/>
    <w:rsid w:val="00742E35"/>
    <w:rsid w:val="00743467"/>
    <w:rsid w:val="00743D54"/>
    <w:rsid w:val="00744B04"/>
    <w:rsid w:val="00744FE3"/>
    <w:rsid w:val="0074531D"/>
    <w:rsid w:val="00745A00"/>
    <w:rsid w:val="00746555"/>
    <w:rsid w:val="00746BFD"/>
    <w:rsid w:val="007504A2"/>
    <w:rsid w:val="0075145A"/>
    <w:rsid w:val="00753523"/>
    <w:rsid w:val="007536D7"/>
    <w:rsid w:val="00753932"/>
    <w:rsid w:val="00754166"/>
    <w:rsid w:val="007545B1"/>
    <w:rsid w:val="00756181"/>
    <w:rsid w:val="00756D39"/>
    <w:rsid w:val="00760331"/>
    <w:rsid w:val="00760F45"/>
    <w:rsid w:val="00761A1D"/>
    <w:rsid w:val="00762237"/>
    <w:rsid w:val="007626D9"/>
    <w:rsid w:val="0076289A"/>
    <w:rsid w:val="007628E1"/>
    <w:rsid w:val="00762D50"/>
    <w:rsid w:val="00763FDE"/>
    <w:rsid w:val="0076436B"/>
    <w:rsid w:val="00764406"/>
    <w:rsid w:val="007644FC"/>
    <w:rsid w:val="00764A72"/>
    <w:rsid w:val="00764AB1"/>
    <w:rsid w:val="00764C11"/>
    <w:rsid w:val="0076516B"/>
    <w:rsid w:val="007652B2"/>
    <w:rsid w:val="007655F1"/>
    <w:rsid w:val="0076645F"/>
    <w:rsid w:val="00770EA1"/>
    <w:rsid w:val="00772800"/>
    <w:rsid w:val="0077379F"/>
    <w:rsid w:val="00773CF9"/>
    <w:rsid w:val="007741E1"/>
    <w:rsid w:val="0077434D"/>
    <w:rsid w:val="007745FB"/>
    <w:rsid w:val="00774A4F"/>
    <w:rsid w:val="00776020"/>
    <w:rsid w:val="0077728C"/>
    <w:rsid w:val="00777605"/>
    <w:rsid w:val="00777F95"/>
    <w:rsid w:val="007802CE"/>
    <w:rsid w:val="0078203C"/>
    <w:rsid w:val="00782833"/>
    <w:rsid w:val="00782F3E"/>
    <w:rsid w:val="0078393D"/>
    <w:rsid w:val="0078411B"/>
    <w:rsid w:val="00784711"/>
    <w:rsid w:val="00785903"/>
    <w:rsid w:val="0078592E"/>
    <w:rsid w:val="007859B4"/>
    <w:rsid w:val="00786523"/>
    <w:rsid w:val="00786679"/>
    <w:rsid w:val="00787AB1"/>
    <w:rsid w:val="00791CE6"/>
    <w:rsid w:val="00793CFA"/>
    <w:rsid w:val="00794C27"/>
    <w:rsid w:val="00794D95"/>
    <w:rsid w:val="007969C4"/>
    <w:rsid w:val="00796D9A"/>
    <w:rsid w:val="0079718F"/>
    <w:rsid w:val="00797ABE"/>
    <w:rsid w:val="00797BA2"/>
    <w:rsid w:val="00797F8B"/>
    <w:rsid w:val="007A0902"/>
    <w:rsid w:val="007A1691"/>
    <w:rsid w:val="007A29D9"/>
    <w:rsid w:val="007A2A00"/>
    <w:rsid w:val="007A2B61"/>
    <w:rsid w:val="007A2EBB"/>
    <w:rsid w:val="007A3496"/>
    <w:rsid w:val="007A354B"/>
    <w:rsid w:val="007A421F"/>
    <w:rsid w:val="007A441E"/>
    <w:rsid w:val="007A4775"/>
    <w:rsid w:val="007A530B"/>
    <w:rsid w:val="007A6197"/>
    <w:rsid w:val="007A6603"/>
    <w:rsid w:val="007A68A4"/>
    <w:rsid w:val="007A70A8"/>
    <w:rsid w:val="007A7566"/>
    <w:rsid w:val="007A7F2F"/>
    <w:rsid w:val="007B08DE"/>
    <w:rsid w:val="007B0E0D"/>
    <w:rsid w:val="007B1C6A"/>
    <w:rsid w:val="007B1C75"/>
    <w:rsid w:val="007B1F38"/>
    <w:rsid w:val="007B313A"/>
    <w:rsid w:val="007B5088"/>
    <w:rsid w:val="007B5CF3"/>
    <w:rsid w:val="007B5D69"/>
    <w:rsid w:val="007B61C2"/>
    <w:rsid w:val="007B6CBF"/>
    <w:rsid w:val="007B74A0"/>
    <w:rsid w:val="007C04D5"/>
    <w:rsid w:val="007C0CE0"/>
    <w:rsid w:val="007C1770"/>
    <w:rsid w:val="007C1DD4"/>
    <w:rsid w:val="007C1F5B"/>
    <w:rsid w:val="007C2079"/>
    <w:rsid w:val="007C506B"/>
    <w:rsid w:val="007C5DD7"/>
    <w:rsid w:val="007C5E1D"/>
    <w:rsid w:val="007C5E95"/>
    <w:rsid w:val="007C5EAD"/>
    <w:rsid w:val="007C69A3"/>
    <w:rsid w:val="007C6FC1"/>
    <w:rsid w:val="007C7ADB"/>
    <w:rsid w:val="007C7C1D"/>
    <w:rsid w:val="007C7F95"/>
    <w:rsid w:val="007D107E"/>
    <w:rsid w:val="007D155E"/>
    <w:rsid w:val="007D2AD3"/>
    <w:rsid w:val="007D2F0E"/>
    <w:rsid w:val="007D5061"/>
    <w:rsid w:val="007DB615"/>
    <w:rsid w:val="007E0895"/>
    <w:rsid w:val="007E0BFF"/>
    <w:rsid w:val="007E1104"/>
    <w:rsid w:val="007E1D4C"/>
    <w:rsid w:val="007E50EF"/>
    <w:rsid w:val="007E613B"/>
    <w:rsid w:val="007E666D"/>
    <w:rsid w:val="007E7703"/>
    <w:rsid w:val="007E7B5F"/>
    <w:rsid w:val="007E7FD8"/>
    <w:rsid w:val="007F0760"/>
    <w:rsid w:val="007F28A9"/>
    <w:rsid w:val="007F30CB"/>
    <w:rsid w:val="007F3258"/>
    <w:rsid w:val="007F5500"/>
    <w:rsid w:val="007F5720"/>
    <w:rsid w:val="007F5765"/>
    <w:rsid w:val="007F5F90"/>
    <w:rsid w:val="007F6460"/>
    <w:rsid w:val="007F6B10"/>
    <w:rsid w:val="007F6F8E"/>
    <w:rsid w:val="007F7B76"/>
    <w:rsid w:val="00800CA6"/>
    <w:rsid w:val="00800E05"/>
    <w:rsid w:val="00803FC1"/>
    <w:rsid w:val="0080473D"/>
    <w:rsid w:val="00804DA8"/>
    <w:rsid w:val="0080734D"/>
    <w:rsid w:val="008078D8"/>
    <w:rsid w:val="008105BD"/>
    <w:rsid w:val="008113E3"/>
    <w:rsid w:val="0081188F"/>
    <w:rsid w:val="00813727"/>
    <w:rsid w:val="008142DA"/>
    <w:rsid w:val="00814BF3"/>
    <w:rsid w:val="00814C0D"/>
    <w:rsid w:val="00815909"/>
    <w:rsid w:val="00815ACF"/>
    <w:rsid w:val="00820AB6"/>
    <w:rsid w:val="0082120D"/>
    <w:rsid w:val="00821369"/>
    <w:rsid w:val="00821BA0"/>
    <w:rsid w:val="0082253B"/>
    <w:rsid w:val="00822E80"/>
    <w:rsid w:val="00822EC4"/>
    <w:rsid w:val="0082387B"/>
    <w:rsid w:val="00824128"/>
    <w:rsid w:val="008243A1"/>
    <w:rsid w:val="00826034"/>
    <w:rsid w:val="0082664F"/>
    <w:rsid w:val="00826AF1"/>
    <w:rsid w:val="00826FC4"/>
    <w:rsid w:val="00827107"/>
    <w:rsid w:val="008272B3"/>
    <w:rsid w:val="00830B3F"/>
    <w:rsid w:val="00831161"/>
    <w:rsid w:val="0083191D"/>
    <w:rsid w:val="0083228D"/>
    <w:rsid w:val="008327BC"/>
    <w:rsid w:val="00833647"/>
    <w:rsid w:val="00833752"/>
    <w:rsid w:val="0083389D"/>
    <w:rsid w:val="008342D4"/>
    <w:rsid w:val="008357BE"/>
    <w:rsid w:val="008359AE"/>
    <w:rsid w:val="00835BE6"/>
    <w:rsid w:val="00835CEE"/>
    <w:rsid w:val="00836174"/>
    <w:rsid w:val="008369FC"/>
    <w:rsid w:val="0083771F"/>
    <w:rsid w:val="00840B06"/>
    <w:rsid w:val="00840D7D"/>
    <w:rsid w:val="008411BC"/>
    <w:rsid w:val="00841881"/>
    <w:rsid w:val="008423D9"/>
    <w:rsid w:val="008425E7"/>
    <w:rsid w:val="00842D78"/>
    <w:rsid w:val="00842E5B"/>
    <w:rsid w:val="008442CA"/>
    <w:rsid w:val="00844932"/>
    <w:rsid w:val="00845089"/>
    <w:rsid w:val="0084531D"/>
    <w:rsid w:val="0084594F"/>
    <w:rsid w:val="00845E8E"/>
    <w:rsid w:val="00846DB5"/>
    <w:rsid w:val="00847923"/>
    <w:rsid w:val="008512D1"/>
    <w:rsid w:val="0085159C"/>
    <w:rsid w:val="00851C68"/>
    <w:rsid w:val="00851D13"/>
    <w:rsid w:val="00851E70"/>
    <w:rsid w:val="008522CD"/>
    <w:rsid w:val="008527F7"/>
    <w:rsid w:val="00852BCD"/>
    <w:rsid w:val="00853B05"/>
    <w:rsid w:val="00853BFE"/>
    <w:rsid w:val="00853D42"/>
    <w:rsid w:val="00854A9E"/>
    <w:rsid w:val="00860B89"/>
    <w:rsid w:val="00860C67"/>
    <w:rsid w:val="00861216"/>
    <w:rsid w:val="00861B5B"/>
    <w:rsid w:val="00862428"/>
    <w:rsid w:val="0086278C"/>
    <w:rsid w:val="00862937"/>
    <w:rsid w:val="00863845"/>
    <w:rsid w:val="008638C3"/>
    <w:rsid w:val="00863E37"/>
    <w:rsid w:val="008643BC"/>
    <w:rsid w:val="00864AF5"/>
    <w:rsid w:val="00864CF9"/>
    <w:rsid w:val="00864FE7"/>
    <w:rsid w:val="00865DC4"/>
    <w:rsid w:val="00866050"/>
    <w:rsid w:val="008663AC"/>
    <w:rsid w:val="00866FE2"/>
    <w:rsid w:val="008670E6"/>
    <w:rsid w:val="00867420"/>
    <w:rsid w:val="00867600"/>
    <w:rsid w:val="00867E68"/>
    <w:rsid w:val="008703A8"/>
    <w:rsid w:val="008707D1"/>
    <w:rsid w:val="00870828"/>
    <w:rsid w:val="00871253"/>
    <w:rsid w:val="008716C1"/>
    <w:rsid w:val="008721F4"/>
    <w:rsid w:val="00872830"/>
    <w:rsid w:val="00874A07"/>
    <w:rsid w:val="0087583E"/>
    <w:rsid w:val="008760B9"/>
    <w:rsid w:val="008764BA"/>
    <w:rsid w:val="0087650F"/>
    <w:rsid w:val="00876D1D"/>
    <w:rsid w:val="00876E23"/>
    <w:rsid w:val="00877797"/>
    <w:rsid w:val="0087790A"/>
    <w:rsid w:val="00877A31"/>
    <w:rsid w:val="008816FE"/>
    <w:rsid w:val="008818B1"/>
    <w:rsid w:val="00881F3D"/>
    <w:rsid w:val="0088213B"/>
    <w:rsid w:val="008824C7"/>
    <w:rsid w:val="00882760"/>
    <w:rsid w:val="00883E5B"/>
    <w:rsid w:val="00884DBB"/>
    <w:rsid w:val="008863A5"/>
    <w:rsid w:val="008868FE"/>
    <w:rsid w:val="008871B8"/>
    <w:rsid w:val="00890CF9"/>
    <w:rsid w:val="00892507"/>
    <w:rsid w:val="00892960"/>
    <w:rsid w:val="00892CF7"/>
    <w:rsid w:val="00892FD7"/>
    <w:rsid w:val="00893BD0"/>
    <w:rsid w:val="00893C23"/>
    <w:rsid w:val="00895E1E"/>
    <w:rsid w:val="008973FB"/>
    <w:rsid w:val="008A1818"/>
    <w:rsid w:val="008A33B6"/>
    <w:rsid w:val="008A5356"/>
    <w:rsid w:val="008A671C"/>
    <w:rsid w:val="008A672C"/>
    <w:rsid w:val="008A7028"/>
    <w:rsid w:val="008A732B"/>
    <w:rsid w:val="008B0682"/>
    <w:rsid w:val="008B0DD9"/>
    <w:rsid w:val="008B0F0C"/>
    <w:rsid w:val="008B119A"/>
    <w:rsid w:val="008B1421"/>
    <w:rsid w:val="008B1A19"/>
    <w:rsid w:val="008B1F29"/>
    <w:rsid w:val="008B2AD3"/>
    <w:rsid w:val="008B31E0"/>
    <w:rsid w:val="008B3E64"/>
    <w:rsid w:val="008B4455"/>
    <w:rsid w:val="008B5A0B"/>
    <w:rsid w:val="008B7372"/>
    <w:rsid w:val="008B78DB"/>
    <w:rsid w:val="008B7ADD"/>
    <w:rsid w:val="008B7FA5"/>
    <w:rsid w:val="008B7FB7"/>
    <w:rsid w:val="008C1FC6"/>
    <w:rsid w:val="008C2222"/>
    <w:rsid w:val="008C26FD"/>
    <w:rsid w:val="008C431C"/>
    <w:rsid w:val="008C49A8"/>
    <w:rsid w:val="008C4D0E"/>
    <w:rsid w:val="008C5403"/>
    <w:rsid w:val="008C6B13"/>
    <w:rsid w:val="008D0052"/>
    <w:rsid w:val="008D13EB"/>
    <w:rsid w:val="008D57B2"/>
    <w:rsid w:val="008D6017"/>
    <w:rsid w:val="008D620C"/>
    <w:rsid w:val="008D625E"/>
    <w:rsid w:val="008D6BA1"/>
    <w:rsid w:val="008E0117"/>
    <w:rsid w:val="008E292C"/>
    <w:rsid w:val="008E3840"/>
    <w:rsid w:val="008E3D80"/>
    <w:rsid w:val="008E3E9A"/>
    <w:rsid w:val="008E4564"/>
    <w:rsid w:val="008E45BA"/>
    <w:rsid w:val="008E487A"/>
    <w:rsid w:val="008E5673"/>
    <w:rsid w:val="008E6614"/>
    <w:rsid w:val="008E67D6"/>
    <w:rsid w:val="008E6931"/>
    <w:rsid w:val="008E761F"/>
    <w:rsid w:val="008E76F2"/>
    <w:rsid w:val="008F3487"/>
    <w:rsid w:val="008F3A76"/>
    <w:rsid w:val="008F42CA"/>
    <w:rsid w:val="008F473E"/>
    <w:rsid w:val="008F4B58"/>
    <w:rsid w:val="008F4E53"/>
    <w:rsid w:val="008F5FA8"/>
    <w:rsid w:val="008F6AF0"/>
    <w:rsid w:val="008F7232"/>
    <w:rsid w:val="008F72C3"/>
    <w:rsid w:val="00900F0E"/>
    <w:rsid w:val="009019EA"/>
    <w:rsid w:val="00901BD7"/>
    <w:rsid w:val="009024CB"/>
    <w:rsid w:val="00902682"/>
    <w:rsid w:val="0090324A"/>
    <w:rsid w:val="009036E8"/>
    <w:rsid w:val="00904E8B"/>
    <w:rsid w:val="0090562A"/>
    <w:rsid w:val="00907131"/>
    <w:rsid w:val="00907545"/>
    <w:rsid w:val="00910DA0"/>
    <w:rsid w:val="00912065"/>
    <w:rsid w:val="00912448"/>
    <w:rsid w:val="00912F83"/>
    <w:rsid w:val="0091376A"/>
    <w:rsid w:val="0091480D"/>
    <w:rsid w:val="00915DC3"/>
    <w:rsid w:val="00915F6B"/>
    <w:rsid w:val="0091658F"/>
    <w:rsid w:val="00916B7D"/>
    <w:rsid w:val="009172E5"/>
    <w:rsid w:val="0092162C"/>
    <w:rsid w:val="00922B96"/>
    <w:rsid w:val="00922DEA"/>
    <w:rsid w:val="0092301D"/>
    <w:rsid w:val="0092361F"/>
    <w:rsid w:val="00923652"/>
    <w:rsid w:val="00923694"/>
    <w:rsid w:val="00924576"/>
    <w:rsid w:val="009265E5"/>
    <w:rsid w:val="00926FD6"/>
    <w:rsid w:val="00927654"/>
    <w:rsid w:val="0092770C"/>
    <w:rsid w:val="00930277"/>
    <w:rsid w:val="00931010"/>
    <w:rsid w:val="00931F24"/>
    <w:rsid w:val="009321E6"/>
    <w:rsid w:val="00932256"/>
    <w:rsid w:val="009328B4"/>
    <w:rsid w:val="00932D5C"/>
    <w:rsid w:val="00934395"/>
    <w:rsid w:val="00935276"/>
    <w:rsid w:val="00936A8E"/>
    <w:rsid w:val="00937956"/>
    <w:rsid w:val="009379A1"/>
    <w:rsid w:val="00937A10"/>
    <w:rsid w:val="00937D4C"/>
    <w:rsid w:val="0094036E"/>
    <w:rsid w:val="00940D2D"/>
    <w:rsid w:val="00941191"/>
    <w:rsid w:val="00942098"/>
    <w:rsid w:val="0094391B"/>
    <w:rsid w:val="00944365"/>
    <w:rsid w:val="00944D23"/>
    <w:rsid w:val="00945C72"/>
    <w:rsid w:val="00946750"/>
    <w:rsid w:val="00946AB6"/>
    <w:rsid w:val="009500DB"/>
    <w:rsid w:val="00950ADF"/>
    <w:rsid w:val="00951298"/>
    <w:rsid w:val="00951520"/>
    <w:rsid w:val="00952EA5"/>
    <w:rsid w:val="00953190"/>
    <w:rsid w:val="00953E4A"/>
    <w:rsid w:val="009544A8"/>
    <w:rsid w:val="0095450A"/>
    <w:rsid w:val="009546BE"/>
    <w:rsid w:val="00954D4C"/>
    <w:rsid w:val="00955547"/>
    <w:rsid w:val="00955BA6"/>
    <w:rsid w:val="00956427"/>
    <w:rsid w:val="009565E1"/>
    <w:rsid w:val="00956791"/>
    <w:rsid w:val="009610BC"/>
    <w:rsid w:val="00961C3E"/>
    <w:rsid w:val="00962419"/>
    <w:rsid w:val="00962EA7"/>
    <w:rsid w:val="00963184"/>
    <w:rsid w:val="009637E9"/>
    <w:rsid w:val="00964624"/>
    <w:rsid w:val="00964794"/>
    <w:rsid w:val="00964AF6"/>
    <w:rsid w:val="00964C6E"/>
    <w:rsid w:val="00965928"/>
    <w:rsid w:val="00966347"/>
    <w:rsid w:val="0096671C"/>
    <w:rsid w:val="00966E5C"/>
    <w:rsid w:val="00967CF7"/>
    <w:rsid w:val="009723DF"/>
    <w:rsid w:val="0097347B"/>
    <w:rsid w:val="0097357F"/>
    <w:rsid w:val="009736FE"/>
    <w:rsid w:val="009748A1"/>
    <w:rsid w:val="0097573E"/>
    <w:rsid w:val="0097691E"/>
    <w:rsid w:val="00976AED"/>
    <w:rsid w:val="00977593"/>
    <w:rsid w:val="00977C87"/>
    <w:rsid w:val="009813FB"/>
    <w:rsid w:val="009816D3"/>
    <w:rsid w:val="009817AB"/>
    <w:rsid w:val="00981B60"/>
    <w:rsid w:val="009827A2"/>
    <w:rsid w:val="00982E7E"/>
    <w:rsid w:val="00984556"/>
    <w:rsid w:val="00984636"/>
    <w:rsid w:val="00985A76"/>
    <w:rsid w:val="00985F0C"/>
    <w:rsid w:val="00986709"/>
    <w:rsid w:val="00986CFB"/>
    <w:rsid w:val="00987345"/>
    <w:rsid w:val="0098776F"/>
    <w:rsid w:val="009877CA"/>
    <w:rsid w:val="00987DFA"/>
    <w:rsid w:val="009931BF"/>
    <w:rsid w:val="00993DB0"/>
    <w:rsid w:val="00994D18"/>
    <w:rsid w:val="009950BD"/>
    <w:rsid w:val="00996C11"/>
    <w:rsid w:val="00996E43"/>
    <w:rsid w:val="0099720B"/>
    <w:rsid w:val="00997701"/>
    <w:rsid w:val="00997BC2"/>
    <w:rsid w:val="00997D23"/>
    <w:rsid w:val="009A06D3"/>
    <w:rsid w:val="009A0753"/>
    <w:rsid w:val="009A1229"/>
    <w:rsid w:val="009A1634"/>
    <w:rsid w:val="009A39D2"/>
    <w:rsid w:val="009A3BF6"/>
    <w:rsid w:val="009A48AC"/>
    <w:rsid w:val="009A5856"/>
    <w:rsid w:val="009A6587"/>
    <w:rsid w:val="009B1593"/>
    <w:rsid w:val="009B1B71"/>
    <w:rsid w:val="009B2108"/>
    <w:rsid w:val="009B3034"/>
    <w:rsid w:val="009B42CD"/>
    <w:rsid w:val="009B48FF"/>
    <w:rsid w:val="009B624F"/>
    <w:rsid w:val="009B7934"/>
    <w:rsid w:val="009B7F7F"/>
    <w:rsid w:val="009C066A"/>
    <w:rsid w:val="009C16AD"/>
    <w:rsid w:val="009C1AED"/>
    <w:rsid w:val="009C2440"/>
    <w:rsid w:val="009C2466"/>
    <w:rsid w:val="009C2601"/>
    <w:rsid w:val="009C2691"/>
    <w:rsid w:val="009C45D0"/>
    <w:rsid w:val="009C4F6B"/>
    <w:rsid w:val="009C679B"/>
    <w:rsid w:val="009C6E3A"/>
    <w:rsid w:val="009C6FF0"/>
    <w:rsid w:val="009D1CB7"/>
    <w:rsid w:val="009D1ECB"/>
    <w:rsid w:val="009D24D4"/>
    <w:rsid w:val="009D291A"/>
    <w:rsid w:val="009D297F"/>
    <w:rsid w:val="009D29F9"/>
    <w:rsid w:val="009D2C9C"/>
    <w:rsid w:val="009D395B"/>
    <w:rsid w:val="009D3C0C"/>
    <w:rsid w:val="009D434B"/>
    <w:rsid w:val="009D46EC"/>
    <w:rsid w:val="009D53ED"/>
    <w:rsid w:val="009D75F8"/>
    <w:rsid w:val="009D7867"/>
    <w:rsid w:val="009D7B69"/>
    <w:rsid w:val="009E093A"/>
    <w:rsid w:val="009E1478"/>
    <w:rsid w:val="009E3340"/>
    <w:rsid w:val="009E33A3"/>
    <w:rsid w:val="009E3F27"/>
    <w:rsid w:val="009E4B0E"/>
    <w:rsid w:val="009E4DD2"/>
    <w:rsid w:val="009E5C1D"/>
    <w:rsid w:val="009E61A3"/>
    <w:rsid w:val="009E6DBE"/>
    <w:rsid w:val="009E7C7E"/>
    <w:rsid w:val="009F11DB"/>
    <w:rsid w:val="009F1A54"/>
    <w:rsid w:val="009F47E5"/>
    <w:rsid w:val="009F4B21"/>
    <w:rsid w:val="009F5763"/>
    <w:rsid w:val="009F589D"/>
    <w:rsid w:val="009F5E3B"/>
    <w:rsid w:val="009F61BF"/>
    <w:rsid w:val="009F69FA"/>
    <w:rsid w:val="009F7CF6"/>
    <w:rsid w:val="00A003E9"/>
    <w:rsid w:val="00A00957"/>
    <w:rsid w:val="00A01027"/>
    <w:rsid w:val="00A0192E"/>
    <w:rsid w:val="00A022FC"/>
    <w:rsid w:val="00A02503"/>
    <w:rsid w:val="00A02F32"/>
    <w:rsid w:val="00A032E1"/>
    <w:rsid w:val="00A034E7"/>
    <w:rsid w:val="00A04DA1"/>
    <w:rsid w:val="00A04E26"/>
    <w:rsid w:val="00A0575E"/>
    <w:rsid w:val="00A05826"/>
    <w:rsid w:val="00A10654"/>
    <w:rsid w:val="00A106A2"/>
    <w:rsid w:val="00A115EB"/>
    <w:rsid w:val="00A11BEA"/>
    <w:rsid w:val="00A11EBC"/>
    <w:rsid w:val="00A123E9"/>
    <w:rsid w:val="00A124DA"/>
    <w:rsid w:val="00A13744"/>
    <w:rsid w:val="00A13E1A"/>
    <w:rsid w:val="00A14D6A"/>
    <w:rsid w:val="00A154AE"/>
    <w:rsid w:val="00A15603"/>
    <w:rsid w:val="00A16CA4"/>
    <w:rsid w:val="00A1734C"/>
    <w:rsid w:val="00A20C94"/>
    <w:rsid w:val="00A20F9E"/>
    <w:rsid w:val="00A21016"/>
    <w:rsid w:val="00A21608"/>
    <w:rsid w:val="00A22494"/>
    <w:rsid w:val="00A22834"/>
    <w:rsid w:val="00A22A71"/>
    <w:rsid w:val="00A2306E"/>
    <w:rsid w:val="00A23933"/>
    <w:rsid w:val="00A239EE"/>
    <w:rsid w:val="00A2574E"/>
    <w:rsid w:val="00A257F6"/>
    <w:rsid w:val="00A25D01"/>
    <w:rsid w:val="00A30067"/>
    <w:rsid w:val="00A30BE7"/>
    <w:rsid w:val="00A31A72"/>
    <w:rsid w:val="00A31C58"/>
    <w:rsid w:val="00A31EDA"/>
    <w:rsid w:val="00A33114"/>
    <w:rsid w:val="00A3462C"/>
    <w:rsid w:val="00A350D4"/>
    <w:rsid w:val="00A3560D"/>
    <w:rsid w:val="00A35B9E"/>
    <w:rsid w:val="00A3694D"/>
    <w:rsid w:val="00A36DDB"/>
    <w:rsid w:val="00A4007C"/>
    <w:rsid w:val="00A407B4"/>
    <w:rsid w:val="00A408E9"/>
    <w:rsid w:val="00A41610"/>
    <w:rsid w:val="00A42212"/>
    <w:rsid w:val="00A42896"/>
    <w:rsid w:val="00A42992"/>
    <w:rsid w:val="00A42E8F"/>
    <w:rsid w:val="00A42F73"/>
    <w:rsid w:val="00A44BE7"/>
    <w:rsid w:val="00A4533A"/>
    <w:rsid w:val="00A455FF"/>
    <w:rsid w:val="00A477BF"/>
    <w:rsid w:val="00A479FD"/>
    <w:rsid w:val="00A47B19"/>
    <w:rsid w:val="00A47EFA"/>
    <w:rsid w:val="00A5001C"/>
    <w:rsid w:val="00A501E8"/>
    <w:rsid w:val="00A51364"/>
    <w:rsid w:val="00A51BEE"/>
    <w:rsid w:val="00A51E63"/>
    <w:rsid w:val="00A51EC6"/>
    <w:rsid w:val="00A52046"/>
    <w:rsid w:val="00A52CFC"/>
    <w:rsid w:val="00A54246"/>
    <w:rsid w:val="00A549D7"/>
    <w:rsid w:val="00A5579C"/>
    <w:rsid w:val="00A6042A"/>
    <w:rsid w:val="00A62171"/>
    <w:rsid w:val="00A629DD"/>
    <w:rsid w:val="00A6312A"/>
    <w:rsid w:val="00A631B8"/>
    <w:rsid w:val="00A63C36"/>
    <w:rsid w:val="00A63E01"/>
    <w:rsid w:val="00A644CE"/>
    <w:rsid w:val="00A65ADC"/>
    <w:rsid w:val="00A6613A"/>
    <w:rsid w:val="00A66492"/>
    <w:rsid w:val="00A67A51"/>
    <w:rsid w:val="00A70E24"/>
    <w:rsid w:val="00A71022"/>
    <w:rsid w:val="00A71F0E"/>
    <w:rsid w:val="00A72FE2"/>
    <w:rsid w:val="00A7345D"/>
    <w:rsid w:val="00A74128"/>
    <w:rsid w:val="00A74DC1"/>
    <w:rsid w:val="00A762F2"/>
    <w:rsid w:val="00A774B8"/>
    <w:rsid w:val="00A804C2"/>
    <w:rsid w:val="00A80976"/>
    <w:rsid w:val="00A813C2"/>
    <w:rsid w:val="00A81853"/>
    <w:rsid w:val="00A8193E"/>
    <w:rsid w:val="00A81CD1"/>
    <w:rsid w:val="00A834EE"/>
    <w:rsid w:val="00A83568"/>
    <w:rsid w:val="00A836CA"/>
    <w:rsid w:val="00A83EC5"/>
    <w:rsid w:val="00A84256"/>
    <w:rsid w:val="00A843F1"/>
    <w:rsid w:val="00A84691"/>
    <w:rsid w:val="00A84844"/>
    <w:rsid w:val="00A8496A"/>
    <w:rsid w:val="00A85FF9"/>
    <w:rsid w:val="00A86DE3"/>
    <w:rsid w:val="00A87AE5"/>
    <w:rsid w:val="00A905DD"/>
    <w:rsid w:val="00A907F0"/>
    <w:rsid w:val="00A90946"/>
    <w:rsid w:val="00A91167"/>
    <w:rsid w:val="00A911B6"/>
    <w:rsid w:val="00A91CF5"/>
    <w:rsid w:val="00A947B9"/>
    <w:rsid w:val="00A958CE"/>
    <w:rsid w:val="00A9640C"/>
    <w:rsid w:val="00A969D4"/>
    <w:rsid w:val="00A969FB"/>
    <w:rsid w:val="00AA0817"/>
    <w:rsid w:val="00AA1A1C"/>
    <w:rsid w:val="00AA2268"/>
    <w:rsid w:val="00AA239E"/>
    <w:rsid w:val="00AA34A7"/>
    <w:rsid w:val="00AA38E1"/>
    <w:rsid w:val="00AA3D20"/>
    <w:rsid w:val="00AA4144"/>
    <w:rsid w:val="00AA4B83"/>
    <w:rsid w:val="00AA5A97"/>
    <w:rsid w:val="00AA5F85"/>
    <w:rsid w:val="00AB037C"/>
    <w:rsid w:val="00AB0725"/>
    <w:rsid w:val="00AB2069"/>
    <w:rsid w:val="00AB22DA"/>
    <w:rsid w:val="00AB241D"/>
    <w:rsid w:val="00AB257C"/>
    <w:rsid w:val="00AB458A"/>
    <w:rsid w:val="00AB4782"/>
    <w:rsid w:val="00AB4BA3"/>
    <w:rsid w:val="00AB5290"/>
    <w:rsid w:val="00AB5332"/>
    <w:rsid w:val="00AB5CC9"/>
    <w:rsid w:val="00AB5F68"/>
    <w:rsid w:val="00AB6649"/>
    <w:rsid w:val="00AB6CC4"/>
    <w:rsid w:val="00AB6EB9"/>
    <w:rsid w:val="00AC0154"/>
    <w:rsid w:val="00AC07A1"/>
    <w:rsid w:val="00AC0D7D"/>
    <w:rsid w:val="00AC19AD"/>
    <w:rsid w:val="00AC1BC0"/>
    <w:rsid w:val="00AC2391"/>
    <w:rsid w:val="00AC2911"/>
    <w:rsid w:val="00AC3092"/>
    <w:rsid w:val="00AC3416"/>
    <w:rsid w:val="00AC3D8D"/>
    <w:rsid w:val="00AC428C"/>
    <w:rsid w:val="00AC4639"/>
    <w:rsid w:val="00AC5543"/>
    <w:rsid w:val="00AC6B67"/>
    <w:rsid w:val="00AC6C57"/>
    <w:rsid w:val="00AC7E78"/>
    <w:rsid w:val="00AD13AA"/>
    <w:rsid w:val="00AD13D2"/>
    <w:rsid w:val="00AD1AFD"/>
    <w:rsid w:val="00AD312D"/>
    <w:rsid w:val="00AD3543"/>
    <w:rsid w:val="00AD49D3"/>
    <w:rsid w:val="00AD4C44"/>
    <w:rsid w:val="00AD5600"/>
    <w:rsid w:val="00AD5702"/>
    <w:rsid w:val="00AD6234"/>
    <w:rsid w:val="00AD66A4"/>
    <w:rsid w:val="00AD7CC2"/>
    <w:rsid w:val="00AD7EE9"/>
    <w:rsid w:val="00AE2A7E"/>
    <w:rsid w:val="00AE2D17"/>
    <w:rsid w:val="00AE31D6"/>
    <w:rsid w:val="00AE4971"/>
    <w:rsid w:val="00AE5B21"/>
    <w:rsid w:val="00AE72BC"/>
    <w:rsid w:val="00AE7C22"/>
    <w:rsid w:val="00AE7E01"/>
    <w:rsid w:val="00AF122B"/>
    <w:rsid w:val="00AF1FFF"/>
    <w:rsid w:val="00AF2763"/>
    <w:rsid w:val="00AF3613"/>
    <w:rsid w:val="00AF4191"/>
    <w:rsid w:val="00AF52C5"/>
    <w:rsid w:val="00AF7E7F"/>
    <w:rsid w:val="00B00163"/>
    <w:rsid w:val="00B00856"/>
    <w:rsid w:val="00B027AD"/>
    <w:rsid w:val="00B037C8"/>
    <w:rsid w:val="00B03FB1"/>
    <w:rsid w:val="00B046E9"/>
    <w:rsid w:val="00B04B8B"/>
    <w:rsid w:val="00B04CC0"/>
    <w:rsid w:val="00B0555F"/>
    <w:rsid w:val="00B06385"/>
    <w:rsid w:val="00B06897"/>
    <w:rsid w:val="00B07DF0"/>
    <w:rsid w:val="00B101CE"/>
    <w:rsid w:val="00B10DD9"/>
    <w:rsid w:val="00B1105A"/>
    <w:rsid w:val="00B1244E"/>
    <w:rsid w:val="00B131DB"/>
    <w:rsid w:val="00B13EA9"/>
    <w:rsid w:val="00B1417D"/>
    <w:rsid w:val="00B14B13"/>
    <w:rsid w:val="00B14D74"/>
    <w:rsid w:val="00B16BE2"/>
    <w:rsid w:val="00B17594"/>
    <w:rsid w:val="00B17683"/>
    <w:rsid w:val="00B227F0"/>
    <w:rsid w:val="00B228AD"/>
    <w:rsid w:val="00B24B15"/>
    <w:rsid w:val="00B25127"/>
    <w:rsid w:val="00B259D7"/>
    <w:rsid w:val="00B25B86"/>
    <w:rsid w:val="00B263CE"/>
    <w:rsid w:val="00B2661D"/>
    <w:rsid w:val="00B266AB"/>
    <w:rsid w:val="00B27BA5"/>
    <w:rsid w:val="00B27BEE"/>
    <w:rsid w:val="00B27DBD"/>
    <w:rsid w:val="00B31402"/>
    <w:rsid w:val="00B31A9C"/>
    <w:rsid w:val="00B327B4"/>
    <w:rsid w:val="00B32FF3"/>
    <w:rsid w:val="00B3315B"/>
    <w:rsid w:val="00B33582"/>
    <w:rsid w:val="00B34389"/>
    <w:rsid w:val="00B34F69"/>
    <w:rsid w:val="00B34FD9"/>
    <w:rsid w:val="00B35217"/>
    <w:rsid w:val="00B35A10"/>
    <w:rsid w:val="00B364FD"/>
    <w:rsid w:val="00B36794"/>
    <w:rsid w:val="00B3687A"/>
    <w:rsid w:val="00B36A6C"/>
    <w:rsid w:val="00B36FD0"/>
    <w:rsid w:val="00B40C8B"/>
    <w:rsid w:val="00B4145B"/>
    <w:rsid w:val="00B4207E"/>
    <w:rsid w:val="00B42771"/>
    <w:rsid w:val="00B43222"/>
    <w:rsid w:val="00B43F6A"/>
    <w:rsid w:val="00B4464A"/>
    <w:rsid w:val="00B44ADA"/>
    <w:rsid w:val="00B45826"/>
    <w:rsid w:val="00B4677F"/>
    <w:rsid w:val="00B505A9"/>
    <w:rsid w:val="00B517D0"/>
    <w:rsid w:val="00B54054"/>
    <w:rsid w:val="00B54416"/>
    <w:rsid w:val="00B5466E"/>
    <w:rsid w:val="00B5677F"/>
    <w:rsid w:val="00B601B7"/>
    <w:rsid w:val="00B6048D"/>
    <w:rsid w:val="00B6121B"/>
    <w:rsid w:val="00B61A9A"/>
    <w:rsid w:val="00B624AD"/>
    <w:rsid w:val="00B63C3C"/>
    <w:rsid w:val="00B63D3C"/>
    <w:rsid w:val="00B63E11"/>
    <w:rsid w:val="00B64A6F"/>
    <w:rsid w:val="00B64B80"/>
    <w:rsid w:val="00B64D22"/>
    <w:rsid w:val="00B64DE0"/>
    <w:rsid w:val="00B65046"/>
    <w:rsid w:val="00B655F6"/>
    <w:rsid w:val="00B670AB"/>
    <w:rsid w:val="00B67FD2"/>
    <w:rsid w:val="00B70306"/>
    <w:rsid w:val="00B70D2B"/>
    <w:rsid w:val="00B71070"/>
    <w:rsid w:val="00B718D7"/>
    <w:rsid w:val="00B7246A"/>
    <w:rsid w:val="00B72717"/>
    <w:rsid w:val="00B73696"/>
    <w:rsid w:val="00B741A4"/>
    <w:rsid w:val="00B75250"/>
    <w:rsid w:val="00B761B0"/>
    <w:rsid w:val="00B7688F"/>
    <w:rsid w:val="00B776AE"/>
    <w:rsid w:val="00B7797E"/>
    <w:rsid w:val="00B801B9"/>
    <w:rsid w:val="00B80B6D"/>
    <w:rsid w:val="00B811FA"/>
    <w:rsid w:val="00B82489"/>
    <w:rsid w:val="00B831B7"/>
    <w:rsid w:val="00B833D9"/>
    <w:rsid w:val="00B838CC"/>
    <w:rsid w:val="00B85B03"/>
    <w:rsid w:val="00B87421"/>
    <w:rsid w:val="00B8748A"/>
    <w:rsid w:val="00B87A67"/>
    <w:rsid w:val="00B87CD4"/>
    <w:rsid w:val="00B90951"/>
    <w:rsid w:val="00B9223E"/>
    <w:rsid w:val="00B931B0"/>
    <w:rsid w:val="00B936A1"/>
    <w:rsid w:val="00B941B7"/>
    <w:rsid w:val="00B944B5"/>
    <w:rsid w:val="00B96443"/>
    <w:rsid w:val="00B966C0"/>
    <w:rsid w:val="00B96A1D"/>
    <w:rsid w:val="00B96C93"/>
    <w:rsid w:val="00B9733A"/>
    <w:rsid w:val="00B97743"/>
    <w:rsid w:val="00B9799D"/>
    <w:rsid w:val="00B97B58"/>
    <w:rsid w:val="00BA078D"/>
    <w:rsid w:val="00BA0A72"/>
    <w:rsid w:val="00BA17F2"/>
    <w:rsid w:val="00BA1D58"/>
    <w:rsid w:val="00BA2D94"/>
    <w:rsid w:val="00BA3521"/>
    <w:rsid w:val="00BA382B"/>
    <w:rsid w:val="00BA3AF1"/>
    <w:rsid w:val="00BA4E70"/>
    <w:rsid w:val="00BA681D"/>
    <w:rsid w:val="00BA7059"/>
    <w:rsid w:val="00BA7DDD"/>
    <w:rsid w:val="00BB0039"/>
    <w:rsid w:val="00BB0AF5"/>
    <w:rsid w:val="00BB105C"/>
    <w:rsid w:val="00BB11F4"/>
    <w:rsid w:val="00BB191F"/>
    <w:rsid w:val="00BB1B0C"/>
    <w:rsid w:val="00BB2134"/>
    <w:rsid w:val="00BB2FA6"/>
    <w:rsid w:val="00BB3290"/>
    <w:rsid w:val="00BB3630"/>
    <w:rsid w:val="00BB415A"/>
    <w:rsid w:val="00BB41D2"/>
    <w:rsid w:val="00BB4DB6"/>
    <w:rsid w:val="00BB5165"/>
    <w:rsid w:val="00BB5BFF"/>
    <w:rsid w:val="00BB5D4E"/>
    <w:rsid w:val="00BB67A6"/>
    <w:rsid w:val="00BB67F1"/>
    <w:rsid w:val="00BB6DB3"/>
    <w:rsid w:val="00BB7758"/>
    <w:rsid w:val="00BB780C"/>
    <w:rsid w:val="00BB7BEE"/>
    <w:rsid w:val="00BC0EF8"/>
    <w:rsid w:val="00BC1437"/>
    <w:rsid w:val="00BC1A37"/>
    <w:rsid w:val="00BC286E"/>
    <w:rsid w:val="00BC298A"/>
    <w:rsid w:val="00BC2E01"/>
    <w:rsid w:val="00BC428A"/>
    <w:rsid w:val="00BC4C2C"/>
    <w:rsid w:val="00BC4D3B"/>
    <w:rsid w:val="00BC523C"/>
    <w:rsid w:val="00BC5565"/>
    <w:rsid w:val="00BC5893"/>
    <w:rsid w:val="00BC5A9C"/>
    <w:rsid w:val="00BC6591"/>
    <w:rsid w:val="00BC6730"/>
    <w:rsid w:val="00BC7599"/>
    <w:rsid w:val="00BD0669"/>
    <w:rsid w:val="00BD0733"/>
    <w:rsid w:val="00BD0821"/>
    <w:rsid w:val="00BD1475"/>
    <w:rsid w:val="00BD18CD"/>
    <w:rsid w:val="00BD1B35"/>
    <w:rsid w:val="00BD1BC9"/>
    <w:rsid w:val="00BD223F"/>
    <w:rsid w:val="00BD2318"/>
    <w:rsid w:val="00BD2A95"/>
    <w:rsid w:val="00BD4522"/>
    <w:rsid w:val="00BD4A27"/>
    <w:rsid w:val="00BD4D73"/>
    <w:rsid w:val="00BD5473"/>
    <w:rsid w:val="00BD5712"/>
    <w:rsid w:val="00BD6122"/>
    <w:rsid w:val="00BD67C2"/>
    <w:rsid w:val="00BD6D60"/>
    <w:rsid w:val="00BD7A60"/>
    <w:rsid w:val="00BD7CF7"/>
    <w:rsid w:val="00BD7E39"/>
    <w:rsid w:val="00BE08DF"/>
    <w:rsid w:val="00BE1217"/>
    <w:rsid w:val="00BE13A6"/>
    <w:rsid w:val="00BE229A"/>
    <w:rsid w:val="00BE25E6"/>
    <w:rsid w:val="00BE39FB"/>
    <w:rsid w:val="00BE3B1B"/>
    <w:rsid w:val="00BE4B70"/>
    <w:rsid w:val="00BE4F77"/>
    <w:rsid w:val="00BE532B"/>
    <w:rsid w:val="00BE538B"/>
    <w:rsid w:val="00BE5596"/>
    <w:rsid w:val="00BE6224"/>
    <w:rsid w:val="00BE6B90"/>
    <w:rsid w:val="00BE7E7B"/>
    <w:rsid w:val="00BF0B6E"/>
    <w:rsid w:val="00BF1699"/>
    <w:rsid w:val="00BF1AD1"/>
    <w:rsid w:val="00BF22CB"/>
    <w:rsid w:val="00BF2723"/>
    <w:rsid w:val="00BF29B1"/>
    <w:rsid w:val="00BF2C70"/>
    <w:rsid w:val="00BF316F"/>
    <w:rsid w:val="00BF343E"/>
    <w:rsid w:val="00BF3B9A"/>
    <w:rsid w:val="00BF446F"/>
    <w:rsid w:val="00BF4F7F"/>
    <w:rsid w:val="00BF5131"/>
    <w:rsid w:val="00BF5D77"/>
    <w:rsid w:val="00BF5EC0"/>
    <w:rsid w:val="00BF5F3B"/>
    <w:rsid w:val="00BF632A"/>
    <w:rsid w:val="00BF6B8B"/>
    <w:rsid w:val="00BF7511"/>
    <w:rsid w:val="00C00816"/>
    <w:rsid w:val="00C00CFD"/>
    <w:rsid w:val="00C012B4"/>
    <w:rsid w:val="00C014C5"/>
    <w:rsid w:val="00C014F6"/>
    <w:rsid w:val="00C01A5B"/>
    <w:rsid w:val="00C04296"/>
    <w:rsid w:val="00C04470"/>
    <w:rsid w:val="00C04AE0"/>
    <w:rsid w:val="00C05BD2"/>
    <w:rsid w:val="00C06959"/>
    <w:rsid w:val="00C069B2"/>
    <w:rsid w:val="00C06EC5"/>
    <w:rsid w:val="00C06F33"/>
    <w:rsid w:val="00C07B2D"/>
    <w:rsid w:val="00C10137"/>
    <w:rsid w:val="00C101EC"/>
    <w:rsid w:val="00C10E55"/>
    <w:rsid w:val="00C1119C"/>
    <w:rsid w:val="00C1165E"/>
    <w:rsid w:val="00C119AB"/>
    <w:rsid w:val="00C137D1"/>
    <w:rsid w:val="00C13B4A"/>
    <w:rsid w:val="00C14C76"/>
    <w:rsid w:val="00C163CD"/>
    <w:rsid w:val="00C17F37"/>
    <w:rsid w:val="00C20946"/>
    <w:rsid w:val="00C21F4C"/>
    <w:rsid w:val="00C22932"/>
    <w:rsid w:val="00C23844"/>
    <w:rsid w:val="00C23870"/>
    <w:rsid w:val="00C269D4"/>
    <w:rsid w:val="00C26B9D"/>
    <w:rsid w:val="00C27030"/>
    <w:rsid w:val="00C273E7"/>
    <w:rsid w:val="00C27D77"/>
    <w:rsid w:val="00C305BF"/>
    <w:rsid w:val="00C30635"/>
    <w:rsid w:val="00C3072B"/>
    <w:rsid w:val="00C30D3E"/>
    <w:rsid w:val="00C31197"/>
    <w:rsid w:val="00C3140B"/>
    <w:rsid w:val="00C31F91"/>
    <w:rsid w:val="00C3255A"/>
    <w:rsid w:val="00C3273D"/>
    <w:rsid w:val="00C33A9C"/>
    <w:rsid w:val="00C33D9C"/>
    <w:rsid w:val="00C34E21"/>
    <w:rsid w:val="00C34E91"/>
    <w:rsid w:val="00C352CF"/>
    <w:rsid w:val="00C36EF0"/>
    <w:rsid w:val="00C404E9"/>
    <w:rsid w:val="00C407F7"/>
    <w:rsid w:val="00C43206"/>
    <w:rsid w:val="00C44A5B"/>
    <w:rsid w:val="00C44A5E"/>
    <w:rsid w:val="00C44EE7"/>
    <w:rsid w:val="00C45346"/>
    <w:rsid w:val="00C47110"/>
    <w:rsid w:val="00C475CF"/>
    <w:rsid w:val="00C50518"/>
    <w:rsid w:val="00C515BE"/>
    <w:rsid w:val="00C51813"/>
    <w:rsid w:val="00C53DDA"/>
    <w:rsid w:val="00C544F1"/>
    <w:rsid w:val="00C54B23"/>
    <w:rsid w:val="00C55313"/>
    <w:rsid w:val="00C555A9"/>
    <w:rsid w:val="00C55750"/>
    <w:rsid w:val="00C55BDF"/>
    <w:rsid w:val="00C562B8"/>
    <w:rsid w:val="00C573F5"/>
    <w:rsid w:val="00C60E47"/>
    <w:rsid w:val="00C6105B"/>
    <w:rsid w:val="00C62664"/>
    <w:rsid w:val="00C641E6"/>
    <w:rsid w:val="00C65131"/>
    <w:rsid w:val="00C6554D"/>
    <w:rsid w:val="00C659CB"/>
    <w:rsid w:val="00C66086"/>
    <w:rsid w:val="00C66557"/>
    <w:rsid w:val="00C66BAD"/>
    <w:rsid w:val="00C66C1E"/>
    <w:rsid w:val="00C674CA"/>
    <w:rsid w:val="00C67C87"/>
    <w:rsid w:val="00C7058C"/>
    <w:rsid w:val="00C727EB"/>
    <w:rsid w:val="00C72B2D"/>
    <w:rsid w:val="00C72CB6"/>
    <w:rsid w:val="00C75509"/>
    <w:rsid w:val="00C760BB"/>
    <w:rsid w:val="00C7766B"/>
    <w:rsid w:val="00C77983"/>
    <w:rsid w:val="00C77A28"/>
    <w:rsid w:val="00C80163"/>
    <w:rsid w:val="00C8038F"/>
    <w:rsid w:val="00C80A30"/>
    <w:rsid w:val="00C80CA5"/>
    <w:rsid w:val="00C80DD9"/>
    <w:rsid w:val="00C820C8"/>
    <w:rsid w:val="00C84E56"/>
    <w:rsid w:val="00C85911"/>
    <w:rsid w:val="00C85BB5"/>
    <w:rsid w:val="00C871A0"/>
    <w:rsid w:val="00C87790"/>
    <w:rsid w:val="00C87BBC"/>
    <w:rsid w:val="00C87BF6"/>
    <w:rsid w:val="00C9222A"/>
    <w:rsid w:val="00C937D2"/>
    <w:rsid w:val="00C93A4B"/>
    <w:rsid w:val="00C9412E"/>
    <w:rsid w:val="00C9429B"/>
    <w:rsid w:val="00C94A69"/>
    <w:rsid w:val="00C9521D"/>
    <w:rsid w:val="00C95671"/>
    <w:rsid w:val="00C9654B"/>
    <w:rsid w:val="00C97A72"/>
    <w:rsid w:val="00CA0330"/>
    <w:rsid w:val="00CA1CF4"/>
    <w:rsid w:val="00CA32A3"/>
    <w:rsid w:val="00CA3A7C"/>
    <w:rsid w:val="00CA6E3C"/>
    <w:rsid w:val="00CA7AE3"/>
    <w:rsid w:val="00CB0097"/>
    <w:rsid w:val="00CB1E1E"/>
    <w:rsid w:val="00CB29C2"/>
    <w:rsid w:val="00CB35F5"/>
    <w:rsid w:val="00CB36D4"/>
    <w:rsid w:val="00CB3ABE"/>
    <w:rsid w:val="00CB447E"/>
    <w:rsid w:val="00CB44D9"/>
    <w:rsid w:val="00CB5042"/>
    <w:rsid w:val="00CB5558"/>
    <w:rsid w:val="00CB5644"/>
    <w:rsid w:val="00CB5D13"/>
    <w:rsid w:val="00CB6808"/>
    <w:rsid w:val="00CB71CC"/>
    <w:rsid w:val="00CC023D"/>
    <w:rsid w:val="00CC08B8"/>
    <w:rsid w:val="00CC1699"/>
    <w:rsid w:val="00CC16DA"/>
    <w:rsid w:val="00CC1C49"/>
    <w:rsid w:val="00CC26B2"/>
    <w:rsid w:val="00CC2724"/>
    <w:rsid w:val="00CC3BC5"/>
    <w:rsid w:val="00CC4A02"/>
    <w:rsid w:val="00CC4D3B"/>
    <w:rsid w:val="00CC56DD"/>
    <w:rsid w:val="00CC5FFC"/>
    <w:rsid w:val="00CC637B"/>
    <w:rsid w:val="00CC68EA"/>
    <w:rsid w:val="00CC7029"/>
    <w:rsid w:val="00CC7BFF"/>
    <w:rsid w:val="00CC7D90"/>
    <w:rsid w:val="00CD1284"/>
    <w:rsid w:val="00CD15CB"/>
    <w:rsid w:val="00CD15EF"/>
    <w:rsid w:val="00CD1E2D"/>
    <w:rsid w:val="00CD22C5"/>
    <w:rsid w:val="00CD2B0F"/>
    <w:rsid w:val="00CD3A01"/>
    <w:rsid w:val="00CD3D0D"/>
    <w:rsid w:val="00CD3E53"/>
    <w:rsid w:val="00CD45EB"/>
    <w:rsid w:val="00CD5174"/>
    <w:rsid w:val="00CD52FD"/>
    <w:rsid w:val="00CD5808"/>
    <w:rsid w:val="00CD5C94"/>
    <w:rsid w:val="00CE09DF"/>
    <w:rsid w:val="00CE1481"/>
    <w:rsid w:val="00CE1AAF"/>
    <w:rsid w:val="00CE1F9F"/>
    <w:rsid w:val="00CE3A02"/>
    <w:rsid w:val="00CE6A61"/>
    <w:rsid w:val="00CE6A6E"/>
    <w:rsid w:val="00CE6AE5"/>
    <w:rsid w:val="00CF02D2"/>
    <w:rsid w:val="00CF0922"/>
    <w:rsid w:val="00CF157E"/>
    <w:rsid w:val="00CF1DBB"/>
    <w:rsid w:val="00CF2A67"/>
    <w:rsid w:val="00CF2EBE"/>
    <w:rsid w:val="00CF3A65"/>
    <w:rsid w:val="00CF445F"/>
    <w:rsid w:val="00CF4823"/>
    <w:rsid w:val="00CF5229"/>
    <w:rsid w:val="00CF56FF"/>
    <w:rsid w:val="00CF7169"/>
    <w:rsid w:val="00CF7E94"/>
    <w:rsid w:val="00D0133A"/>
    <w:rsid w:val="00D0195A"/>
    <w:rsid w:val="00D01B5A"/>
    <w:rsid w:val="00D01C9F"/>
    <w:rsid w:val="00D01DE7"/>
    <w:rsid w:val="00D0217E"/>
    <w:rsid w:val="00D027D4"/>
    <w:rsid w:val="00D02990"/>
    <w:rsid w:val="00D032C6"/>
    <w:rsid w:val="00D0372E"/>
    <w:rsid w:val="00D03FC0"/>
    <w:rsid w:val="00D041E3"/>
    <w:rsid w:val="00D04A65"/>
    <w:rsid w:val="00D04ACB"/>
    <w:rsid w:val="00D04C9A"/>
    <w:rsid w:val="00D05095"/>
    <w:rsid w:val="00D05734"/>
    <w:rsid w:val="00D0632E"/>
    <w:rsid w:val="00D06998"/>
    <w:rsid w:val="00D119BA"/>
    <w:rsid w:val="00D12580"/>
    <w:rsid w:val="00D12676"/>
    <w:rsid w:val="00D12D06"/>
    <w:rsid w:val="00D1330C"/>
    <w:rsid w:val="00D149CB"/>
    <w:rsid w:val="00D14D58"/>
    <w:rsid w:val="00D17CB1"/>
    <w:rsid w:val="00D205F5"/>
    <w:rsid w:val="00D20AAF"/>
    <w:rsid w:val="00D21686"/>
    <w:rsid w:val="00D2362A"/>
    <w:rsid w:val="00D238DC"/>
    <w:rsid w:val="00D24BE0"/>
    <w:rsid w:val="00D25E47"/>
    <w:rsid w:val="00D27CC2"/>
    <w:rsid w:val="00D3015C"/>
    <w:rsid w:val="00D30E66"/>
    <w:rsid w:val="00D31303"/>
    <w:rsid w:val="00D31D8C"/>
    <w:rsid w:val="00D32535"/>
    <w:rsid w:val="00D33675"/>
    <w:rsid w:val="00D33897"/>
    <w:rsid w:val="00D34BDF"/>
    <w:rsid w:val="00D363F6"/>
    <w:rsid w:val="00D3774B"/>
    <w:rsid w:val="00D37B66"/>
    <w:rsid w:val="00D40253"/>
    <w:rsid w:val="00D41E2F"/>
    <w:rsid w:val="00D42032"/>
    <w:rsid w:val="00D42041"/>
    <w:rsid w:val="00D42A38"/>
    <w:rsid w:val="00D43650"/>
    <w:rsid w:val="00D448EC"/>
    <w:rsid w:val="00D455C4"/>
    <w:rsid w:val="00D459A4"/>
    <w:rsid w:val="00D46233"/>
    <w:rsid w:val="00D46279"/>
    <w:rsid w:val="00D467C4"/>
    <w:rsid w:val="00D46FCE"/>
    <w:rsid w:val="00D47CD5"/>
    <w:rsid w:val="00D50BA3"/>
    <w:rsid w:val="00D50BF4"/>
    <w:rsid w:val="00D50C0F"/>
    <w:rsid w:val="00D51621"/>
    <w:rsid w:val="00D51B00"/>
    <w:rsid w:val="00D5243E"/>
    <w:rsid w:val="00D52D5F"/>
    <w:rsid w:val="00D53085"/>
    <w:rsid w:val="00D53A06"/>
    <w:rsid w:val="00D5419A"/>
    <w:rsid w:val="00D5439C"/>
    <w:rsid w:val="00D54AE4"/>
    <w:rsid w:val="00D55485"/>
    <w:rsid w:val="00D5780B"/>
    <w:rsid w:val="00D605EF"/>
    <w:rsid w:val="00D60D31"/>
    <w:rsid w:val="00D61123"/>
    <w:rsid w:val="00D646A9"/>
    <w:rsid w:val="00D6478C"/>
    <w:rsid w:val="00D65478"/>
    <w:rsid w:val="00D65EEB"/>
    <w:rsid w:val="00D6694B"/>
    <w:rsid w:val="00D66A48"/>
    <w:rsid w:val="00D70D04"/>
    <w:rsid w:val="00D72254"/>
    <w:rsid w:val="00D72F76"/>
    <w:rsid w:val="00D73026"/>
    <w:rsid w:val="00D7345C"/>
    <w:rsid w:val="00D736CA"/>
    <w:rsid w:val="00D739D1"/>
    <w:rsid w:val="00D7410D"/>
    <w:rsid w:val="00D74386"/>
    <w:rsid w:val="00D744DA"/>
    <w:rsid w:val="00D75354"/>
    <w:rsid w:val="00D75B80"/>
    <w:rsid w:val="00D75DFF"/>
    <w:rsid w:val="00D77511"/>
    <w:rsid w:val="00D8222F"/>
    <w:rsid w:val="00D8411D"/>
    <w:rsid w:val="00D84954"/>
    <w:rsid w:val="00D8536E"/>
    <w:rsid w:val="00D8555A"/>
    <w:rsid w:val="00D86728"/>
    <w:rsid w:val="00D86F52"/>
    <w:rsid w:val="00D86F99"/>
    <w:rsid w:val="00D9025C"/>
    <w:rsid w:val="00D90613"/>
    <w:rsid w:val="00D9132F"/>
    <w:rsid w:val="00D915B9"/>
    <w:rsid w:val="00D91804"/>
    <w:rsid w:val="00D92807"/>
    <w:rsid w:val="00D9377A"/>
    <w:rsid w:val="00D937B6"/>
    <w:rsid w:val="00D949C9"/>
    <w:rsid w:val="00D966CE"/>
    <w:rsid w:val="00D96AD7"/>
    <w:rsid w:val="00D96C56"/>
    <w:rsid w:val="00D96D6F"/>
    <w:rsid w:val="00D972F0"/>
    <w:rsid w:val="00D97426"/>
    <w:rsid w:val="00D979E9"/>
    <w:rsid w:val="00D97DAA"/>
    <w:rsid w:val="00DA0A30"/>
    <w:rsid w:val="00DA0C3C"/>
    <w:rsid w:val="00DA143D"/>
    <w:rsid w:val="00DA17B6"/>
    <w:rsid w:val="00DA2A65"/>
    <w:rsid w:val="00DA364D"/>
    <w:rsid w:val="00DA46F5"/>
    <w:rsid w:val="00DA568B"/>
    <w:rsid w:val="00DA5E97"/>
    <w:rsid w:val="00DA6006"/>
    <w:rsid w:val="00DAA6A0"/>
    <w:rsid w:val="00DB0685"/>
    <w:rsid w:val="00DB0B09"/>
    <w:rsid w:val="00DB0D28"/>
    <w:rsid w:val="00DB1BAE"/>
    <w:rsid w:val="00DB313F"/>
    <w:rsid w:val="00DB3416"/>
    <w:rsid w:val="00DB4248"/>
    <w:rsid w:val="00DB44EF"/>
    <w:rsid w:val="00DB49AA"/>
    <w:rsid w:val="00DB56F4"/>
    <w:rsid w:val="00DB584A"/>
    <w:rsid w:val="00DB6D84"/>
    <w:rsid w:val="00DB7EAB"/>
    <w:rsid w:val="00DC0A9F"/>
    <w:rsid w:val="00DC0F04"/>
    <w:rsid w:val="00DC15D7"/>
    <w:rsid w:val="00DC1647"/>
    <w:rsid w:val="00DC17A7"/>
    <w:rsid w:val="00DC2332"/>
    <w:rsid w:val="00DC252C"/>
    <w:rsid w:val="00DC2977"/>
    <w:rsid w:val="00DC310F"/>
    <w:rsid w:val="00DC34B4"/>
    <w:rsid w:val="00DC39E8"/>
    <w:rsid w:val="00DC3E2C"/>
    <w:rsid w:val="00DC510F"/>
    <w:rsid w:val="00DC6003"/>
    <w:rsid w:val="00DC6990"/>
    <w:rsid w:val="00DC76F6"/>
    <w:rsid w:val="00DC7F64"/>
    <w:rsid w:val="00DD0478"/>
    <w:rsid w:val="00DD0523"/>
    <w:rsid w:val="00DD1912"/>
    <w:rsid w:val="00DD1C46"/>
    <w:rsid w:val="00DD2529"/>
    <w:rsid w:val="00DD2537"/>
    <w:rsid w:val="00DD3588"/>
    <w:rsid w:val="00DD36B9"/>
    <w:rsid w:val="00DD379B"/>
    <w:rsid w:val="00DD3840"/>
    <w:rsid w:val="00DD3C82"/>
    <w:rsid w:val="00DD479E"/>
    <w:rsid w:val="00DD4EF2"/>
    <w:rsid w:val="00DD6C2E"/>
    <w:rsid w:val="00DD6D23"/>
    <w:rsid w:val="00DD6DA4"/>
    <w:rsid w:val="00DD7802"/>
    <w:rsid w:val="00DE0EB8"/>
    <w:rsid w:val="00DE2019"/>
    <w:rsid w:val="00DE293B"/>
    <w:rsid w:val="00DE3BFD"/>
    <w:rsid w:val="00DE3CDE"/>
    <w:rsid w:val="00DE3FCA"/>
    <w:rsid w:val="00DE4C41"/>
    <w:rsid w:val="00DE509F"/>
    <w:rsid w:val="00DE5B0A"/>
    <w:rsid w:val="00DE5F6C"/>
    <w:rsid w:val="00DE624D"/>
    <w:rsid w:val="00DE6294"/>
    <w:rsid w:val="00DE68D2"/>
    <w:rsid w:val="00DE7A4F"/>
    <w:rsid w:val="00DF0D76"/>
    <w:rsid w:val="00DF154B"/>
    <w:rsid w:val="00DF1D98"/>
    <w:rsid w:val="00DF2E71"/>
    <w:rsid w:val="00DF2FF2"/>
    <w:rsid w:val="00DF3119"/>
    <w:rsid w:val="00DF3267"/>
    <w:rsid w:val="00DF7277"/>
    <w:rsid w:val="00DF75B7"/>
    <w:rsid w:val="00DF7AFC"/>
    <w:rsid w:val="00DF7B23"/>
    <w:rsid w:val="00E00FF6"/>
    <w:rsid w:val="00E017A4"/>
    <w:rsid w:val="00E01B9A"/>
    <w:rsid w:val="00E02EBA"/>
    <w:rsid w:val="00E032A6"/>
    <w:rsid w:val="00E0361A"/>
    <w:rsid w:val="00E044BB"/>
    <w:rsid w:val="00E059FF"/>
    <w:rsid w:val="00E05E16"/>
    <w:rsid w:val="00E06E09"/>
    <w:rsid w:val="00E07366"/>
    <w:rsid w:val="00E07394"/>
    <w:rsid w:val="00E1141F"/>
    <w:rsid w:val="00E1174D"/>
    <w:rsid w:val="00E12866"/>
    <w:rsid w:val="00E1312A"/>
    <w:rsid w:val="00E132F7"/>
    <w:rsid w:val="00E140E3"/>
    <w:rsid w:val="00E14CCB"/>
    <w:rsid w:val="00E15008"/>
    <w:rsid w:val="00E15174"/>
    <w:rsid w:val="00E15250"/>
    <w:rsid w:val="00E15296"/>
    <w:rsid w:val="00E16604"/>
    <w:rsid w:val="00E16D1F"/>
    <w:rsid w:val="00E16E99"/>
    <w:rsid w:val="00E20759"/>
    <w:rsid w:val="00E22E63"/>
    <w:rsid w:val="00E24B2E"/>
    <w:rsid w:val="00E25225"/>
    <w:rsid w:val="00E253E7"/>
    <w:rsid w:val="00E25541"/>
    <w:rsid w:val="00E2612E"/>
    <w:rsid w:val="00E27177"/>
    <w:rsid w:val="00E27339"/>
    <w:rsid w:val="00E27F9E"/>
    <w:rsid w:val="00E30B14"/>
    <w:rsid w:val="00E30CB4"/>
    <w:rsid w:val="00E3254F"/>
    <w:rsid w:val="00E33E9B"/>
    <w:rsid w:val="00E351A2"/>
    <w:rsid w:val="00E36EF7"/>
    <w:rsid w:val="00E37538"/>
    <w:rsid w:val="00E4075B"/>
    <w:rsid w:val="00E40C65"/>
    <w:rsid w:val="00E40D98"/>
    <w:rsid w:val="00E411EF"/>
    <w:rsid w:val="00E42BE7"/>
    <w:rsid w:val="00E43650"/>
    <w:rsid w:val="00E436B2"/>
    <w:rsid w:val="00E4383B"/>
    <w:rsid w:val="00E4462E"/>
    <w:rsid w:val="00E44DD2"/>
    <w:rsid w:val="00E45376"/>
    <w:rsid w:val="00E456F2"/>
    <w:rsid w:val="00E4667D"/>
    <w:rsid w:val="00E501DA"/>
    <w:rsid w:val="00E515B4"/>
    <w:rsid w:val="00E515B9"/>
    <w:rsid w:val="00E51C97"/>
    <w:rsid w:val="00E51EB7"/>
    <w:rsid w:val="00E52ECA"/>
    <w:rsid w:val="00E533CE"/>
    <w:rsid w:val="00E535F7"/>
    <w:rsid w:val="00E5360C"/>
    <w:rsid w:val="00E53F9E"/>
    <w:rsid w:val="00E5436A"/>
    <w:rsid w:val="00E543BE"/>
    <w:rsid w:val="00E55D39"/>
    <w:rsid w:val="00E56521"/>
    <w:rsid w:val="00E57007"/>
    <w:rsid w:val="00E57B0C"/>
    <w:rsid w:val="00E57E6B"/>
    <w:rsid w:val="00E60044"/>
    <w:rsid w:val="00E61721"/>
    <w:rsid w:val="00E62A27"/>
    <w:rsid w:val="00E62AFB"/>
    <w:rsid w:val="00E6424C"/>
    <w:rsid w:val="00E642A1"/>
    <w:rsid w:val="00E6481B"/>
    <w:rsid w:val="00E6578B"/>
    <w:rsid w:val="00E65E20"/>
    <w:rsid w:val="00E666F3"/>
    <w:rsid w:val="00E67D99"/>
    <w:rsid w:val="00E67F41"/>
    <w:rsid w:val="00E70106"/>
    <w:rsid w:val="00E70AC9"/>
    <w:rsid w:val="00E729DA"/>
    <w:rsid w:val="00E73543"/>
    <w:rsid w:val="00E739DD"/>
    <w:rsid w:val="00E74982"/>
    <w:rsid w:val="00E75263"/>
    <w:rsid w:val="00E76028"/>
    <w:rsid w:val="00E77064"/>
    <w:rsid w:val="00E77858"/>
    <w:rsid w:val="00E8129C"/>
    <w:rsid w:val="00E81334"/>
    <w:rsid w:val="00E81669"/>
    <w:rsid w:val="00E82353"/>
    <w:rsid w:val="00E82885"/>
    <w:rsid w:val="00E829F0"/>
    <w:rsid w:val="00E82A7B"/>
    <w:rsid w:val="00E82FFD"/>
    <w:rsid w:val="00E83415"/>
    <w:rsid w:val="00E840B2"/>
    <w:rsid w:val="00E8415E"/>
    <w:rsid w:val="00E849DA"/>
    <w:rsid w:val="00E84FC6"/>
    <w:rsid w:val="00E85487"/>
    <w:rsid w:val="00E85822"/>
    <w:rsid w:val="00E85DCC"/>
    <w:rsid w:val="00E865C9"/>
    <w:rsid w:val="00E86A0C"/>
    <w:rsid w:val="00E87F48"/>
    <w:rsid w:val="00E87F8C"/>
    <w:rsid w:val="00E90023"/>
    <w:rsid w:val="00E9069D"/>
    <w:rsid w:val="00E92C57"/>
    <w:rsid w:val="00E93903"/>
    <w:rsid w:val="00E95796"/>
    <w:rsid w:val="00EA040B"/>
    <w:rsid w:val="00EA09EE"/>
    <w:rsid w:val="00EA0E48"/>
    <w:rsid w:val="00EA0ED2"/>
    <w:rsid w:val="00EA1542"/>
    <w:rsid w:val="00EA174F"/>
    <w:rsid w:val="00EA3189"/>
    <w:rsid w:val="00EA3B00"/>
    <w:rsid w:val="00EA48E7"/>
    <w:rsid w:val="00EA4BB2"/>
    <w:rsid w:val="00EA5026"/>
    <w:rsid w:val="00EA52E5"/>
    <w:rsid w:val="00EA6F38"/>
    <w:rsid w:val="00EA7351"/>
    <w:rsid w:val="00EA7511"/>
    <w:rsid w:val="00EA7DB4"/>
    <w:rsid w:val="00EB0209"/>
    <w:rsid w:val="00EB0BFB"/>
    <w:rsid w:val="00EB0DF1"/>
    <w:rsid w:val="00EB4E84"/>
    <w:rsid w:val="00EB50B2"/>
    <w:rsid w:val="00EB69F1"/>
    <w:rsid w:val="00EB7DFB"/>
    <w:rsid w:val="00EC0909"/>
    <w:rsid w:val="00EC3DE1"/>
    <w:rsid w:val="00EC46C3"/>
    <w:rsid w:val="00EC59D0"/>
    <w:rsid w:val="00EC615A"/>
    <w:rsid w:val="00EC67E5"/>
    <w:rsid w:val="00EC6949"/>
    <w:rsid w:val="00EC6F1D"/>
    <w:rsid w:val="00EC79A8"/>
    <w:rsid w:val="00EC7CCC"/>
    <w:rsid w:val="00ED04CC"/>
    <w:rsid w:val="00ED13F2"/>
    <w:rsid w:val="00ED18F2"/>
    <w:rsid w:val="00ED1F65"/>
    <w:rsid w:val="00ED2551"/>
    <w:rsid w:val="00ED29CB"/>
    <w:rsid w:val="00ED2B47"/>
    <w:rsid w:val="00ED3821"/>
    <w:rsid w:val="00ED3FF1"/>
    <w:rsid w:val="00ED4AE5"/>
    <w:rsid w:val="00ED5399"/>
    <w:rsid w:val="00ED6308"/>
    <w:rsid w:val="00ED66E3"/>
    <w:rsid w:val="00EE0007"/>
    <w:rsid w:val="00EE01E5"/>
    <w:rsid w:val="00EE0E55"/>
    <w:rsid w:val="00EE18FF"/>
    <w:rsid w:val="00EE211C"/>
    <w:rsid w:val="00EE2478"/>
    <w:rsid w:val="00EE2A00"/>
    <w:rsid w:val="00EE3819"/>
    <w:rsid w:val="00EE3F63"/>
    <w:rsid w:val="00EE4086"/>
    <w:rsid w:val="00EE479E"/>
    <w:rsid w:val="00EE4FD3"/>
    <w:rsid w:val="00EE5970"/>
    <w:rsid w:val="00EE5ACD"/>
    <w:rsid w:val="00EE6E73"/>
    <w:rsid w:val="00EE7AE0"/>
    <w:rsid w:val="00EE7FDF"/>
    <w:rsid w:val="00EF02BB"/>
    <w:rsid w:val="00EF0E28"/>
    <w:rsid w:val="00EF1273"/>
    <w:rsid w:val="00EF19EB"/>
    <w:rsid w:val="00EF286E"/>
    <w:rsid w:val="00EF2982"/>
    <w:rsid w:val="00EF2EAA"/>
    <w:rsid w:val="00EF330C"/>
    <w:rsid w:val="00EF33F5"/>
    <w:rsid w:val="00EF39DD"/>
    <w:rsid w:val="00EF56BE"/>
    <w:rsid w:val="00EF5B22"/>
    <w:rsid w:val="00EF6371"/>
    <w:rsid w:val="00EF65E6"/>
    <w:rsid w:val="00EF693C"/>
    <w:rsid w:val="00EF71EE"/>
    <w:rsid w:val="00EF7475"/>
    <w:rsid w:val="00F00657"/>
    <w:rsid w:val="00F01B50"/>
    <w:rsid w:val="00F02326"/>
    <w:rsid w:val="00F033E5"/>
    <w:rsid w:val="00F03A09"/>
    <w:rsid w:val="00F04216"/>
    <w:rsid w:val="00F04621"/>
    <w:rsid w:val="00F04A29"/>
    <w:rsid w:val="00F04A8F"/>
    <w:rsid w:val="00F051C7"/>
    <w:rsid w:val="00F0567E"/>
    <w:rsid w:val="00F06412"/>
    <w:rsid w:val="00F0683A"/>
    <w:rsid w:val="00F077FA"/>
    <w:rsid w:val="00F116D6"/>
    <w:rsid w:val="00F11C35"/>
    <w:rsid w:val="00F131F0"/>
    <w:rsid w:val="00F13222"/>
    <w:rsid w:val="00F13AD6"/>
    <w:rsid w:val="00F15D8F"/>
    <w:rsid w:val="00F169B4"/>
    <w:rsid w:val="00F171C7"/>
    <w:rsid w:val="00F17235"/>
    <w:rsid w:val="00F174E0"/>
    <w:rsid w:val="00F20058"/>
    <w:rsid w:val="00F226D3"/>
    <w:rsid w:val="00F22870"/>
    <w:rsid w:val="00F22B97"/>
    <w:rsid w:val="00F24B3B"/>
    <w:rsid w:val="00F24ED4"/>
    <w:rsid w:val="00F261BB"/>
    <w:rsid w:val="00F268DA"/>
    <w:rsid w:val="00F27600"/>
    <w:rsid w:val="00F31279"/>
    <w:rsid w:val="00F31755"/>
    <w:rsid w:val="00F347FF"/>
    <w:rsid w:val="00F3487B"/>
    <w:rsid w:val="00F35D5E"/>
    <w:rsid w:val="00F364DF"/>
    <w:rsid w:val="00F36611"/>
    <w:rsid w:val="00F369E2"/>
    <w:rsid w:val="00F36D62"/>
    <w:rsid w:val="00F36DC8"/>
    <w:rsid w:val="00F370FC"/>
    <w:rsid w:val="00F37522"/>
    <w:rsid w:val="00F37751"/>
    <w:rsid w:val="00F37CD6"/>
    <w:rsid w:val="00F4054D"/>
    <w:rsid w:val="00F407CA"/>
    <w:rsid w:val="00F409B1"/>
    <w:rsid w:val="00F40DC3"/>
    <w:rsid w:val="00F41FC0"/>
    <w:rsid w:val="00F42222"/>
    <w:rsid w:val="00F424BF"/>
    <w:rsid w:val="00F42D00"/>
    <w:rsid w:val="00F4313F"/>
    <w:rsid w:val="00F44A5C"/>
    <w:rsid w:val="00F4525D"/>
    <w:rsid w:val="00F457E2"/>
    <w:rsid w:val="00F45CED"/>
    <w:rsid w:val="00F45D0C"/>
    <w:rsid w:val="00F469B6"/>
    <w:rsid w:val="00F476A1"/>
    <w:rsid w:val="00F50B56"/>
    <w:rsid w:val="00F50E2C"/>
    <w:rsid w:val="00F51E6D"/>
    <w:rsid w:val="00F51EC5"/>
    <w:rsid w:val="00F533CB"/>
    <w:rsid w:val="00F53AFB"/>
    <w:rsid w:val="00F569A4"/>
    <w:rsid w:val="00F57C3B"/>
    <w:rsid w:val="00F57E81"/>
    <w:rsid w:val="00F6192F"/>
    <w:rsid w:val="00F61E85"/>
    <w:rsid w:val="00F61FD6"/>
    <w:rsid w:val="00F62636"/>
    <w:rsid w:val="00F63903"/>
    <w:rsid w:val="00F63C96"/>
    <w:rsid w:val="00F656F7"/>
    <w:rsid w:val="00F65E75"/>
    <w:rsid w:val="00F67B31"/>
    <w:rsid w:val="00F67BD1"/>
    <w:rsid w:val="00F7153D"/>
    <w:rsid w:val="00F71DEB"/>
    <w:rsid w:val="00F72A9E"/>
    <w:rsid w:val="00F73DC3"/>
    <w:rsid w:val="00F741AC"/>
    <w:rsid w:val="00F748B5"/>
    <w:rsid w:val="00F75094"/>
    <w:rsid w:val="00F758E9"/>
    <w:rsid w:val="00F766E4"/>
    <w:rsid w:val="00F76973"/>
    <w:rsid w:val="00F77164"/>
    <w:rsid w:val="00F80E95"/>
    <w:rsid w:val="00F816C2"/>
    <w:rsid w:val="00F82639"/>
    <w:rsid w:val="00F82F43"/>
    <w:rsid w:val="00F83195"/>
    <w:rsid w:val="00F83256"/>
    <w:rsid w:val="00F83391"/>
    <w:rsid w:val="00F83932"/>
    <w:rsid w:val="00F839A2"/>
    <w:rsid w:val="00F83D6A"/>
    <w:rsid w:val="00F83E7C"/>
    <w:rsid w:val="00F84DCA"/>
    <w:rsid w:val="00F852DF"/>
    <w:rsid w:val="00F86AA2"/>
    <w:rsid w:val="00F86B7C"/>
    <w:rsid w:val="00F87160"/>
    <w:rsid w:val="00F900BB"/>
    <w:rsid w:val="00F90AB4"/>
    <w:rsid w:val="00F91297"/>
    <w:rsid w:val="00F921CA"/>
    <w:rsid w:val="00F93164"/>
    <w:rsid w:val="00F95CD0"/>
    <w:rsid w:val="00F97367"/>
    <w:rsid w:val="00FA0BF9"/>
    <w:rsid w:val="00FA1122"/>
    <w:rsid w:val="00FA16C4"/>
    <w:rsid w:val="00FA195B"/>
    <w:rsid w:val="00FA20D7"/>
    <w:rsid w:val="00FA26F9"/>
    <w:rsid w:val="00FA377B"/>
    <w:rsid w:val="00FA3DFE"/>
    <w:rsid w:val="00FA4D0A"/>
    <w:rsid w:val="00FA4EAD"/>
    <w:rsid w:val="00FA4FE4"/>
    <w:rsid w:val="00FA579D"/>
    <w:rsid w:val="00FA6002"/>
    <w:rsid w:val="00FA7434"/>
    <w:rsid w:val="00FA7641"/>
    <w:rsid w:val="00FA77F8"/>
    <w:rsid w:val="00FA7B45"/>
    <w:rsid w:val="00FB0630"/>
    <w:rsid w:val="00FB06B1"/>
    <w:rsid w:val="00FB11B5"/>
    <w:rsid w:val="00FB188C"/>
    <w:rsid w:val="00FB2EB4"/>
    <w:rsid w:val="00FB3F00"/>
    <w:rsid w:val="00FB4423"/>
    <w:rsid w:val="00FB50E6"/>
    <w:rsid w:val="00FB556A"/>
    <w:rsid w:val="00FB5892"/>
    <w:rsid w:val="00FB6A64"/>
    <w:rsid w:val="00FB7328"/>
    <w:rsid w:val="00FC0686"/>
    <w:rsid w:val="00FC11EF"/>
    <w:rsid w:val="00FC18FB"/>
    <w:rsid w:val="00FC1F89"/>
    <w:rsid w:val="00FC2090"/>
    <w:rsid w:val="00FC2670"/>
    <w:rsid w:val="00FC2FC9"/>
    <w:rsid w:val="00FC2FF7"/>
    <w:rsid w:val="00FC3609"/>
    <w:rsid w:val="00FC3C53"/>
    <w:rsid w:val="00FC4C93"/>
    <w:rsid w:val="00FC62CF"/>
    <w:rsid w:val="00FC70FE"/>
    <w:rsid w:val="00FC7575"/>
    <w:rsid w:val="00FC784F"/>
    <w:rsid w:val="00FD0632"/>
    <w:rsid w:val="00FD1281"/>
    <w:rsid w:val="00FD155C"/>
    <w:rsid w:val="00FD2AB5"/>
    <w:rsid w:val="00FD342D"/>
    <w:rsid w:val="00FD4161"/>
    <w:rsid w:val="00FD4727"/>
    <w:rsid w:val="00FD5099"/>
    <w:rsid w:val="00FD5331"/>
    <w:rsid w:val="00FD5647"/>
    <w:rsid w:val="00FD66B6"/>
    <w:rsid w:val="00FD728E"/>
    <w:rsid w:val="00FE05F6"/>
    <w:rsid w:val="00FE0806"/>
    <w:rsid w:val="00FE202C"/>
    <w:rsid w:val="00FE22CD"/>
    <w:rsid w:val="00FE261C"/>
    <w:rsid w:val="00FE2E6F"/>
    <w:rsid w:val="00FE2E8B"/>
    <w:rsid w:val="00FE47DD"/>
    <w:rsid w:val="00FE548A"/>
    <w:rsid w:val="00FE6E05"/>
    <w:rsid w:val="00FE79B0"/>
    <w:rsid w:val="00FF01F3"/>
    <w:rsid w:val="00FF118A"/>
    <w:rsid w:val="00FF2072"/>
    <w:rsid w:val="00FF2794"/>
    <w:rsid w:val="00FF3EDA"/>
    <w:rsid w:val="00FF4508"/>
    <w:rsid w:val="00FF527F"/>
    <w:rsid w:val="00FF5AD4"/>
    <w:rsid w:val="00FF6FD3"/>
    <w:rsid w:val="00FF7D38"/>
    <w:rsid w:val="01266554"/>
    <w:rsid w:val="024D7173"/>
    <w:rsid w:val="025F438D"/>
    <w:rsid w:val="02884A9A"/>
    <w:rsid w:val="02AD1BA8"/>
    <w:rsid w:val="02C907FC"/>
    <w:rsid w:val="037F4C20"/>
    <w:rsid w:val="03B578E0"/>
    <w:rsid w:val="043D03FC"/>
    <w:rsid w:val="043F3DD4"/>
    <w:rsid w:val="04753401"/>
    <w:rsid w:val="0478EE96"/>
    <w:rsid w:val="0489F826"/>
    <w:rsid w:val="049674A0"/>
    <w:rsid w:val="04C5B4FE"/>
    <w:rsid w:val="05081BC9"/>
    <w:rsid w:val="054D0CAB"/>
    <w:rsid w:val="0561004A"/>
    <w:rsid w:val="05EFC338"/>
    <w:rsid w:val="0645DD76"/>
    <w:rsid w:val="0665090C"/>
    <w:rsid w:val="0710A774"/>
    <w:rsid w:val="0750FD9B"/>
    <w:rsid w:val="075C09CE"/>
    <w:rsid w:val="075FC0D3"/>
    <w:rsid w:val="07B0AC33"/>
    <w:rsid w:val="08383B8F"/>
    <w:rsid w:val="08C08CBE"/>
    <w:rsid w:val="08DF27EA"/>
    <w:rsid w:val="08E7A443"/>
    <w:rsid w:val="09038525"/>
    <w:rsid w:val="090F84A6"/>
    <w:rsid w:val="091576A1"/>
    <w:rsid w:val="096C57BA"/>
    <w:rsid w:val="096E2560"/>
    <w:rsid w:val="0A00A4DE"/>
    <w:rsid w:val="0AC968F0"/>
    <w:rsid w:val="0B40A92D"/>
    <w:rsid w:val="0B56FA36"/>
    <w:rsid w:val="0B6D6BA7"/>
    <w:rsid w:val="0B802D2C"/>
    <w:rsid w:val="0B8AFF77"/>
    <w:rsid w:val="0BB9113A"/>
    <w:rsid w:val="0BC9E6A4"/>
    <w:rsid w:val="0C04BF2D"/>
    <w:rsid w:val="0C6A4553"/>
    <w:rsid w:val="0C72ABBA"/>
    <w:rsid w:val="0C812368"/>
    <w:rsid w:val="0CA034D5"/>
    <w:rsid w:val="0D19A209"/>
    <w:rsid w:val="0D8F79B8"/>
    <w:rsid w:val="0DFF268A"/>
    <w:rsid w:val="0E60A65C"/>
    <w:rsid w:val="0EB39C90"/>
    <w:rsid w:val="0EC7D0A9"/>
    <w:rsid w:val="0EECBDBC"/>
    <w:rsid w:val="0F0AF57F"/>
    <w:rsid w:val="0F75381E"/>
    <w:rsid w:val="0FA23BE9"/>
    <w:rsid w:val="0FB31E52"/>
    <w:rsid w:val="0FC8537E"/>
    <w:rsid w:val="1029D7D0"/>
    <w:rsid w:val="1042BDB6"/>
    <w:rsid w:val="10CEBCAC"/>
    <w:rsid w:val="10F13913"/>
    <w:rsid w:val="11138EA7"/>
    <w:rsid w:val="114EF82E"/>
    <w:rsid w:val="1176FE7E"/>
    <w:rsid w:val="118BB772"/>
    <w:rsid w:val="1228F214"/>
    <w:rsid w:val="12783F57"/>
    <w:rsid w:val="12A893AA"/>
    <w:rsid w:val="12C25CBB"/>
    <w:rsid w:val="12CA0CFD"/>
    <w:rsid w:val="12E6FE30"/>
    <w:rsid w:val="1305D39A"/>
    <w:rsid w:val="13359358"/>
    <w:rsid w:val="133DC259"/>
    <w:rsid w:val="13591E3E"/>
    <w:rsid w:val="1377EDF2"/>
    <w:rsid w:val="1414514E"/>
    <w:rsid w:val="1426EC2B"/>
    <w:rsid w:val="1512D706"/>
    <w:rsid w:val="1526CEFF"/>
    <w:rsid w:val="1548177B"/>
    <w:rsid w:val="15843DC6"/>
    <w:rsid w:val="15BE3448"/>
    <w:rsid w:val="16513018"/>
    <w:rsid w:val="16CAD004"/>
    <w:rsid w:val="174E28EA"/>
    <w:rsid w:val="1751FB0E"/>
    <w:rsid w:val="176BD8A4"/>
    <w:rsid w:val="177FF9C2"/>
    <w:rsid w:val="1791A821"/>
    <w:rsid w:val="17E45F5E"/>
    <w:rsid w:val="185ABF1B"/>
    <w:rsid w:val="18762944"/>
    <w:rsid w:val="18A45B14"/>
    <w:rsid w:val="19393A9C"/>
    <w:rsid w:val="19468FA0"/>
    <w:rsid w:val="1A240945"/>
    <w:rsid w:val="1A37B132"/>
    <w:rsid w:val="1A498012"/>
    <w:rsid w:val="1A59DD7F"/>
    <w:rsid w:val="1A63A6F5"/>
    <w:rsid w:val="1A8B00B3"/>
    <w:rsid w:val="1AF01C70"/>
    <w:rsid w:val="1B24E943"/>
    <w:rsid w:val="1BBFE1E9"/>
    <w:rsid w:val="1BCEA719"/>
    <w:rsid w:val="1C843403"/>
    <w:rsid w:val="1CFC11D4"/>
    <w:rsid w:val="1D4A9B66"/>
    <w:rsid w:val="1D70C985"/>
    <w:rsid w:val="1D9C8743"/>
    <w:rsid w:val="1DB5730B"/>
    <w:rsid w:val="1E0F2BA7"/>
    <w:rsid w:val="1E5B7014"/>
    <w:rsid w:val="1E72EB0C"/>
    <w:rsid w:val="1E7F035C"/>
    <w:rsid w:val="1E897DF1"/>
    <w:rsid w:val="1E93F6DB"/>
    <w:rsid w:val="1EAF3A06"/>
    <w:rsid w:val="1ED4CA9B"/>
    <w:rsid w:val="1F4D5A1F"/>
    <w:rsid w:val="1FB5B4E1"/>
    <w:rsid w:val="1FFA57E5"/>
    <w:rsid w:val="201FA679"/>
    <w:rsid w:val="2049C0FC"/>
    <w:rsid w:val="204FD31A"/>
    <w:rsid w:val="205C4E1D"/>
    <w:rsid w:val="20CD4657"/>
    <w:rsid w:val="212DDFAD"/>
    <w:rsid w:val="21A9F7A9"/>
    <w:rsid w:val="22140690"/>
    <w:rsid w:val="222CD415"/>
    <w:rsid w:val="22A203B8"/>
    <w:rsid w:val="22BF267C"/>
    <w:rsid w:val="22D78D02"/>
    <w:rsid w:val="23053694"/>
    <w:rsid w:val="2310E6E7"/>
    <w:rsid w:val="2329F4DC"/>
    <w:rsid w:val="236A8C96"/>
    <w:rsid w:val="23C42323"/>
    <w:rsid w:val="23F6DC72"/>
    <w:rsid w:val="24245483"/>
    <w:rsid w:val="244CD260"/>
    <w:rsid w:val="246C4A86"/>
    <w:rsid w:val="24DD1EFB"/>
    <w:rsid w:val="2508757A"/>
    <w:rsid w:val="25488EB1"/>
    <w:rsid w:val="256DB9F1"/>
    <w:rsid w:val="2571E3DC"/>
    <w:rsid w:val="25B0A6FA"/>
    <w:rsid w:val="26479AE8"/>
    <w:rsid w:val="2655D3C4"/>
    <w:rsid w:val="26A5E2CB"/>
    <w:rsid w:val="270E8399"/>
    <w:rsid w:val="27367607"/>
    <w:rsid w:val="27B78D09"/>
    <w:rsid w:val="27EE227E"/>
    <w:rsid w:val="2828A381"/>
    <w:rsid w:val="2837FCB2"/>
    <w:rsid w:val="28B328A9"/>
    <w:rsid w:val="294332AA"/>
    <w:rsid w:val="298BE35F"/>
    <w:rsid w:val="299F7B69"/>
    <w:rsid w:val="2A6500A2"/>
    <w:rsid w:val="2A6DE96F"/>
    <w:rsid w:val="2A728313"/>
    <w:rsid w:val="2A8F5446"/>
    <w:rsid w:val="2A9A6217"/>
    <w:rsid w:val="2AE5BAD1"/>
    <w:rsid w:val="2AF3956E"/>
    <w:rsid w:val="2B62CC10"/>
    <w:rsid w:val="2B9B51E5"/>
    <w:rsid w:val="2BDCBAD6"/>
    <w:rsid w:val="2C032B38"/>
    <w:rsid w:val="2C20A723"/>
    <w:rsid w:val="2C48A145"/>
    <w:rsid w:val="2C4C54FB"/>
    <w:rsid w:val="2C87603D"/>
    <w:rsid w:val="2CE21A38"/>
    <w:rsid w:val="2CFCEE18"/>
    <w:rsid w:val="2D0F4FDB"/>
    <w:rsid w:val="2D3D51C5"/>
    <w:rsid w:val="2D8884A4"/>
    <w:rsid w:val="2D956709"/>
    <w:rsid w:val="2DA0BEFB"/>
    <w:rsid w:val="2E3FF344"/>
    <w:rsid w:val="2E7AE984"/>
    <w:rsid w:val="2ED9D425"/>
    <w:rsid w:val="2EEE6321"/>
    <w:rsid w:val="2F000D46"/>
    <w:rsid w:val="2F6D663D"/>
    <w:rsid w:val="2F91ADFB"/>
    <w:rsid w:val="2FC3C7E0"/>
    <w:rsid w:val="2FF80529"/>
    <w:rsid w:val="3003599A"/>
    <w:rsid w:val="3003AFD6"/>
    <w:rsid w:val="300CEB06"/>
    <w:rsid w:val="3078C3CB"/>
    <w:rsid w:val="30878968"/>
    <w:rsid w:val="30B58822"/>
    <w:rsid w:val="30CEC082"/>
    <w:rsid w:val="30D7B15E"/>
    <w:rsid w:val="30DBB1A0"/>
    <w:rsid w:val="30F8481D"/>
    <w:rsid w:val="314842DD"/>
    <w:rsid w:val="316A0137"/>
    <w:rsid w:val="31809CF5"/>
    <w:rsid w:val="31D6E1C3"/>
    <w:rsid w:val="32F724C4"/>
    <w:rsid w:val="33065315"/>
    <w:rsid w:val="3307DB81"/>
    <w:rsid w:val="3312E269"/>
    <w:rsid w:val="334F3888"/>
    <w:rsid w:val="334F5D25"/>
    <w:rsid w:val="3380CB53"/>
    <w:rsid w:val="33C8115E"/>
    <w:rsid w:val="33E9790E"/>
    <w:rsid w:val="342CB517"/>
    <w:rsid w:val="3435DE48"/>
    <w:rsid w:val="346348F4"/>
    <w:rsid w:val="347594B9"/>
    <w:rsid w:val="34D84018"/>
    <w:rsid w:val="34D97DD0"/>
    <w:rsid w:val="34F9C916"/>
    <w:rsid w:val="352AD3B4"/>
    <w:rsid w:val="35BA1FD3"/>
    <w:rsid w:val="35CE348B"/>
    <w:rsid w:val="36263897"/>
    <w:rsid w:val="363D06C7"/>
    <w:rsid w:val="3641C241"/>
    <w:rsid w:val="3714E278"/>
    <w:rsid w:val="3733CDAF"/>
    <w:rsid w:val="373DEBD8"/>
    <w:rsid w:val="37C13F77"/>
    <w:rsid w:val="38133B43"/>
    <w:rsid w:val="3836846C"/>
    <w:rsid w:val="3847E113"/>
    <w:rsid w:val="38BF99D5"/>
    <w:rsid w:val="38F56BC4"/>
    <w:rsid w:val="39BCA520"/>
    <w:rsid w:val="39DC7FB1"/>
    <w:rsid w:val="39F97308"/>
    <w:rsid w:val="39FAF8AC"/>
    <w:rsid w:val="3A0D8500"/>
    <w:rsid w:val="3A1D0890"/>
    <w:rsid w:val="3AE7C295"/>
    <w:rsid w:val="3BCC4591"/>
    <w:rsid w:val="3BE8A93F"/>
    <w:rsid w:val="3CAE316F"/>
    <w:rsid w:val="3CAF7F09"/>
    <w:rsid w:val="3CBFBF03"/>
    <w:rsid w:val="3CCE2E86"/>
    <w:rsid w:val="3CD44471"/>
    <w:rsid w:val="3CDBBFCA"/>
    <w:rsid w:val="3D017BBC"/>
    <w:rsid w:val="3D1BC8ED"/>
    <w:rsid w:val="3D4265E2"/>
    <w:rsid w:val="3DE8F10B"/>
    <w:rsid w:val="3DF4D1BE"/>
    <w:rsid w:val="3E8477E1"/>
    <w:rsid w:val="3ED1FD8A"/>
    <w:rsid w:val="3EF9EA20"/>
    <w:rsid w:val="3F9465DA"/>
    <w:rsid w:val="3FFA6CAF"/>
    <w:rsid w:val="4038BD7D"/>
    <w:rsid w:val="405508F8"/>
    <w:rsid w:val="406AF0A8"/>
    <w:rsid w:val="4109C18D"/>
    <w:rsid w:val="4161D981"/>
    <w:rsid w:val="419DDAD6"/>
    <w:rsid w:val="41A7A95A"/>
    <w:rsid w:val="41EA3DC8"/>
    <w:rsid w:val="420346C4"/>
    <w:rsid w:val="42809FF7"/>
    <w:rsid w:val="429E766D"/>
    <w:rsid w:val="42E34CF1"/>
    <w:rsid w:val="4355E940"/>
    <w:rsid w:val="43696494"/>
    <w:rsid w:val="43A55F3A"/>
    <w:rsid w:val="43C97152"/>
    <w:rsid w:val="43F0E181"/>
    <w:rsid w:val="44182413"/>
    <w:rsid w:val="443CAFFA"/>
    <w:rsid w:val="44622C91"/>
    <w:rsid w:val="446B897C"/>
    <w:rsid w:val="45045F75"/>
    <w:rsid w:val="45241A4E"/>
    <w:rsid w:val="45A49468"/>
    <w:rsid w:val="45DFAAE0"/>
    <w:rsid w:val="463926B7"/>
    <w:rsid w:val="4656850E"/>
    <w:rsid w:val="46E1F1EE"/>
    <w:rsid w:val="46F619F7"/>
    <w:rsid w:val="4777EE6E"/>
    <w:rsid w:val="479CC179"/>
    <w:rsid w:val="47D40669"/>
    <w:rsid w:val="482F62CF"/>
    <w:rsid w:val="484170A7"/>
    <w:rsid w:val="4848EB07"/>
    <w:rsid w:val="4875872E"/>
    <w:rsid w:val="49190F39"/>
    <w:rsid w:val="49DBEB3C"/>
    <w:rsid w:val="4A3B296B"/>
    <w:rsid w:val="4A5B074B"/>
    <w:rsid w:val="4A7C8F75"/>
    <w:rsid w:val="4AC225E4"/>
    <w:rsid w:val="4AF90E9A"/>
    <w:rsid w:val="4B2A9228"/>
    <w:rsid w:val="4B50F315"/>
    <w:rsid w:val="4B6CC018"/>
    <w:rsid w:val="4B7FA7AB"/>
    <w:rsid w:val="4B9D8125"/>
    <w:rsid w:val="4BDFF716"/>
    <w:rsid w:val="4BEE8BE6"/>
    <w:rsid w:val="4C072D03"/>
    <w:rsid w:val="4C156B51"/>
    <w:rsid w:val="4C4625BC"/>
    <w:rsid w:val="4C8E13D2"/>
    <w:rsid w:val="4CA4FF1A"/>
    <w:rsid w:val="4CF0B26E"/>
    <w:rsid w:val="4E2A9AF0"/>
    <w:rsid w:val="4E4ECCFE"/>
    <w:rsid w:val="4E832858"/>
    <w:rsid w:val="4EAE5038"/>
    <w:rsid w:val="4EFFD9DA"/>
    <w:rsid w:val="4F11121E"/>
    <w:rsid w:val="4F5EE2A2"/>
    <w:rsid w:val="4F919E62"/>
    <w:rsid w:val="4FA124C5"/>
    <w:rsid w:val="4FA65406"/>
    <w:rsid w:val="4FE8C28D"/>
    <w:rsid w:val="502A2F87"/>
    <w:rsid w:val="503F7CAD"/>
    <w:rsid w:val="5043826D"/>
    <w:rsid w:val="508D4BA3"/>
    <w:rsid w:val="5095073D"/>
    <w:rsid w:val="50B66979"/>
    <w:rsid w:val="510D78DF"/>
    <w:rsid w:val="511C070E"/>
    <w:rsid w:val="5122D0C0"/>
    <w:rsid w:val="51253593"/>
    <w:rsid w:val="51561991"/>
    <w:rsid w:val="51DE0874"/>
    <w:rsid w:val="51E6D57B"/>
    <w:rsid w:val="51EB6FA3"/>
    <w:rsid w:val="521FC097"/>
    <w:rsid w:val="528ABFFD"/>
    <w:rsid w:val="52CE8BC1"/>
    <w:rsid w:val="52DC0849"/>
    <w:rsid w:val="530B0C73"/>
    <w:rsid w:val="5324081C"/>
    <w:rsid w:val="53374AEB"/>
    <w:rsid w:val="5345A645"/>
    <w:rsid w:val="53494E4A"/>
    <w:rsid w:val="53652C16"/>
    <w:rsid w:val="53C19C1D"/>
    <w:rsid w:val="53E82EC0"/>
    <w:rsid w:val="542B4D59"/>
    <w:rsid w:val="5436020F"/>
    <w:rsid w:val="54411635"/>
    <w:rsid w:val="544D8B2E"/>
    <w:rsid w:val="54795A24"/>
    <w:rsid w:val="54A23135"/>
    <w:rsid w:val="54B18147"/>
    <w:rsid w:val="54E271E9"/>
    <w:rsid w:val="554137B2"/>
    <w:rsid w:val="55609113"/>
    <w:rsid w:val="5564D4DF"/>
    <w:rsid w:val="5566BDB4"/>
    <w:rsid w:val="558FC614"/>
    <w:rsid w:val="55E69EFE"/>
    <w:rsid w:val="56A9FCF8"/>
    <w:rsid w:val="56C95AEC"/>
    <w:rsid w:val="56FE8345"/>
    <w:rsid w:val="5700AD5C"/>
    <w:rsid w:val="572CFED2"/>
    <w:rsid w:val="57658062"/>
    <w:rsid w:val="576E9C4D"/>
    <w:rsid w:val="5844ABB7"/>
    <w:rsid w:val="586C5E38"/>
    <w:rsid w:val="58AD6465"/>
    <w:rsid w:val="59119D86"/>
    <w:rsid w:val="591F5BF4"/>
    <w:rsid w:val="593C0B0E"/>
    <w:rsid w:val="5962D5C6"/>
    <w:rsid w:val="59BAD2FB"/>
    <w:rsid w:val="59E1363A"/>
    <w:rsid w:val="5A296EF6"/>
    <w:rsid w:val="5AB25733"/>
    <w:rsid w:val="5AC84921"/>
    <w:rsid w:val="5ACC6AEF"/>
    <w:rsid w:val="5ACD330A"/>
    <w:rsid w:val="5AF6CE57"/>
    <w:rsid w:val="5B54AB89"/>
    <w:rsid w:val="5B667D39"/>
    <w:rsid w:val="5B8D8086"/>
    <w:rsid w:val="5BC11D09"/>
    <w:rsid w:val="5BD53928"/>
    <w:rsid w:val="5BF861AE"/>
    <w:rsid w:val="5C413F30"/>
    <w:rsid w:val="5C9C25AC"/>
    <w:rsid w:val="5CAE1735"/>
    <w:rsid w:val="5CC3D587"/>
    <w:rsid w:val="5D54E603"/>
    <w:rsid w:val="5D6789EC"/>
    <w:rsid w:val="5D72DECE"/>
    <w:rsid w:val="5DC5F222"/>
    <w:rsid w:val="5E1EB753"/>
    <w:rsid w:val="5E5EA71A"/>
    <w:rsid w:val="5E7A3EA8"/>
    <w:rsid w:val="5EEC84DB"/>
    <w:rsid w:val="5F09B276"/>
    <w:rsid w:val="5F44A383"/>
    <w:rsid w:val="5F613C7F"/>
    <w:rsid w:val="603199B8"/>
    <w:rsid w:val="60417356"/>
    <w:rsid w:val="6069DA30"/>
    <w:rsid w:val="6106D3BE"/>
    <w:rsid w:val="611F97B1"/>
    <w:rsid w:val="61434D57"/>
    <w:rsid w:val="61F30F65"/>
    <w:rsid w:val="61F4FA24"/>
    <w:rsid w:val="620AFB51"/>
    <w:rsid w:val="6229BADE"/>
    <w:rsid w:val="62639E69"/>
    <w:rsid w:val="629C5DEC"/>
    <w:rsid w:val="62B10F1E"/>
    <w:rsid w:val="62DB2244"/>
    <w:rsid w:val="63B434CA"/>
    <w:rsid w:val="63C8C1A8"/>
    <w:rsid w:val="63DD5631"/>
    <w:rsid w:val="64034E50"/>
    <w:rsid w:val="642ACACD"/>
    <w:rsid w:val="642CA3D4"/>
    <w:rsid w:val="646748F0"/>
    <w:rsid w:val="6497B3FB"/>
    <w:rsid w:val="64B2CBBC"/>
    <w:rsid w:val="65426B97"/>
    <w:rsid w:val="65606CC0"/>
    <w:rsid w:val="65A3C8FA"/>
    <w:rsid w:val="65AC663F"/>
    <w:rsid w:val="65F52436"/>
    <w:rsid w:val="662A6DE4"/>
    <w:rsid w:val="669D32CF"/>
    <w:rsid w:val="66B6F80D"/>
    <w:rsid w:val="6708E329"/>
    <w:rsid w:val="670E2729"/>
    <w:rsid w:val="67566DDB"/>
    <w:rsid w:val="676D1E00"/>
    <w:rsid w:val="677B040A"/>
    <w:rsid w:val="677D7CD6"/>
    <w:rsid w:val="678900EF"/>
    <w:rsid w:val="6790470D"/>
    <w:rsid w:val="679CE17F"/>
    <w:rsid w:val="67C385A2"/>
    <w:rsid w:val="67D4EE26"/>
    <w:rsid w:val="681FF976"/>
    <w:rsid w:val="68266FF2"/>
    <w:rsid w:val="6839CD2C"/>
    <w:rsid w:val="6843FB2C"/>
    <w:rsid w:val="684EBD8E"/>
    <w:rsid w:val="68814E11"/>
    <w:rsid w:val="692D90AD"/>
    <w:rsid w:val="69790100"/>
    <w:rsid w:val="699300C2"/>
    <w:rsid w:val="69C986F4"/>
    <w:rsid w:val="69D83B9B"/>
    <w:rsid w:val="69FDB8EB"/>
    <w:rsid w:val="6A074CFD"/>
    <w:rsid w:val="6A194B4C"/>
    <w:rsid w:val="6A393A40"/>
    <w:rsid w:val="6AB836C6"/>
    <w:rsid w:val="6B071C8B"/>
    <w:rsid w:val="6B2038E8"/>
    <w:rsid w:val="6B5830FB"/>
    <w:rsid w:val="6B64E895"/>
    <w:rsid w:val="6B8CC6D8"/>
    <w:rsid w:val="6B8FA4A6"/>
    <w:rsid w:val="6BCB6929"/>
    <w:rsid w:val="6C6AADF1"/>
    <w:rsid w:val="6C81FF52"/>
    <w:rsid w:val="6D09CE3E"/>
    <w:rsid w:val="6D6B5E6F"/>
    <w:rsid w:val="6DEAE17B"/>
    <w:rsid w:val="6E06064C"/>
    <w:rsid w:val="6E363CEA"/>
    <w:rsid w:val="6E6A27F1"/>
    <w:rsid w:val="6E91CA86"/>
    <w:rsid w:val="6F169957"/>
    <w:rsid w:val="6F7C7E23"/>
    <w:rsid w:val="6F8CC25B"/>
    <w:rsid w:val="7002B45B"/>
    <w:rsid w:val="7021E099"/>
    <w:rsid w:val="709628DE"/>
    <w:rsid w:val="70C6A36C"/>
    <w:rsid w:val="70FBD3CA"/>
    <w:rsid w:val="715680FE"/>
    <w:rsid w:val="71767663"/>
    <w:rsid w:val="722AE658"/>
    <w:rsid w:val="72360EE3"/>
    <w:rsid w:val="72BCA84B"/>
    <w:rsid w:val="72EA6270"/>
    <w:rsid w:val="72F02508"/>
    <w:rsid w:val="734C3263"/>
    <w:rsid w:val="73AB8917"/>
    <w:rsid w:val="73F4B5A3"/>
    <w:rsid w:val="741AE42D"/>
    <w:rsid w:val="7420C8DF"/>
    <w:rsid w:val="743F8031"/>
    <w:rsid w:val="749A0C60"/>
    <w:rsid w:val="758AC1DA"/>
    <w:rsid w:val="75FACE14"/>
    <w:rsid w:val="769FDD6E"/>
    <w:rsid w:val="76A79B91"/>
    <w:rsid w:val="76B8DD22"/>
    <w:rsid w:val="76DBEC12"/>
    <w:rsid w:val="771B984F"/>
    <w:rsid w:val="7736E06C"/>
    <w:rsid w:val="773F119F"/>
    <w:rsid w:val="7757D8FE"/>
    <w:rsid w:val="77B2FDD3"/>
    <w:rsid w:val="77FE0786"/>
    <w:rsid w:val="7845A1AB"/>
    <w:rsid w:val="785F4D47"/>
    <w:rsid w:val="7865DFCF"/>
    <w:rsid w:val="78AB0D70"/>
    <w:rsid w:val="78EDEBBA"/>
    <w:rsid w:val="790B28F6"/>
    <w:rsid w:val="79B60406"/>
    <w:rsid w:val="79C401AA"/>
    <w:rsid w:val="79F6BB4A"/>
    <w:rsid w:val="7A611089"/>
    <w:rsid w:val="7B5573DB"/>
    <w:rsid w:val="7BEBCFDE"/>
    <w:rsid w:val="7C36F6C1"/>
    <w:rsid w:val="7C38B562"/>
    <w:rsid w:val="7C414944"/>
    <w:rsid w:val="7C8570FB"/>
    <w:rsid w:val="7CFAB941"/>
    <w:rsid w:val="7D0F3532"/>
    <w:rsid w:val="7D2809FF"/>
    <w:rsid w:val="7D7FE0D3"/>
    <w:rsid w:val="7DDE6A9A"/>
    <w:rsid w:val="7DDFB64E"/>
    <w:rsid w:val="7E35BD28"/>
    <w:rsid w:val="7EA3BBE0"/>
    <w:rsid w:val="7EAEE009"/>
    <w:rsid w:val="7EB7777E"/>
    <w:rsid w:val="7EC965D8"/>
    <w:rsid w:val="7ED008E3"/>
    <w:rsid w:val="7EE1D8E0"/>
    <w:rsid w:val="7EF838E8"/>
    <w:rsid w:val="7F56DCA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EBA3F"/>
  <w15:chartTrackingRefBased/>
  <w15:docId w15:val="{52E31249-CD6F-4498-A9AA-240857AE7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0D7"/>
    <w:rPr>
      <w:rFonts w:ascii="Times New Roman" w:eastAsia="Times New Roman" w:hAnsi="Times New Roman" w:cs="Times New Roman"/>
      <w:kern w:val="0"/>
      <w14:ligatures w14:val="none"/>
    </w:rPr>
  </w:style>
  <w:style w:type="paragraph" w:styleId="Titre1">
    <w:name w:val="heading 1"/>
    <w:basedOn w:val="Normal"/>
    <w:next w:val="Normal"/>
    <w:link w:val="Titre1Car"/>
    <w:uiPriority w:val="9"/>
    <w:qFormat/>
    <w:rsid w:val="00442E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42E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42EC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42EC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442EC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2ECC"/>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2ECC"/>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2ECC"/>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2ECC"/>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2EC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42EC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42EC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42ECC"/>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442EC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2EC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2EC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2EC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2ECC"/>
    <w:rPr>
      <w:rFonts w:eastAsiaTheme="majorEastAsia" w:cstheme="majorBidi"/>
      <w:color w:val="272727" w:themeColor="text1" w:themeTint="D8"/>
    </w:rPr>
  </w:style>
  <w:style w:type="paragraph" w:styleId="Titre">
    <w:name w:val="Title"/>
    <w:basedOn w:val="Normal"/>
    <w:next w:val="Normal"/>
    <w:link w:val="TitreCar"/>
    <w:uiPriority w:val="10"/>
    <w:qFormat/>
    <w:rsid w:val="00442ECC"/>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2EC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2ECC"/>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2EC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2ECC"/>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442ECC"/>
    <w:rPr>
      <w:i/>
      <w:iCs/>
      <w:color w:val="404040" w:themeColor="text1" w:themeTint="BF"/>
    </w:rPr>
  </w:style>
  <w:style w:type="paragraph" w:styleId="Paragraphedeliste">
    <w:name w:val="List Paragraph"/>
    <w:basedOn w:val="Normal"/>
    <w:uiPriority w:val="34"/>
    <w:qFormat/>
    <w:rsid w:val="00442ECC"/>
    <w:pPr>
      <w:ind w:left="720"/>
      <w:contextualSpacing/>
    </w:pPr>
  </w:style>
  <w:style w:type="character" w:styleId="Accentuationintense">
    <w:name w:val="Intense Emphasis"/>
    <w:basedOn w:val="Policepardfaut"/>
    <w:uiPriority w:val="21"/>
    <w:qFormat/>
    <w:rsid w:val="00442ECC"/>
    <w:rPr>
      <w:i/>
      <w:iCs/>
      <w:color w:val="0F4761" w:themeColor="accent1" w:themeShade="BF"/>
    </w:rPr>
  </w:style>
  <w:style w:type="paragraph" w:styleId="Citationintense">
    <w:name w:val="Intense Quote"/>
    <w:basedOn w:val="Normal"/>
    <w:next w:val="Normal"/>
    <w:link w:val="CitationintenseCar"/>
    <w:uiPriority w:val="30"/>
    <w:qFormat/>
    <w:rsid w:val="00442E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2ECC"/>
    <w:rPr>
      <w:i/>
      <w:iCs/>
      <w:color w:val="0F4761" w:themeColor="accent1" w:themeShade="BF"/>
    </w:rPr>
  </w:style>
  <w:style w:type="character" w:styleId="Rfrenceintense">
    <w:name w:val="Intense Reference"/>
    <w:basedOn w:val="Policepardfaut"/>
    <w:uiPriority w:val="32"/>
    <w:qFormat/>
    <w:rsid w:val="00442ECC"/>
    <w:rPr>
      <w:b/>
      <w:bCs/>
      <w:smallCaps/>
      <w:color w:val="0F4761" w:themeColor="accent1" w:themeShade="BF"/>
      <w:spacing w:val="5"/>
    </w:rPr>
  </w:style>
  <w:style w:type="paragraph" w:styleId="En-ttedetabledesmatires">
    <w:name w:val="TOC Heading"/>
    <w:basedOn w:val="Titre1"/>
    <w:next w:val="Normal"/>
    <w:uiPriority w:val="39"/>
    <w:unhideWhenUsed/>
    <w:qFormat/>
    <w:rsid w:val="00442ECC"/>
    <w:pPr>
      <w:spacing w:before="480" w:after="0" w:line="276" w:lineRule="auto"/>
      <w:outlineLvl w:val="9"/>
    </w:pPr>
    <w:rPr>
      <w:b/>
      <w:bCs/>
      <w:sz w:val="28"/>
      <w:szCs w:val="28"/>
      <w:lang w:val="en-US"/>
    </w:rPr>
  </w:style>
  <w:style w:type="paragraph" w:styleId="TM1">
    <w:name w:val="toc 1"/>
    <w:basedOn w:val="Normal"/>
    <w:next w:val="Normal"/>
    <w:autoRedefine/>
    <w:uiPriority w:val="39"/>
    <w:unhideWhenUsed/>
    <w:rsid w:val="00442ECC"/>
    <w:pPr>
      <w:spacing w:before="120"/>
    </w:pPr>
    <w:rPr>
      <w:b/>
      <w:bCs/>
      <w:i/>
      <w:iCs/>
    </w:rPr>
  </w:style>
  <w:style w:type="paragraph" w:styleId="TM2">
    <w:name w:val="toc 2"/>
    <w:basedOn w:val="Normal"/>
    <w:next w:val="Normal"/>
    <w:autoRedefine/>
    <w:uiPriority w:val="39"/>
    <w:unhideWhenUsed/>
    <w:rsid w:val="00442ECC"/>
    <w:pPr>
      <w:spacing w:before="120"/>
      <w:ind w:left="240"/>
    </w:pPr>
    <w:rPr>
      <w:b/>
      <w:bCs/>
      <w:sz w:val="22"/>
      <w:szCs w:val="22"/>
    </w:rPr>
  </w:style>
  <w:style w:type="character" w:styleId="Hyperlien">
    <w:name w:val="Hyperlink"/>
    <w:basedOn w:val="Policepardfaut"/>
    <w:uiPriority w:val="99"/>
    <w:unhideWhenUsed/>
    <w:rsid w:val="00442ECC"/>
    <w:rPr>
      <w:color w:val="467886" w:themeColor="hyperlink"/>
      <w:u w:val="single"/>
    </w:rPr>
  </w:style>
  <w:style w:type="paragraph" w:styleId="TM3">
    <w:name w:val="toc 3"/>
    <w:basedOn w:val="Normal"/>
    <w:next w:val="Normal"/>
    <w:autoRedefine/>
    <w:uiPriority w:val="39"/>
    <w:unhideWhenUsed/>
    <w:rsid w:val="00442ECC"/>
    <w:pPr>
      <w:ind w:left="480"/>
    </w:pPr>
    <w:rPr>
      <w:sz w:val="20"/>
      <w:szCs w:val="20"/>
    </w:rPr>
  </w:style>
  <w:style w:type="paragraph" w:styleId="TM4">
    <w:name w:val="toc 4"/>
    <w:basedOn w:val="Normal"/>
    <w:next w:val="Normal"/>
    <w:autoRedefine/>
    <w:uiPriority w:val="39"/>
    <w:semiHidden/>
    <w:unhideWhenUsed/>
    <w:rsid w:val="00442ECC"/>
    <w:pPr>
      <w:ind w:left="720"/>
    </w:pPr>
    <w:rPr>
      <w:sz w:val="20"/>
      <w:szCs w:val="20"/>
    </w:rPr>
  </w:style>
  <w:style w:type="paragraph" w:styleId="TM5">
    <w:name w:val="toc 5"/>
    <w:basedOn w:val="Normal"/>
    <w:next w:val="Normal"/>
    <w:autoRedefine/>
    <w:uiPriority w:val="39"/>
    <w:semiHidden/>
    <w:unhideWhenUsed/>
    <w:rsid w:val="00442ECC"/>
    <w:pPr>
      <w:ind w:left="960"/>
    </w:pPr>
    <w:rPr>
      <w:sz w:val="20"/>
      <w:szCs w:val="20"/>
    </w:rPr>
  </w:style>
  <w:style w:type="paragraph" w:styleId="TM6">
    <w:name w:val="toc 6"/>
    <w:basedOn w:val="Normal"/>
    <w:next w:val="Normal"/>
    <w:autoRedefine/>
    <w:uiPriority w:val="39"/>
    <w:semiHidden/>
    <w:unhideWhenUsed/>
    <w:rsid w:val="00442ECC"/>
    <w:pPr>
      <w:ind w:left="1200"/>
    </w:pPr>
    <w:rPr>
      <w:sz w:val="20"/>
      <w:szCs w:val="20"/>
    </w:rPr>
  </w:style>
  <w:style w:type="paragraph" w:styleId="TM7">
    <w:name w:val="toc 7"/>
    <w:basedOn w:val="Normal"/>
    <w:next w:val="Normal"/>
    <w:autoRedefine/>
    <w:uiPriority w:val="39"/>
    <w:semiHidden/>
    <w:unhideWhenUsed/>
    <w:rsid w:val="00442ECC"/>
    <w:pPr>
      <w:ind w:left="1440"/>
    </w:pPr>
    <w:rPr>
      <w:sz w:val="20"/>
      <w:szCs w:val="20"/>
    </w:rPr>
  </w:style>
  <w:style w:type="paragraph" w:styleId="TM8">
    <w:name w:val="toc 8"/>
    <w:basedOn w:val="Normal"/>
    <w:next w:val="Normal"/>
    <w:autoRedefine/>
    <w:uiPriority w:val="39"/>
    <w:semiHidden/>
    <w:unhideWhenUsed/>
    <w:rsid w:val="00442ECC"/>
    <w:pPr>
      <w:ind w:left="1680"/>
    </w:pPr>
    <w:rPr>
      <w:sz w:val="20"/>
      <w:szCs w:val="20"/>
    </w:rPr>
  </w:style>
  <w:style w:type="paragraph" w:styleId="TM9">
    <w:name w:val="toc 9"/>
    <w:basedOn w:val="Normal"/>
    <w:next w:val="Normal"/>
    <w:autoRedefine/>
    <w:uiPriority w:val="39"/>
    <w:semiHidden/>
    <w:unhideWhenUsed/>
    <w:rsid w:val="00442ECC"/>
    <w:pPr>
      <w:ind w:left="1920"/>
    </w:pPr>
    <w:rPr>
      <w:sz w:val="20"/>
      <w:szCs w:val="20"/>
    </w:rPr>
  </w:style>
  <w:style w:type="paragraph" w:styleId="Commentaire">
    <w:name w:val="annotation text"/>
    <w:basedOn w:val="Normal"/>
    <w:link w:val="CommentaireCar"/>
    <w:uiPriority w:val="99"/>
    <w:semiHidden/>
    <w:unhideWhenUsed/>
    <w:rsid w:val="00D65478"/>
    <w:rPr>
      <w:sz w:val="20"/>
      <w:szCs w:val="20"/>
    </w:rPr>
  </w:style>
  <w:style w:type="character" w:customStyle="1" w:styleId="CommentaireCar">
    <w:name w:val="Commentaire Car"/>
    <w:basedOn w:val="Policepardfaut"/>
    <w:link w:val="Commentaire"/>
    <w:uiPriority w:val="99"/>
    <w:semiHidden/>
    <w:rsid w:val="00D65478"/>
    <w:rPr>
      <w:sz w:val="20"/>
      <w:szCs w:val="20"/>
    </w:rPr>
  </w:style>
  <w:style w:type="character" w:styleId="Marquedecommentaire">
    <w:name w:val="annotation reference"/>
    <w:basedOn w:val="Policepardfaut"/>
    <w:uiPriority w:val="99"/>
    <w:semiHidden/>
    <w:unhideWhenUsed/>
    <w:rsid w:val="00D65478"/>
    <w:rPr>
      <w:sz w:val="16"/>
      <w:szCs w:val="16"/>
    </w:rPr>
  </w:style>
  <w:style w:type="paragraph" w:styleId="NormalWeb">
    <w:name w:val="Normal (Web)"/>
    <w:basedOn w:val="Normal"/>
    <w:uiPriority w:val="99"/>
    <w:unhideWhenUsed/>
    <w:rsid w:val="00C80A30"/>
    <w:pPr>
      <w:spacing w:before="100" w:beforeAutospacing="1" w:after="100" w:afterAutospacing="1"/>
    </w:pPr>
  </w:style>
  <w:style w:type="character" w:styleId="lev">
    <w:name w:val="Strong"/>
    <w:basedOn w:val="Policepardfaut"/>
    <w:uiPriority w:val="22"/>
    <w:qFormat/>
    <w:rsid w:val="00C80A30"/>
    <w:rPr>
      <w:b/>
      <w:bCs/>
    </w:rPr>
  </w:style>
  <w:style w:type="paragraph" w:styleId="Notedebasdepage">
    <w:name w:val="footnote text"/>
    <w:basedOn w:val="Normal"/>
    <w:link w:val="NotedebasdepageCar"/>
    <w:uiPriority w:val="99"/>
    <w:semiHidden/>
    <w:unhideWhenUsed/>
    <w:rsid w:val="5D54E603"/>
    <w:rPr>
      <w:sz w:val="20"/>
      <w:szCs w:val="20"/>
    </w:rPr>
  </w:style>
  <w:style w:type="character" w:styleId="Appelnotedebasdep">
    <w:name w:val="footnote reference"/>
    <w:basedOn w:val="Policepardfaut"/>
    <w:uiPriority w:val="99"/>
    <w:semiHidden/>
    <w:unhideWhenUsed/>
    <w:rPr>
      <w:vertAlign w:val="superscript"/>
    </w:rPr>
  </w:style>
  <w:style w:type="paragraph" w:styleId="En-tte">
    <w:name w:val="header"/>
    <w:basedOn w:val="Normal"/>
    <w:link w:val="En-tteCar"/>
    <w:uiPriority w:val="99"/>
    <w:unhideWhenUsed/>
    <w:rsid w:val="0022423C"/>
    <w:pPr>
      <w:tabs>
        <w:tab w:val="center" w:pos="4320"/>
        <w:tab w:val="right" w:pos="8640"/>
      </w:tabs>
    </w:pPr>
  </w:style>
  <w:style w:type="character" w:customStyle="1" w:styleId="En-tteCar">
    <w:name w:val="En-tête Car"/>
    <w:basedOn w:val="Policepardfaut"/>
    <w:link w:val="En-tte"/>
    <w:uiPriority w:val="99"/>
    <w:rsid w:val="0022423C"/>
    <w:rPr>
      <w:rFonts w:ascii="Times New Roman" w:eastAsia="Times New Roman" w:hAnsi="Times New Roman" w:cs="Times New Roman"/>
      <w:kern w:val="0"/>
      <w14:ligatures w14:val="none"/>
    </w:rPr>
  </w:style>
  <w:style w:type="paragraph" w:styleId="Pieddepage">
    <w:name w:val="footer"/>
    <w:basedOn w:val="Normal"/>
    <w:link w:val="PieddepageCar"/>
    <w:uiPriority w:val="99"/>
    <w:unhideWhenUsed/>
    <w:rsid w:val="0022423C"/>
    <w:pPr>
      <w:tabs>
        <w:tab w:val="center" w:pos="4320"/>
        <w:tab w:val="right" w:pos="8640"/>
      </w:tabs>
    </w:pPr>
  </w:style>
  <w:style w:type="character" w:customStyle="1" w:styleId="PieddepageCar">
    <w:name w:val="Pied de page Car"/>
    <w:basedOn w:val="Policepardfaut"/>
    <w:link w:val="Pieddepage"/>
    <w:uiPriority w:val="99"/>
    <w:rsid w:val="0022423C"/>
    <w:rPr>
      <w:rFonts w:ascii="Times New Roman" w:eastAsia="Times New Roman" w:hAnsi="Times New Roman" w:cs="Times New Roman"/>
      <w:kern w:val="0"/>
      <w14:ligatures w14:val="none"/>
    </w:rPr>
  </w:style>
  <w:style w:type="character" w:customStyle="1" w:styleId="oypena">
    <w:name w:val="oypena"/>
    <w:basedOn w:val="Policepardfaut"/>
    <w:rsid w:val="0071300A"/>
  </w:style>
  <w:style w:type="character" w:styleId="Mentionnonrsolue">
    <w:name w:val="Unresolved Mention"/>
    <w:basedOn w:val="Policepardfaut"/>
    <w:uiPriority w:val="99"/>
    <w:semiHidden/>
    <w:unhideWhenUsed/>
    <w:rsid w:val="006060A4"/>
    <w:rPr>
      <w:color w:val="605E5C"/>
      <w:shd w:val="clear" w:color="auto" w:fill="E1DFDD"/>
    </w:rPr>
  </w:style>
  <w:style w:type="character" w:customStyle="1" w:styleId="NotedebasdepageCar">
    <w:name w:val="Note de bas de page Car"/>
    <w:basedOn w:val="Policepardfaut"/>
    <w:link w:val="Notedebasdepage"/>
    <w:uiPriority w:val="99"/>
    <w:semiHidden/>
    <w:rsid w:val="00BC5A9C"/>
    <w:rPr>
      <w:rFonts w:ascii="Times New Roman" w:eastAsia="Times New Roman" w:hAnsi="Times New Roman" w:cs="Times New Roman"/>
      <w:kern w:val="0"/>
      <w:sz w:val="20"/>
      <w:szCs w:val="20"/>
      <w14:ligatures w14:val="none"/>
    </w:rPr>
  </w:style>
  <w:style w:type="table" w:styleId="Grilledutableau">
    <w:name w:val="Table Grid"/>
    <w:basedOn w:val="TableauNormal"/>
    <w:uiPriority w:val="39"/>
    <w:rsid w:val="009B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B624F"/>
    <w:pPr>
      <w:spacing w:after="200"/>
    </w:pPr>
    <w:rPr>
      <w:i/>
      <w:iCs/>
      <w:color w:val="0E2841" w:themeColor="text2"/>
      <w:sz w:val="18"/>
      <w:szCs w:val="18"/>
    </w:rPr>
  </w:style>
  <w:style w:type="character" w:styleId="Lienvisit">
    <w:name w:val="FollowedHyperlink"/>
    <w:basedOn w:val="Policepardfaut"/>
    <w:uiPriority w:val="99"/>
    <w:semiHidden/>
    <w:unhideWhenUsed/>
    <w:rsid w:val="006A75A5"/>
    <w:rPr>
      <w:color w:val="96607D" w:themeColor="followedHyperlink"/>
      <w:u w:val="single"/>
    </w:rPr>
  </w:style>
  <w:style w:type="paragraph" w:styleId="Objetducommentaire">
    <w:name w:val="annotation subject"/>
    <w:basedOn w:val="Commentaire"/>
    <w:next w:val="Commentaire"/>
    <w:link w:val="ObjetducommentaireCar"/>
    <w:uiPriority w:val="99"/>
    <w:semiHidden/>
    <w:unhideWhenUsed/>
    <w:rsid w:val="000754AC"/>
    <w:rPr>
      <w:b/>
      <w:bCs/>
    </w:rPr>
  </w:style>
  <w:style w:type="character" w:customStyle="1" w:styleId="ObjetducommentaireCar">
    <w:name w:val="Objet du commentaire Car"/>
    <w:basedOn w:val="CommentaireCar"/>
    <w:link w:val="Objetducommentaire"/>
    <w:uiPriority w:val="99"/>
    <w:semiHidden/>
    <w:rsid w:val="000754AC"/>
    <w:rPr>
      <w:rFonts w:ascii="Times New Roman" w:eastAsia="Times New Roman" w:hAnsi="Times New Roman" w:cs="Times New Roman"/>
      <w:b/>
      <w:bCs/>
      <w:kern w:val="0"/>
      <w:sz w:val="20"/>
      <w:szCs w:val="20"/>
      <w14:ligatures w14:val="none"/>
    </w:rPr>
  </w:style>
  <w:style w:type="paragraph" w:styleId="Tabledesillustrations">
    <w:name w:val="table of figures"/>
    <w:basedOn w:val="Normal"/>
    <w:next w:val="Normal"/>
    <w:uiPriority w:val="99"/>
    <w:unhideWhenUsed/>
    <w:rsid w:val="00D6694B"/>
  </w:style>
  <w:style w:type="character" w:styleId="Numrodepage">
    <w:name w:val="page number"/>
    <w:basedOn w:val="Policepardfaut"/>
    <w:uiPriority w:val="99"/>
    <w:semiHidden/>
    <w:unhideWhenUsed/>
    <w:rsid w:val="001635EF"/>
  </w:style>
  <w:style w:type="character" w:styleId="Accentuation">
    <w:name w:val="Emphasis"/>
    <w:basedOn w:val="Policepardfaut"/>
    <w:uiPriority w:val="20"/>
    <w:qFormat/>
    <w:rsid w:val="00CE6AE5"/>
    <w:rPr>
      <w:i/>
      <w:iCs/>
    </w:rPr>
  </w:style>
  <w:style w:type="character" w:customStyle="1" w:styleId="url">
    <w:name w:val="url"/>
    <w:basedOn w:val="Policepardfaut"/>
    <w:rsid w:val="00303A49"/>
  </w:style>
  <w:style w:type="paragraph" w:customStyle="1" w:styleId="Default">
    <w:name w:val="Default"/>
    <w:rsid w:val="00532D23"/>
    <w:pPr>
      <w:autoSpaceDE w:val="0"/>
      <w:autoSpaceDN w:val="0"/>
      <w:adjustRightInd w:val="0"/>
    </w:pPr>
    <w:rPr>
      <w:rFonts w:ascii="Cambria" w:hAnsi="Cambria" w:cs="Cambria"/>
      <w:color w:val="000000"/>
      <w:kern w:val="0"/>
      <w:lang w:val="fr-CA"/>
    </w:rPr>
  </w:style>
  <w:style w:type="character" w:styleId="Textedelespacerserv">
    <w:name w:val="Placeholder Text"/>
    <w:basedOn w:val="Policepardfaut"/>
    <w:uiPriority w:val="99"/>
    <w:semiHidden/>
    <w:rsid w:val="004334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1139">
      <w:bodyDiv w:val="1"/>
      <w:marLeft w:val="0"/>
      <w:marRight w:val="0"/>
      <w:marTop w:val="0"/>
      <w:marBottom w:val="0"/>
      <w:divBdr>
        <w:top w:val="none" w:sz="0" w:space="0" w:color="auto"/>
        <w:left w:val="none" w:sz="0" w:space="0" w:color="auto"/>
        <w:bottom w:val="none" w:sz="0" w:space="0" w:color="auto"/>
        <w:right w:val="none" w:sz="0" w:space="0" w:color="auto"/>
      </w:divBdr>
    </w:div>
    <w:div w:id="9308341">
      <w:bodyDiv w:val="1"/>
      <w:marLeft w:val="0"/>
      <w:marRight w:val="0"/>
      <w:marTop w:val="0"/>
      <w:marBottom w:val="0"/>
      <w:divBdr>
        <w:top w:val="none" w:sz="0" w:space="0" w:color="auto"/>
        <w:left w:val="none" w:sz="0" w:space="0" w:color="auto"/>
        <w:bottom w:val="none" w:sz="0" w:space="0" w:color="auto"/>
        <w:right w:val="none" w:sz="0" w:space="0" w:color="auto"/>
      </w:divBdr>
    </w:div>
    <w:div w:id="14231287">
      <w:bodyDiv w:val="1"/>
      <w:marLeft w:val="0"/>
      <w:marRight w:val="0"/>
      <w:marTop w:val="0"/>
      <w:marBottom w:val="0"/>
      <w:divBdr>
        <w:top w:val="none" w:sz="0" w:space="0" w:color="auto"/>
        <w:left w:val="none" w:sz="0" w:space="0" w:color="auto"/>
        <w:bottom w:val="none" w:sz="0" w:space="0" w:color="auto"/>
        <w:right w:val="none" w:sz="0" w:space="0" w:color="auto"/>
      </w:divBdr>
    </w:div>
    <w:div w:id="24596335">
      <w:bodyDiv w:val="1"/>
      <w:marLeft w:val="0"/>
      <w:marRight w:val="0"/>
      <w:marTop w:val="0"/>
      <w:marBottom w:val="0"/>
      <w:divBdr>
        <w:top w:val="none" w:sz="0" w:space="0" w:color="auto"/>
        <w:left w:val="none" w:sz="0" w:space="0" w:color="auto"/>
        <w:bottom w:val="none" w:sz="0" w:space="0" w:color="auto"/>
        <w:right w:val="none" w:sz="0" w:space="0" w:color="auto"/>
      </w:divBdr>
    </w:div>
    <w:div w:id="28458533">
      <w:bodyDiv w:val="1"/>
      <w:marLeft w:val="0"/>
      <w:marRight w:val="0"/>
      <w:marTop w:val="0"/>
      <w:marBottom w:val="0"/>
      <w:divBdr>
        <w:top w:val="none" w:sz="0" w:space="0" w:color="auto"/>
        <w:left w:val="none" w:sz="0" w:space="0" w:color="auto"/>
        <w:bottom w:val="none" w:sz="0" w:space="0" w:color="auto"/>
        <w:right w:val="none" w:sz="0" w:space="0" w:color="auto"/>
      </w:divBdr>
    </w:div>
    <w:div w:id="52311032">
      <w:bodyDiv w:val="1"/>
      <w:marLeft w:val="0"/>
      <w:marRight w:val="0"/>
      <w:marTop w:val="0"/>
      <w:marBottom w:val="0"/>
      <w:divBdr>
        <w:top w:val="none" w:sz="0" w:space="0" w:color="auto"/>
        <w:left w:val="none" w:sz="0" w:space="0" w:color="auto"/>
        <w:bottom w:val="none" w:sz="0" w:space="0" w:color="auto"/>
        <w:right w:val="none" w:sz="0" w:space="0" w:color="auto"/>
      </w:divBdr>
    </w:div>
    <w:div w:id="54008097">
      <w:bodyDiv w:val="1"/>
      <w:marLeft w:val="0"/>
      <w:marRight w:val="0"/>
      <w:marTop w:val="0"/>
      <w:marBottom w:val="0"/>
      <w:divBdr>
        <w:top w:val="none" w:sz="0" w:space="0" w:color="auto"/>
        <w:left w:val="none" w:sz="0" w:space="0" w:color="auto"/>
        <w:bottom w:val="none" w:sz="0" w:space="0" w:color="auto"/>
        <w:right w:val="none" w:sz="0" w:space="0" w:color="auto"/>
      </w:divBdr>
    </w:div>
    <w:div w:id="75523352">
      <w:bodyDiv w:val="1"/>
      <w:marLeft w:val="0"/>
      <w:marRight w:val="0"/>
      <w:marTop w:val="0"/>
      <w:marBottom w:val="0"/>
      <w:divBdr>
        <w:top w:val="none" w:sz="0" w:space="0" w:color="auto"/>
        <w:left w:val="none" w:sz="0" w:space="0" w:color="auto"/>
        <w:bottom w:val="none" w:sz="0" w:space="0" w:color="auto"/>
        <w:right w:val="none" w:sz="0" w:space="0" w:color="auto"/>
      </w:divBdr>
    </w:div>
    <w:div w:id="76099460">
      <w:bodyDiv w:val="1"/>
      <w:marLeft w:val="0"/>
      <w:marRight w:val="0"/>
      <w:marTop w:val="0"/>
      <w:marBottom w:val="0"/>
      <w:divBdr>
        <w:top w:val="none" w:sz="0" w:space="0" w:color="auto"/>
        <w:left w:val="none" w:sz="0" w:space="0" w:color="auto"/>
        <w:bottom w:val="none" w:sz="0" w:space="0" w:color="auto"/>
        <w:right w:val="none" w:sz="0" w:space="0" w:color="auto"/>
      </w:divBdr>
      <w:divsChild>
        <w:div w:id="1380544390">
          <w:marLeft w:val="-720"/>
          <w:marRight w:val="0"/>
          <w:marTop w:val="0"/>
          <w:marBottom w:val="0"/>
          <w:divBdr>
            <w:top w:val="none" w:sz="0" w:space="0" w:color="auto"/>
            <w:left w:val="none" w:sz="0" w:space="0" w:color="auto"/>
            <w:bottom w:val="none" w:sz="0" w:space="0" w:color="auto"/>
            <w:right w:val="none" w:sz="0" w:space="0" w:color="auto"/>
          </w:divBdr>
        </w:div>
      </w:divsChild>
    </w:div>
    <w:div w:id="79526402">
      <w:bodyDiv w:val="1"/>
      <w:marLeft w:val="0"/>
      <w:marRight w:val="0"/>
      <w:marTop w:val="0"/>
      <w:marBottom w:val="0"/>
      <w:divBdr>
        <w:top w:val="none" w:sz="0" w:space="0" w:color="auto"/>
        <w:left w:val="none" w:sz="0" w:space="0" w:color="auto"/>
        <w:bottom w:val="none" w:sz="0" w:space="0" w:color="auto"/>
        <w:right w:val="none" w:sz="0" w:space="0" w:color="auto"/>
      </w:divBdr>
    </w:div>
    <w:div w:id="82993154">
      <w:bodyDiv w:val="1"/>
      <w:marLeft w:val="0"/>
      <w:marRight w:val="0"/>
      <w:marTop w:val="0"/>
      <w:marBottom w:val="0"/>
      <w:divBdr>
        <w:top w:val="none" w:sz="0" w:space="0" w:color="auto"/>
        <w:left w:val="none" w:sz="0" w:space="0" w:color="auto"/>
        <w:bottom w:val="none" w:sz="0" w:space="0" w:color="auto"/>
        <w:right w:val="none" w:sz="0" w:space="0" w:color="auto"/>
      </w:divBdr>
    </w:div>
    <w:div w:id="100803622">
      <w:bodyDiv w:val="1"/>
      <w:marLeft w:val="0"/>
      <w:marRight w:val="0"/>
      <w:marTop w:val="0"/>
      <w:marBottom w:val="0"/>
      <w:divBdr>
        <w:top w:val="none" w:sz="0" w:space="0" w:color="auto"/>
        <w:left w:val="none" w:sz="0" w:space="0" w:color="auto"/>
        <w:bottom w:val="none" w:sz="0" w:space="0" w:color="auto"/>
        <w:right w:val="none" w:sz="0" w:space="0" w:color="auto"/>
      </w:divBdr>
    </w:div>
    <w:div w:id="101151900">
      <w:bodyDiv w:val="1"/>
      <w:marLeft w:val="0"/>
      <w:marRight w:val="0"/>
      <w:marTop w:val="0"/>
      <w:marBottom w:val="0"/>
      <w:divBdr>
        <w:top w:val="none" w:sz="0" w:space="0" w:color="auto"/>
        <w:left w:val="none" w:sz="0" w:space="0" w:color="auto"/>
        <w:bottom w:val="none" w:sz="0" w:space="0" w:color="auto"/>
        <w:right w:val="none" w:sz="0" w:space="0" w:color="auto"/>
      </w:divBdr>
    </w:div>
    <w:div w:id="105005616">
      <w:bodyDiv w:val="1"/>
      <w:marLeft w:val="0"/>
      <w:marRight w:val="0"/>
      <w:marTop w:val="0"/>
      <w:marBottom w:val="0"/>
      <w:divBdr>
        <w:top w:val="none" w:sz="0" w:space="0" w:color="auto"/>
        <w:left w:val="none" w:sz="0" w:space="0" w:color="auto"/>
        <w:bottom w:val="none" w:sz="0" w:space="0" w:color="auto"/>
        <w:right w:val="none" w:sz="0" w:space="0" w:color="auto"/>
      </w:divBdr>
    </w:div>
    <w:div w:id="107314840">
      <w:bodyDiv w:val="1"/>
      <w:marLeft w:val="0"/>
      <w:marRight w:val="0"/>
      <w:marTop w:val="0"/>
      <w:marBottom w:val="0"/>
      <w:divBdr>
        <w:top w:val="none" w:sz="0" w:space="0" w:color="auto"/>
        <w:left w:val="none" w:sz="0" w:space="0" w:color="auto"/>
        <w:bottom w:val="none" w:sz="0" w:space="0" w:color="auto"/>
        <w:right w:val="none" w:sz="0" w:space="0" w:color="auto"/>
      </w:divBdr>
    </w:div>
    <w:div w:id="122312436">
      <w:bodyDiv w:val="1"/>
      <w:marLeft w:val="0"/>
      <w:marRight w:val="0"/>
      <w:marTop w:val="0"/>
      <w:marBottom w:val="0"/>
      <w:divBdr>
        <w:top w:val="none" w:sz="0" w:space="0" w:color="auto"/>
        <w:left w:val="none" w:sz="0" w:space="0" w:color="auto"/>
        <w:bottom w:val="none" w:sz="0" w:space="0" w:color="auto"/>
        <w:right w:val="none" w:sz="0" w:space="0" w:color="auto"/>
      </w:divBdr>
    </w:div>
    <w:div w:id="166022518">
      <w:bodyDiv w:val="1"/>
      <w:marLeft w:val="0"/>
      <w:marRight w:val="0"/>
      <w:marTop w:val="0"/>
      <w:marBottom w:val="0"/>
      <w:divBdr>
        <w:top w:val="none" w:sz="0" w:space="0" w:color="auto"/>
        <w:left w:val="none" w:sz="0" w:space="0" w:color="auto"/>
        <w:bottom w:val="none" w:sz="0" w:space="0" w:color="auto"/>
        <w:right w:val="none" w:sz="0" w:space="0" w:color="auto"/>
      </w:divBdr>
      <w:divsChild>
        <w:div w:id="921257008">
          <w:marLeft w:val="-720"/>
          <w:marRight w:val="0"/>
          <w:marTop w:val="0"/>
          <w:marBottom w:val="0"/>
          <w:divBdr>
            <w:top w:val="none" w:sz="0" w:space="0" w:color="auto"/>
            <w:left w:val="none" w:sz="0" w:space="0" w:color="auto"/>
            <w:bottom w:val="none" w:sz="0" w:space="0" w:color="auto"/>
            <w:right w:val="none" w:sz="0" w:space="0" w:color="auto"/>
          </w:divBdr>
        </w:div>
      </w:divsChild>
    </w:div>
    <w:div w:id="183828778">
      <w:bodyDiv w:val="1"/>
      <w:marLeft w:val="0"/>
      <w:marRight w:val="0"/>
      <w:marTop w:val="0"/>
      <w:marBottom w:val="0"/>
      <w:divBdr>
        <w:top w:val="none" w:sz="0" w:space="0" w:color="auto"/>
        <w:left w:val="none" w:sz="0" w:space="0" w:color="auto"/>
        <w:bottom w:val="none" w:sz="0" w:space="0" w:color="auto"/>
        <w:right w:val="none" w:sz="0" w:space="0" w:color="auto"/>
      </w:divBdr>
    </w:div>
    <w:div w:id="189799496">
      <w:bodyDiv w:val="1"/>
      <w:marLeft w:val="0"/>
      <w:marRight w:val="0"/>
      <w:marTop w:val="0"/>
      <w:marBottom w:val="0"/>
      <w:divBdr>
        <w:top w:val="none" w:sz="0" w:space="0" w:color="auto"/>
        <w:left w:val="none" w:sz="0" w:space="0" w:color="auto"/>
        <w:bottom w:val="none" w:sz="0" w:space="0" w:color="auto"/>
        <w:right w:val="none" w:sz="0" w:space="0" w:color="auto"/>
      </w:divBdr>
    </w:div>
    <w:div w:id="209222121">
      <w:bodyDiv w:val="1"/>
      <w:marLeft w:val="0"/>
      <w:marRight w:val="0"/>
      <w:marTop w:val="0"/>
      <w:marBottom w:val="0"/>
      <w:divBdr>
        <w:top w:val="none" w:sz="0" w:space="0" w:color="auto"/>
        <w:left w:val="none" w:sz="0" w:space="0" w:color="auto"/>
        <w:bottom w:val="none" w:sz="0" w:space="0" w:color="auto"/>
        <w:right w:val="none" w:sz="0" w:space="0" w:color="auto"/>
      </w:divBdr>
    </w:div>
    <w:div w:id="209346175">
      <w:bodyDiv w:val="1"/>
      <w:marLeft w:val="0"/>
      <w:marRight w:val="0"/>
      <w:marTop w:val="0"/>
      <w:marBottom w:val="0"/>
      <w:divBdr>
        <w:top w:val="none" w:sz="0" w:space="0" w:color="auto"/>
        <w:left w:val="none" w:sz="0" w:space="0" w:color="auto"/>
        <w:bottom w:val="none" w:sz="0" w:space="0" w:color="auto"/>
        <w:right w:val="none" w:sz="0" w:space="0" w:color="auto"/>
      </w:divBdr>
    </w:div>
    <w:div w:id="220799041">
      <w:bodyDiv w:val="1"/>
      <w:marLeft w:val="0"/>
      <w:marRight w:val="0"/>
      <w:marTop w:val="0"/>
      <w:marBottom w:val="0"/>
      <w:divBdr>
        <w:top w:val="none" w:sz="0" w:space="0" w:color="auto"/>
        <w:left w:val="none" w:sz="0" w:space="0" w:color="auto"/>
        <w:bottom w:val="none" w:sz="0" w:space="0" w:color="auto"/>
        <w:right w:val="none" w:sz="0" w:space="0" w:color="auto"/>
      </w:divBdr>
    </w:div>
    <w:div w:id="222646973">
      <w:bodyDiv w:val="1"/>
      <w:marLeft w:val="0"/>
      <w:marRight w:val="0"/>
      <w:marTop w:val="0"/>
      <w:marBottom w:val="0"/>
      <w:divBdr>
        <w:top w:val="none" w:sz="0" w:space="0" w:color="auto"/>
        <w:left w:val="none" w:sz="0" w:space="0" w:color="auto"/>
        <w:bottom w:val="none" w:sz="0" w:space="0" w:color="auto"/>
        <w:right w:val="none" w:sz="0" w:space="0" w:color="auto"/>
      </w:divBdr>
      <w:divsChild>
        <w:div w:id="2044819141">
          <w:marLeft w:val="-720"/>
          <w:marRight w:val="0"/>
          <w:marTop w:val="0"/>
          <w:marBottom w:val="0"/>
          <w:divBdr>
            <w:top w:val="none" w:sz="0" w:space="0" w:color="auto"/>
            <w:left w:val="none" w:sz="0" w:space="0" w:color="auto"/>
            <w:bottom w:val="none" w:sz="0" w:space="0" w:color="auto"/>
            <w:right w:val="none" w:sz="0" w:space="0" w:color="auto"/>
          </w:divBdr>
        </w:div>
      </w:divsChild>
    </w:div>
    <w:div w:id="238712188">
      <w:bodyDiv w:val="1"/>
      <w:marLeft w:val="0"/>
      <w:marRight w:val="0"/>
      <w:marTop w:val="0"/>
      <w:marBottom w:val="0"/>
      <w:divBdr>
        <w:top w:val="none" w:sz="0" w:space="0" w:color="auto"/>
        <w:left w:val="none" w:sz="0" w:space="0" w:color="auto"/>
        <w:bottom w:val="none" w:sz="0" w:space="0" w:color="auto"/>
        <w:right w:val="none" w:sz="0" w:space="0" w:color="auto"/>
      </w:divBdr>
    </w:div>
    <w:div w:id="242645268">
      <w:bodyDiv w:val="1"/>
      <w:marLeft w:val="0"/>
      <w:marRight w:val="0"/>
      <w:marTop w:val="0"/>
      <w:marBottom w:val="0"/>
      <w:divBdr>
        <w:top w:val="none" w:sz="0" w:space="0" w:color="auto"/>
        <w:left w:val="none" w:sz="0" w:space="0" w:color="auto"/>
        <w:bottom w:val="none" w:sz="0" w:space="0" w:color="auto"/>
        <w:right w:val="none" w:sz="0" w:space="0" w:color="auto"/>
      </w:divBdr>
    </w:div>
    <w:div w:id="250093110">
      <w:bodyDiv w:val="1"/>
      <w:marLeft w:val="0"/>
      <w:marRight w:val="0"/>
      <w:marTop w:val="0"/>
      <w:marBottom w:val="0"/>
      <w:divBdr>
        <w:top w:val="none" w:sz="0" w:space="0" w:color="auto"/>
        <w:left w:val="none" w:sz="0" w:space="0" w:color="auto"/>
        <w:bottom w:val="none" w:sz="0" w:space="0" w:color="auto"/>
        <w:right w:val="none" w:sz="0" w:space="0" w:color="auto"/>
      </w:divBdr>
    </w:div>
    <w:div w:id="251089523">
      <w:bodyDiv w:val="1"/>
      <w:marLeft w:val="0"/>
      <w:marRight w:val="0"/>
      <w:marTop w:val="0"/>
      <w:marBottom w:val="0"/>
      <w:divBdr>
        <w:top w:val="none" w:sz="0" w:space="0" w:color="auto"/>
        <w:left w:val="none" w:sz="0" w:space="0" w:color="auto"/>
        <w:bottom w:val="none" w:sz="0" w:space="0" w:color="auto"/>
        <w:right w:val="none" w:sz="0" w:space="0" w:color="auto"/>
      </w:divBdr>
    </w:div>
    <w:div w:id="257833268">
      <w:bodyDiv w:val="1"/>
      <w:marLeft w:val="0"/>
      <w:marRight w:val="0"/>
      <w:marTop w:val="0"/>
      <w:marBottom w:val="0"/>
      <w:divBdr>
        <w:top w:val="none" w:sz="0" w:space="0" w:color="auto"/>
        <w:left w:val="none" w:sz="0" w:space="0" w:color="auto"/>
        <w:bottom w:val="none" w:sz="0" w:space="0" w:color="auto"/>
        <w:right w:val="none" w:sz="0" w:space="0" w:color="auto"/>
      </w:divBdr>
    </w:div>
    <w:div w:id="267661089">
      <w:bodyDiv w:val="1"/>
      <w:marLeft w:val="0"/>
      <w:marRight w:val="0"/>
      <w:marTop w:val="0"/>
      <w:marBottom w:val="0"/>
      <w:divBdr>
        <w:top w:val="none" w:sz="0" w:space="0" w:color="auto"/>
        <w:left w:val="none" w:sz="0" w:space="0" w:color="auto"/>
        <w:bottom w:val="none" w:sz="0" w:space="0" w:color="auto"/>
        <w:right w:val="none" w:sz="0" w:space="0" w:color="auto"/>
      </w:divBdr>
    </w:div>
    <w:div w:id="268977991">
      <w:bodyDiv w:val="1"/>
      <w:marLeft w:val="0"/>
      <w:marRight w:val="0"/>
      <w:marTop w:val="0"/>
      <w:marBottom w:val="0"/>
      <w:divBdr>
        <w:top w:val="none" w:sz="0" w:space="0" w:color="auto"/>
        <w:left w:val="none" w:sz="0" w:space="0" w:color="auto"/>
        <w:bottom w:val="none" w:sz="0" w:space="0" w:color="auto"/>
        <w:right w:val="none" w:sz="0" w:space="0" w:color="auto"/>
      </w:divBdr>
      <w:divsChild>
        <w:div w:id="995256661">
          <w:marLeft w:val="0"/>
          <w:marRight w:val="0"/>
          <w:marTop w:val="0"/>
          <w:marBottom w:val="0"/>
          <w:divBdr>
            <w:top w:val="none" w:sz="0" w:space="0" w:color="auto"/>
            <w:left w:val="none" w:sz="0" w:space="0" w:color="auto"/>
            <w:bottom w:val="none" w:sz="0" w:space="0" w:color="auto"/>
            <w:right w:val="none" w:sz="0" w:space="0" w:color="auto"/>
          </w:divBdr>
          <w:divsChild>
            <w:div w:id="394091942">
              <w:marLeft w:val="0"/>
              <w:marRight w:val="0"/>
              <w:marTop w:val="0"/>
              <w:marBottom w:val="0"/>
              <w:divBdr>
                <w:top w:val="none" w:sz="0" w:space="0" w:color="auto"/>
                <w:left w:val="none" w:sz="0" w:space="0" w:color="auto"/>
                <w:bottom w:val="none" w:sz="0" w:space="0" w:color="auto"/>
                <w:right w:val="none" w:sz="0" w:space="0" w:color="auto"/>
              </w:divBdr>
              <w:divsChild>
                <w:div w:id="1772429265">
                  <w:marLeft w:val="0"/>
                  <w:marRight w:val="0"/>
                  <w:marTop w:val="0"/>
                  <w:marBottom w:val="0"/>
                  <w:divBdr>
                    <w:top w:val="none" w:sz="0" w:space="0" w:color="auto"/>
                    <w:left w:val="none" w:sz="0" w:space="0" w:color="auto"/>
                    <w:bottom w:val="none" w:sz="0" w:space="0" w:color="auto"/>
                    <w:right w:val="none" w:sz="0" w:space="0" w:color="auto"/>
                  </w:divBdr>
                  <w:divsChild>
                    <w:div w:id="397561611">
                      <w:marLeft w:val="0"/>
                      <w:marRight w:val="0"/>
                      <w:marTop w:val="0"/>
                      <w:marBottom w:val="0"/>
                      <w:divBdr>
                        <w:top w:val="none" w:sz="0" w:space="0" w:color="auto"/>
                        <w:left w:val="none" w:sz="0" w:space="0" w:color="auto"/>
                        <w:bottom w:val="none" w:sz="0" w:space="0" w:color="auto"/>
                        <w:right w:val="none" w:sz="0" w:space="0" w:color="auto"/>
                      </w:divBdr>
                      <w:divsChild>
                        <w:div w:id="643967650">
                          <w:marLeft w:val="0"/>
                          <w:marRight w:val="0"/>
                          <w:marTop w:val="0"/>
                          <w:marBottom w:val="0"/>
                          <w:divBdr>
                            <w:top w:val="none" w:sz="0" w:space="0" w:color="auto"/>
                            <w:left w:val="none" w:sz="0" w:space="0" w:color="auto"/>
                            <w:bottom w:val="none" w:sz="0" w:space="0" w:color="auto"/>
                            <w:right w:val="none" w:sz="0" w:space="0" w:color="auto"/>
                          </w:divBdr>
                          <w:divsChild>
                            <w:div w:id="670110572">
                              <w:marLeft w:val="0"/>
                              <w:marRight w:val="0"/>
                              <w:marTop w:val="0"/>
                              <w:marBottom w:val="0"/>
                              <w:divBdr>
                                <w:top w:val="none" w:sz="0" w:space="0" w:color="auto"/>
                                <w:left w:val="none" w:sz="0" w:space="0" w:color="auto"/>
                                <w:bottom w:val="none" w:sz="0" w:space="0" w:color="auto"/>
                                <w:right w:val="none" w:sz="0" w:space="0" w:color="auto"/>
                              </w:divBdr>
                              <w:divsChild>
                                <w:div w:id="1365444499">
                                  <w:marLeft w:val="0"/>
                                  <w:marRight w:val="0"/>
                                  <w:marTop w:val="0"/>
                                  <w:marBottom w:val="0"/>
                                  <w:divBdr>
                                    <w:top w:val="none" w:sz="0" w:space="0" w:color="auto"/>
                                    <w:left w:val="none" w:sz="0" w:space="0" w:color="auto"/>
                                    <w:bottom w:val="none" w:sz="0" w:space="0" w:color="auto"/>
                                    <w:right w:val="none" w:sz="0" w:space="0" w:color="auto"/>
                                  </w:divBdr>
                                  <w:divsChild>
                                    <w:div w:id="1005284422">
                                      <w:marLeft w:val="0"/>
                                      <w:marRight w:val="0"/>
                                      <w:marTop w:val="0"/>
                                      <w:marBottom w:val="0"/>
                                      <w:divBdr>
                                        <w:top w:val="none" w:sz="0" w:space="0" w:color="auto"/>
                                        <w:left w:val="none" w:sz="0" w:space="0" w:color="auto"/>
                                        <w:bottom w:val="none" w:sz="0" w:space="0" w:color="auto"/>
                                        <w:right w:val="none" w:sz="0" w:space="0" w:color="auto"/>
                                      </w:divBdr>
                                      <w:divsChild>
                                        <w:div w:id="1026562848">
                                          <w:marLeft w:val="0"/>
                                          <w:marRight w:val="0"/>
                                          <w:marTop w:val="0"/>
                                          <w:marBottom w:val="0"/>
                                          <w:divBdr>
                                            <w:top w:val="none" w:sz="0" w:space="0" w:color="auto"/>
                                            <w:left w:val="none" w:sz="0" w:space="0" w:color="auto"/>
                                            <w:bottom w:val="none" w:sz="0" w:space="0" w:color="auto"/>
                                            <w:right w:val="none" w:sz="0" w:space="0" w:color="auto"/>
                                          </w:divBdr>
                                          <w:divsChild>
                                            <w:div w:id="571165292">
                                              <w:marLeft w:val="0"/>
                                              <w:marRight w:val="0"/>
                                              <w:marTop w:val="0"/>
                                              <w:marBottom w:val="0"/>
                                              <w:divBdr>
                                                <w:top w:val="none" w:sz="0" w:space="0" w:color="auto"/>
                                                <w:left w:val="none" w:sz="0" w:space="0" w:color="auto"/>
                                                <w:bottom w:val="none" w:sz="0" w:space="0" w:color="auto"/>
                                                <w:right w:val="none" w:sz="0" w:space="0" w:color="auto"/>
                                              </w:divBdr>
                                              <w:divsChild>
                                                <w:div w:id="1508986526">
                                                  <w:marLeft w:val="0"/>
                                                  <w:marRight w:val="0"/>
                                                  <w:marTop w:val="0"/>
                                                  <w:marBottom w:val="0"/>
                                                  <w:divBdr>
                                                    <w:top w:val="none" w:sz="0" w:space="0" w:color="auto"/>
                                                    <w:left w:val="none" w:sz="0" w:space="0" w:color="auto"/>
                                                    <w:bottom w:val="none" w:sz="0" w:space="0" w:color="auto"/>
                                                    <w:right w:val="none" w:sz="0" w:space="0" w:color="auto"/>
                                                  </w:divBdr>
                                                  <w:divsChild>
                                                    <w:div w:id="322319606">
                                                      <w:marLeft w:val="0"/>
                                                      <w:marRight w:val="0"/>
                                                      <w:marTop w:val="0"/>
                                                      <w:marBottom w:val="0"/>
                                                      <w:divBdr>
                                                        <w:top w:val="none" w:sz="0" w:space="0" w:color="auto"/>
                                                        <w:left w:val="none" w:sz="0" w:space="0" w:color="auto"/>
                                                        <w:bottom w:val="none" w:sz="0" w:space="0" w:color="auto"/>
                                                        <w:right w:val="none" w:sz="0" w:space="0" w:color="auto"/>
                                                      </w:divBdr>
                                                      <w:divsChild>
                                                        <w:div w:id="9874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0286815">
      <w:bodyDiv w:val="1"/>
      <w:marLeft w:val="0"/>
      <w:marRight w:val="0"/>
      <w:marTop w:val="0"/>
      <w:marBottom w:val="0"/>
      <w:divBdr>
        <w:top w:val="none" w:sz="0" w:space="0" w:color="auto"/>
        <w:left w:val="none" w:sz="0" w:space="0" w:color="auto"/>
        <w:bottom w:val="none" w:sz="0" w:space="0" w:color="auto"/>
        <w:right w:val="none" w:sz="0" w:space="0" w:color="auto"/>
      </w:divBdr>
    </w:div>
    <w:div w:id="271208546">
      <w:bodyDiv w:val="1"/>
      <w:marLeft w:val="0"/>
      <w:marRight w:val="0"/>
      <w:marTop w:val="0"/>
      <w:marBottom w:val="0"/>
      <w:divBdr>
        <w:top w:val="none" w:sz="0" w:space="0" w:color="auto"/>
        <w:left w:val="none" w:sz="0" w:space="0" w:color="auto"/>
        <w:bottom w:val="none" w:sz="0" w:space="0" w:color="auto"/>
        <w:right w:val="none" w:sz="0" w:space="0" w:color="auto"/>
      </w:divBdr>
    </w:div>
    <w:div w:id="275723020">
      <w:bodyDiv w:val="1"/>
      <w:marLeft w:val="0"/>
      <w:marRight w:val="0"/>
      <w:marTop w:val="0"/>
      <w:marBottom w:val="0"/>
      <w:divBdr>
        <w:top w:val="none" w:sz="0" w:space="0" w:color="auto"/>
        <w:left w:val="none" w:sz="0" w:space="0" w:color="auto"/>
        <w:bottom w:val="none" w:sz="0" w:space="0" w:color="auto"/>
        <w:right w:val="none" w:sz="0" w:space="0" w:color="auto"/>
      </w:divBdr>
      <w:divsChild>
        <w:div w:id="1667322115">
          <w:marLeft w:val="0"/>
          <w:marRight w:val="0"/>
          <w:marTop w:val="0"/>
          <w:marBottom w:val="0"/>
          <w:divBdr>
            <w:top w:val="none" w:sz="0" w:space="0" w:color="auto"/>
            <w:left w:val="none" w:sz="0" w:space="0" w:color="auto"/>
            <w:bottom w:val="none" w:sz="0" w:space="0" w:color="auto"/>
            <w:right w:val="none" w:sz="0" w:space="0" w:color="auto"/>
          </w:divBdr>
          <w:divsChild>
            <w:div w:id="1357390429">
              <w:marLeft w:val="0"/>
              <w:marRight w:val="0"/>
              <w:marTop w:val="0"/>
              <w:marBottom w:val="0"/>
              <w:divBdr>
                <w:top w:val="none" w:sz="0" w:space="0" w:color="auto"/>
                <w:left w:val="none" w:sz="0" w:space="0" w:color="auto"/>
                <w:bottom w:val="none" w:sz="0" w:space="0" w:color="auto"/>
                <w:right w:val="none" w:sz="0" w:space="0" w:color="auto"/>
              </w:divBdr>
              <w:divsChild>
                <w:div w:id="2114586820">
                  <w:marLeft w:val="0"/>
                  <w:marRight w:val="0"/>
                  <w:marTop w:val="0"/>
                  <w:marBottom w:val="0"/>
                  <w:divBdr>
                    <w:top w:val="none" w:sz="0" w:space="0" w:color="auto"/>
                    <w:left w:val="none" w:sz="0" w:space="0" w:color="auto"/>
                    <w:bottom w:val="none" w:sz="0" w:space="0" w:color="auto"/>
                    <w:right w:val="none" w:sz="0" w:space="0" w:color="auto"/>
                  </w:divBdr>
                  <w:divsChild>
                    <w:div w:id="1202598325">
                      <w:marLeft w:val="0"/>
                      <w:marRight w:val="0"/>
                      <w:marTop w:val="0"/>
                      <w:marBottom w:val="0"/>
                      <w:divBdr>
                        <w:top w:val="none" w:sz="0" w:space="0" w:color="auto"/>
                        <w:left w:val="none" w:sz="0" w:space="0" w:color="auto"/>
                        <w:bottom w:val="none" w:sz="0" w:space="0" w:color="auto"/>
                        <w:right w:val="none" w:sz="0" w:space="0" w:color="auto"/>
                      </w:divBdr>
                      <w:divsChild>
                        <w:div w:id="2121798462">
                          <w:marLeft w:val="0"/>
                          <w:marRight w:val="0"/>
                          <w:marTop w:val="0"/>
                          <w:marBottom w:val="0"/>
                          <w:divBdr>
                            <w:top w:val="none" w:sz="0" w:space="0" w:color="auto"/>
                            <w:left w:val="none" w:sz="0" w:space="0" w:color="auto"/>
                            <w:bottom w:val="none" w:sz="0" w:space="0" w:color="auto"/>
                            <w:right w:val="none" w:sz="0" w:space="0" w:color="auto"/>
                          </w:divBdr>
                          <w:divsChild>
                            <w:div w:id="1465461673">
                              <w:marLeft w:val="0"/>
                              <w:marRight w:val="0"/>
                              <w:marTop w:val="0"/>
                              <w:marBottom w:val="0"/>
                              <w:divBdr>
                                <w:top w:val="none" w:sz="0" w:space="0" w:color="auto"/>
                                <w:left w:val="none" w:sz="0" w:space="0" w:color="auto"/>
                                <w:bottom w:val="none" w:sz="0" w:space="0" w:color="auto"/>
                                <w:right w:val="none" w:sz="0" w:space="0" w:color="auto"/>
                              </w:divBdr>
                              <w:divsChild>
                                <w:div w:id="1434058807">
                                  <w:marLeft w:val="0"/>
                                  <w:marRight w:val="0"/>
                                  <w:marTop w:val="0"/>
                                  <w:marBottom w:val="0"/>
                                  <w:divBdr>
                                    <w:top w:val="none" w:sz="0" w:space="0" w:color="auto"/>
                                    <w:left w:val="none" w:sz="0" w:space="0" w:color="auto"/>
                                    <w:bottom w:val="none" w:sz="0" w:space="0" w:color="auto"/>
                                    <w:right w:val="none" w:sz="0" w:space="0" w:color="auto"/>
                                  </w:divBdr>
                                  <w:divsChild>
                                    <w:div w:id="1729109593">
                                      <w:marLeft w:val="0"/>
                                      <w:marRight w:val="0"/>
                                      <w:marTop w:val="0"/>
                                      <w:marBottom w:val="0"/>
                                      <w:divBdr>
                                        <w:top w:val="none" w:sz="0" w:space="0" w:color="auto"/>
                                        <w:left w:val="none" w:sz="0" w:space="0" w:color="auto"/>
                                        <w:bottom w:val="none" w:sz="0" w:space="0" w:color="auto"/>
                                        <w:right w:val="none" w:sz="0" w:space="0" w:color="auto"/>
                                      </w:divBdr>
                                      <w:divsChild>
                                        <w:div w:id="1793281389">
                                          <w:marLeft w:val="0"/>
                                          <w:marRight w:val="0"/>
                                          <w:marTop w:val="0"/>
                                          <w:marBottom w:val="0"/>
                                          <w:divBdr>
                                            <w:top w:val="none" w:sz="0" w:space="0" w:color="auto"/>
                                            <w:left w:val="none" w:sz="0" w:space="0" w:color="auto"/>
                                            <w:bottom w:val="none" w:sz="0" w:space="0" w:color="auto"/>
                                            <w:right w:val="none" w:sz="0" w:space="0" w:color="auto"/>
                                          </w:divBdr>
                                          <w:divsChild>
                                            <w:div w:id="1593778761">
                                              <w:marLeft w:val="0"/>
                                              <w:marRight w:val="0"/>
                                              <w:marTop w:val="0"/>
                                              <w:marBottom w:val="0"/>
                                              <w:divBdr>
                                                <w:top w:val="none" w:sz="0" w:space="0" w:color="auto"/>
                                                <w:left w:val="none" w:sz="0" w:space="0" w:color="auto"/>
                                                <w:bottom w:val="none" w:sz="0" w:space="0" w:color="auto"/>
                                                <w:right w:val="none" w:sz="0" w:space="0" w:color="auto"/>
                                              </w:divBdr>
                                              <w:divsChild>
                                                <w:div w:id="1533957682">
                                                  <w:marLeft w:val="0"/>
                                                  <w:marRight w:val="0"/>
                                                  <w:marTop w:val="0"/>
                                                  <w:marBottom w:val="0"/>
                                                  <w:divBdr>
                                                    <w:top w:val="none" w:sz="0" w:space="0" w:color="auto"/>
                                                    <w:left w:val="none" w:sz="0" w:space="0" w:color="auto"/>
                                                    <w:bottom w:val="none" w:sz="0" w:space="0" w:color="auto"/>
                                                    <w:right w:val="none" w:sz="0" w:space="0" w:color="auto"/>
                                                  </w:divBdr>
                                                  <w:divsChild>
                                                    <w:div w:id="368914598">
                                                      <w:marLeft w:val="0"/>
                                                      <w:marRight w:val="0"/>
                                                      <w:marTop w:val="0"/>
                                                      <w:marBottom w:val="0"/>
                                                      <w:divBdr>
                                                        <w:top w:val="none" w:sz="0" w:space="0" w:color="auto"/>
                                                        <w:left w:val="none" w:sz="0" w:space="0" w:color="auto"/>
                                                        <w:bottom w:val="none" w:sz="0" w:space="0" w:color="auto"/>
                                                        <w:right w:val="none" w:sz="0" w:space="0" w:color="auto"/>
                                                      </w:divBdr>
                                                      <w:divsChild>
                                                        <w:div w:id="8686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6633727">
          <w:marLeft w:val="0"/>
          <w:marRight w:val="0"/>
          <w:marTop w:val="0"/>
          <w:marBottom w:val="0"/>
          <w:divBdr>
            <w:top w:val="none" w:sz="0" w:space="0" w:color="auto"/>
            <w:left w:val="none" w:sz="0" w:space="0" w:color="auto"/>
            <w:bottom w:val="none" w:sz="0" w:space="0" w:color="auto"/>
            <w:right w:val="none" w:sz="0" w:space="0" w:color="auto"/>
          </w:divBdr>
          <w:divsChild>
            <w:div w:id="2072846488">
              <w:marLeft w:val="0"/>
              <w:marRight w:val="0"/>
              <w:marTop w:val="0"/>
              <w:marBottom w:val="0"/>
              <w:divBdr>
                <w:top w:val="none" w:sz="0" w:space="0" w:color="auto"/>
                <w:left w:val="none" w:sz="0" w:space="0" w:color="auto"/>
                <w:bottom w:val="none" w:sz="0" w:space="0" w:color="auto"/>
                <w:right w:val="none" w:sz="0" w:space="0" w:color="auto"/>
              </w:divBdr>
              <w:divsChild>
                <w:div w:id="1156191046">
                  <w:marLeft w:val="0"/>
                  <w:marRight w:val="0"/>
                  <w:marTop w:val="0"/>
                  <w:marBottom w:val="0"/>
                  <w:divBdr>
                    <w:top w:val="none" w:sz="0" w:space="0" w:color="auto"/>
                    <w:left w:val="none" w:sz="0" w:space="0" w:color="auto"/>
                    <w:bottom w:val="none" w:sz="0" w:space="0" w:color="auto"/>
                    <w:right w:val="none" w:sz="0" w:space="0" w:color="auto"/>
                  </w:divBdr>
                  <w:divsChild>
                    <w:div w:id="56172768">
                      <w:marLeft w:val="0"/>
                      <w:marRight w:val="0"/>
                      <w:marTop w:val="0"/>
                      <w:marBottom w:val="0"/>
                      <w:divBdr>
                        <w:top w:val="none" w:sz="0" w:space="0" w:color="auto"/>
                        <w:left w:val="none" w:sz="0" w:space="0" w:color="auto"/>
                        <w:bottom w:val="none" w:sz="0" w:space="0" w:color="auto"/>
                        <w:right w:val="none" w:sz="0" w:space="0" w:color="auto"/>
                      </w:divBdr>
                      <w:divsChild>
                        <w:div w:id="1867715702">
                          <w:marLeft w:val="0"/>
                          <w:marRight w:val="0"/>
                          <w:marTop w:val="0"/>
                          <w:marBottom w:val="0"/>
                          <w:divBdr>
                            <w:top w:val="none" w:sz="0" w:space="0" w:color="auto"/>
                            <w:left w:val="none" w:sz="0" w:space="0" w:color="auto"/>
                            <w:bottom w:val="none" w:sz="0" w:space="0" w:color="auto"/>
                            <w:right w:val="none" w:sz="0" w:space="0" w:color="auto"/>
                          </w:divBdr>
                          <w:divsChild>
                            <w:div w:id="370879767">
                              <w:marLeft w:val="0"/>
                              <w:marRight w:val="0"/>
                              <w:marTop w:val="0"/>
                              <w:marBottom w:val="0"/>
                              <w:divBdr>
                                <w:top w:val="none" w:sz="0" w:space="0" w:color="auto"/>
                                <w:left w:val="none" w:sz="0" w:space="0" w:color="auto"/>
                                <w:bottom w:val="none" w:sz="0" w:space="0" w:color="auto"/>
                                <w:right w:val="none" w:sz="0" w:space="0" w:color="auto"/>
                              </w:divBdr>
                              <w:divsChild>
                                <w:div w:id="216740965">
                                  <w:marLeft w:val="0"/>
                                  <w:marRight w:val="0"/>
                                  <w:marTop w:val="0"/>
                                  <w:marBottom w:val="0"/>
                                  <w:divBdr>
                                    <w:top w:val="none" w:sz="0" w:space="0" w:color="auto"/>
                                    <w:left w:val="none" w:sz="0" w:space="0" w:color="auto"/>
                                    <w:bottom w:val="none" w:sz="0" w:space="0" w:color="auto"/>
                                    <w:right w:val="none" w:sz="0" w:space="0" w:color="auto"/>
                                  </w:divBdr>
                                  <w:divsChild>
                                    <w:div w:id="742795180">
                                      <w:marLeft w:val="0"/>
                                      <w:marRight w:val="0"/>
                                      <w:marTop w:val="0"/>
                                      <w:marBottom w:val="0"/>
                                      <w:divBdr>
                                        <w:top w:val="none" w:sz="0" w:space="0" w:color="auto"/>
                                        <w:left w:val="none" w:sz="0" w:space="0" w:color="auto"/>
                                        <w:bottom w:val="none" w:sz="0" w:space="0" w:color="auto"/>
                                        <w:right w:val="none" w:sz="0" w:space="0" w:color="auto"/>
                                      </w:divBdr>
                                      <w:divsChild>
                                        <w:div w:id="51661473">
                                          <w:marLeft w:val="0"/>
                                          <w:marRight w:val="0"/>
                                          <w:marTop w:val="0"/>
                                          <w:marBottom w:val="0"/>
                                          <w:divBdr>
                                            <w:top w:val="none" w:sz="0" w:space="0" w:color="auto"/>
                                            <w:left w:val="none" w:sz="0" w:space="0" w:color="auto"/>
                                            <w:bottom w:val="none" w:sz="0" w:space="0" w:color="auto"/>
                                            <w:right w:val="none" w:sz="0" w:space="0" w:color="auto"/>
                                          </w:divBdr>
                                          <w:divsChild>
                                            <w:div w:id="588731027">
                                              <w:marLeft w:val="0"/>
                                              <w:marRight w:val="0"/>
                                              <w:marTop w:val="0"/>
                                              <w:marBottom w:val="0"/>
                                              <w:divBdr>
                                                <w:top w:val="none" w:sz="0" w:space="0" w:color="auto"/>
                                                <w:left w:val="none" w:sz="0" w:space="0" w:color="auto"/>
                                                <w:bottom w:val="none" w:sz="0" w:space="0" w:color="auto"/>
                                                <w:right w:val="none" w:sz="0" w:space="0" w:color="auto"/>
                                              </w:divBdr>
                                              <w:divsChild>
                                                <w:div w:id="742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2249562">
      <w:bodyDiv w:val="1"/>
      <w:marLeft w:val="0"/>
      <w:marRight w:val="0"/>
      <w:marTop w:val="0"/>
      <w:marBottom w:val="0"/>
      <w:divBdr>
        <w:top w:val="none" w:sz="0" w:space="0" w:color="auto"/>
        <w:left w:val="none" w:sz="0" w:space="0" w:color="auto"/>
        <w:bottom w:val="none" w:sz="0" w:space="0" w:color="auto"/>
        <w:right w:val="none" w:sz="0" w:space="0" w:color="auto"/>
      </w:divBdr>
    </w:div>
    <w:div w:id="293174788">
      <w:bodyDiv w:val="1"/>
      <w:marLeft w:val="0"/>
      <w:marRight w:val="0"/>
      <w:marTop w:val="0"/>
      <w:marBottom w:val="0"/>
      <w:divBdr>
        <w:top w:val="none" w:sz="0" w:space="0" w:color="auto"/>
        <w:left w:val="none" w:sz="0" w:space="0" w:color="auto"/>
        <w:bottom w:val="none" w:sz="0" w:space="0" w:color="auto"/>
        <w:right w:val="none" w:sz="0" w:space="0" w:color="auto"/>
      </w:divBdr>
    </w:div>
    <w:div w:id="294414341">
      <w:bodyDiv w:val="1"/>
      <w:marLeft w:val="0"/>
      <w:marRight w:val="0"/>
      <w:marTop w:val="0"/>
      <w:marBottom w:val="0"/>
      <w:divBdr>
        <w:top w:val="none" w:sz="0" w:space="0" w:color="auto"/>
        <w:left w:val="none" w:sz="0" w:space="0" w:color="auto"/>
        <w:bottom w:val="none" w:sz="0" w:space="0" w:color="auto"/>
        <w:right w:val="none" w:sz="0" w:space="0" w:color="auto"/>
      </w:divBdr>
    </w:div>
    <w:div w:id="294530077">
      <w:bodyDiv w:val="1"/>
      <w:marLeft w:val="0"/>
      <w:marRight w:val="0"/>
      <w:marTop w:val="0"/>
      <w:marBottom w:val="0"/>
      <w:divBdr>
        <w:top w:val="none" w:sz="0" w:space="0" w:color="auto"/>
        <w:left w:val="none" w:sz="0" w:space="0" w:color="auto"/>
        <w:bottom w:val="none" w:sz="0" w:space="0" w:color="auto"/>
        <w:right w:val="none" w:sz="0" w:space="0" w:color="auto"/>
      </w:divBdr>
    </w:div>
    <w:div w:id="296958414">
      <w:bodyDiv w:val="1"/>
      <w:marLeft w:val="0"/>
      <w:marRight w:val="0"/>
      <w:marTop w:val="0"/>
      <w:marBottom w:val="0"/>
      <w:divBdr>
        <w:top w:val="none" w:sz="0" w:space="0" w:color="auto"/>
        <w:left w:val="none" w:sz="0" w:space="0" w:color="auto"/>
        <w:bottom w:val="none" w:sz="0" w:space="0" w:color="auto"/>
        <w:right w:val="none" w:sz="0" w:space="0" w:color="auto"/>
      </w:divBdr>
    </w:div>
    <w:div w:id="308244114">
      <w:bodyDiv w:val="1"/>
      <w:marLeft w:val="0"/>
      <w:marRight w:val="0"/>
      <w:marTop w:val="0"/>
      <w:marBottom w:val="0"/>
      <w:divBdr>
        <w:top w:val="none" w:sz="0" w:space="0" w:color="auto"/>
        <w:left w:val="none" w:sz="0" w:space="0" w:color="auto"/>
        <w:bottom w:val="none" w:sz="0" w:space="0" w:color="auto"/>
        <w:right w:val="none" w:sz="0" w:space="0" w:color="auto"/>
      </w:divBdr>
    </w:div>
    <w:div w:id="312832404">
      <w:bodyDiv w:val="1"/>
      <w:marLeft w:val="0"/>
      <w:marRight w:val="0"/>
      <w:marTop w:val="0"/>
      <w:marBottom w:val="0"/>
      <w:divBdr>
        <w:top w:val="none" w:sz="0" w:space="0" w:color="auto"/>
        <w:left w:val="none" w:sz="0" w:space="0" w:color="auto"/>
        <w:bottom w:val="none" w:sz="0" w:space="0" w:color="auto"/>
        <w:right w:val="none" w:sz="0" w:space="0" w:color="auto"/>
      </w:divBdr>
    </w:div>
    <w:div w:id="315115348">
      <w:bodyDiv w:val="1"/>
      <w:marLeft w:val="0"/>
      <w:marRight w:val="0"/>
      <w:marTop w:val="0"/>
      <w:marBottom w:val="0"/>
      <w:divBdr>
        <w:top w:val="none" w:sz="0" w:space="0" w:color="auto"/>
        <w:left w:val="none" w:sz="0" w:space="0" w:color="auto"/>
        <w:bottom w:val="none" w:sz="0" w:space="0" w:color="auto"/>
        <w:right w:val="none" w:sz="0" w:space="0" w:color="auto"/>
      </w:divBdr>
    </w:div>
    <w:div w:id="322977257">
      <w:bodyDiv w:val="1"/>
      <w:marLeft w:val="0"/>
      <w:marRight w:val="0"/>
      <w:marTop w:val="0"/>
      <w:marBottom w:val="0"/>
      <w:divBdr>
        <w:top w:val="none" w:sz="0" w:space="0" w:color="auto"/>
        <w:left w:val="none" w:sz="0" w:space="0" w:color="auto"/>
        <w:bottom w:val="none" w:sz="0" w:space="0" w:color="auto"/>
        <w:right w:val="none" w:sz="0" w:space="0" w:color="auto"/>
      </w:divBdr>
    </w:div>
    <w:div w:id="330068745">
      <w:bodyDiv w:val="1"/>
      <w:marLeft w:val="0"/>
      <w:marRight w:val="0"/>
      <w:marTop w:val="0"/>
      <w:marBottom w:val="0"/>
      <w:divBdr>
        <w:top w:val="none" w:sz="0" w:space="0" w:color="auto"/>
        <w:left w:val="none" w:sz="0" w:space="0" w:color="auto"/>
        <w:bottom w:val="none" w:sz="0" w:space="0" w:color="auto"/>
        <w:right w:val="none" w:sz="0" w:space="0" w:color="auto"/>
      </w:divBdr>
    </w:div>
    <w:div w:id="344555263">
      <w:bodyDiv w:val="1"/>
      <w:marLeft w:val="0"/>
      <w:marRight w:val="0"/>
      <w:marTop w:val="0"/>
      <w:marBottom w:val="0"/>
      <w:divBdr>
        <w:top w:val="none" w:sz="0" w:space="0" w:color="auto"/>
        <w:left w:val="none" w:sz="0" w:space="0" w:color="auto"/>
        <w:bottom w:val="none" w:sz="0" w:space="0" w:color="auto"/>
        <w:right w:val="none" w:sz="0" w:space="0" w:color="auto"/>
      </w:divBdr>
    </w:div>
    <w:div w:id="347754809">
      <w:bodyDiv w:val="1"/>
      <w:marLeft w:val="0"/>
      <w:marRight w:val="0"/>
      <w:marTop w:val="0"/>
      <w:marBottom w:val="0"/>
      <w:divBdr>
        <w:top w:val="none" w:sz="0" w:space="0" w:color="auto"/>
        <w:left w:val="none" w:sz="0" w:space="0" w:color="auto"/>
        <w:bottom w:val="none" w:sz="0" w:space="0" w:color="auto"/>
        <w:right w:val="none" w:sz="0" w:space="0" w:color="auto"/>
      </w:divBdr>
    </w:div>
    <w:div w:id="348803143">
      <w:bodyDiv w:val="1"/>
      <w:marLeft w:val="0"/>
      <w:marRight w:val="0"/>
      <w:marTop w:val="0"/>
      <w:marBottom w:val="0"/>
      <w:divBdr>
        <w:top w:val="none" w:sz="0" w:space="0" w:color="auto"/>
        <w:left w:val="none" w:sz="0" w:space="0" w:color="auto"/>
        <w:bottom w:val="none" w:sz="0" w:space="0" w:color="auto"/>
        <w:right w:val="none" w:sz="0" w:space="0" w:color="auto"/>
      </w:divBdr>
      <w:divsChild>
        <w:div w:id="207300928">
          <w:marLeft w:val="0"/>
          <w:marRight w:val="0"/>
          <w:marTop w:val="0"/>
          <w:marBottom w:val="0"/>
          <w:divBdr>
            <w:top w:val="none" w:sz="0" w:space="0" w:color="auto"/>
            <w:left w:val="none" w:sz="0" w:space="0" w:color="auto"/>
            <w:bottom w:val="none" w:sz="0" w:space="0" w:color="auto"/>
            <w:right w:val="none" w:sz="0" w:space="0" w:color="auto"/>
          </w:divBdr>
          <w:divsChild>
            <w:div w:id="1583561612">
              <w:marLeft w:val="0"/>
              <w:marRight w:val="0"/>
              <w:marTop w:val="0"/>
              <w:marBottom w:val="0"/>
              <w:divBdr>
                <w:top w:val="none" w:sz="0" w:space="0" w:color="auto"/>
                <w:left w:val="none" w:sz="0" w:space="0" w:color="auto"/>
                <w:bottom w:val="none" w:sz="0" w:space="0" w:color="auto"/>
                <w:right w:val="none" w:sz="0" w:space="0" w:color="auto"/>
              </w:divBdr>
              <w:divsChild>
                <w:div w:id="1894541912">
                  <w:marLeft w:val="0"/>
                  <w:marRight w:val="0"/>
                  <w:marTop w:val="0"/>
                  <w:marBottom w:val="0"/>
                  <w:divBdr>
                    <w:top w:val="none" w:sz="0" w:space="0" w:color="auto"/>
                    <w:left w:val="none" w:sz="0" w:space="0" w:color="auto"/>
                    <w:bottom w:val="none" w:sz="0" w:space="0" w:color="auto"/>
                    <w:right w:val="none" w:sz="0" w:space="0" w:color="auto"/>
                  </w:divBdr>
                  <w:divsChild>
                    <w:div w:id="6970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94482">
          <w:marLeft w:val="0"/>
          <w:marRight w:val="0"/>
          <w:marTop w:val="0"/>
          <w:marBottom w:val="0"/>
          <w:divBdr>
            <w:top w:val="none" w:sz="0" w:space="0" w:color="auto"/>
            <w:left w:val="none" w:sz="0" w:space="0" w:color="auto"/>
            <w:bottom w:val="none" w:sz="0" w:space="0" w:color="auto"/>
            <w:right w:val="none" w:sz="0" w:space="0" w:color="auto"/>
          </w:divBdr>
          <w:divsChild>
            <w:div w:id="243076492">
              <w:marLeft w:val="0"/>
              <w:marRight w:val="0"/>
              <w:marTop w:val="0"/>
              <w:marBottom w:val="0"/>
              <w:divBdr>
                <w:top w:val="none" w:sz="0" w:space="0" w:color="auto"/>
                <w:left w:val="none" w:sz="0" w:space="0" w:color="auto"/>
                <w:bottom w:val="none" w:sz="0" w:space="0" w:color="auto"/>
                <w:right w:val="none" w:sz="0" w:space="0" w:color="auto"/>
              </w:divBdr>
              <w:divsChild>
                <w:div w:id="918825503">
                  <w:marLeft w:val="0"/>
                  <w:marRight w:val="0"/>
                  <w:marTop w:val="0"/>
                  <w:marBottom w:val="0"/>
                  <w:divBdr>
                    <w:top w:val="none" w:sz="0" w:space="0" w:color="auto"/>
                    <w:left w:val="none" w:sz="0" w:space="0" w:color="auto"/>
                    <w:bottom w:val="none" w:sz="0" w:space="0" w:color="auto"/>
                    <w:right w:val="none" w:sz="0" w:space="0" w:color="auto"/>
                  </w:divBdr>
                  <w:divsChild>
                    <w:div w:id="942304305">
                      <w:marLeft w:val="0"/>
                      <w:marRight w:val="0"/>
                      <w:marTop w:val="0"/>
                      <w:marBottom w:val="0"/>
                      <w:divBdr>
                        <w:top w:val="none" w:sz="0" w:space="0" w:color="auto"/>
                        <w:left w:val="none" w:sz="0" w:space="0" w:color="auto"/>
                        <w:bottom w:val="none" w:sz="0" w:space="0" w:color="auto"/>
                        <w:right w:val="none" w:sz="0" w:space="0" w:color="auto"/>
                      </w:divBdr>
                      <w:divsChild>
                        <w:div w:id="1244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851555">
      <w:bodyDiv w:val="1"/>
      <w:marLeft w:val="0"/>
      <w:marRight w:val="0"/>
      <w:marTop w:val="0"/>
      <w:marBottom w:val="0"/>
      <w:divBdr>
        <w:top w:val="none" w:sz="0" w:space="0" w:color="auto"/>
        <w:left w:val="none" w:sz="0" w:space="0" w:color="auto"/>
        <w:bottom w:val="none" w:sz="0" w:space="0" w:color="auto"/>
        <w:right w:val="none" w:sz="0" w:space="0" w:color="auto"/>
      </w:divBdr>
    </w:div>
    <w:div w:id="376128433">
      <w:bodyDiv w:val="1"/>
      <w:marLeft w:val="0"/>
      <w:marRight w:val="0"/>
      <w:marTop w:val="0"/>
      <w:marBottom w:val="0"/>
      <w:divBdr>
        <w:top w:val="none" w:sz="0" w:space="0" w:color="auto"/>
        <w:left w:val="none" w:sz="0" w:space="0" w:color="auto"/>
        <w:bottom w:val="none" w:sz="0" w:space="0" w:color="auto"/>
        <w:right w:val="none" w:sz="0" w:space="0" w:color="auto"/>
      </w:divBdr>
    </w:div>
    <w:div w:id="385882925">
      <w:bodyDiv w:val="1"/>
      <w:marLeft w:val="0"/>
      <w:marRight w:val="0"/>
      <w:marTop w:val="0"/>
      <w:marBottom w:val="0"/>
      <w:divBdr>
        <w:top w:val="none" w:sz="0" w:space="0" w:color="auto"/>
        <w:left w:val="none" w:sz="0" w:space="0" w:color="auto"/>
        <w:bottom w:val="none" w:sz="0" w:space="0" w:color="auto"/>
        <w:right w:val="none" w:sz="0" w:space="0" w:color="auto"/>
      </w:divBdr>
      <w:divsChild>
        <w:div w:id="8916857">
          <w:marLeft w:val="0"/>
          <w:marRight w:val="0"/>
          <w:marTop w:val="0"/>
          <w:marBottom w:val="0"/>
          <w:divBdr>
            <w:top w:val="none" w:sz="0" w:space="0" w:color="auto"/>
            <w:left w:val="none" w:sz="0" w:space="0" w:color="auto"/>
            <w:bottom w:val="none" w:sz="0" w:space="0" w:color="auto"/>
            <w:right w:val="none" w:sz="0" w:space="0" w:color="auto"/>
          </w:divBdr>
          <w:divsChild>
            <w:div w:id="833684453">
              <w:marLeft w:val="0"/>
              <w:marRight w:val="0"/>
              <w:marTop w:val="0"/>
              <w:marBottom w:val="0"/>
              <w:divBdr>
                <w:top w:val="none" w:sz="0" w:space="0" w:color="auto"/>
                <w:left w:val="none" w:sz="0" w:space="0" w:color="auto"/>
                <w:bottom w:val="none" w:sz="0" w:space="0" w:color="auto"/>
                <w:right w:val="none" w:sz="0" w:space="0" w:color="auto"/>
              </w:divBdr>
              <w:divsChild>
                <w:div w:id="2066559751">
                  <w:marLeft w:val="0"/>
                  <w:marRight w:val="0"/>
                  <w:marTop w:val="0"/>
                  <w:marBottom w:val="0"/>
                  <w:divBdr>
                    <w:top w:val="none" w:sz="0" w:space="0" w:color="auto"/>
                    <w:left w:val="none" w:sz="0" w:space="0" w:color="auto"/>
                    <w:bottom w:val="none" w:sz="0" w:space="0" w:color="auto"/>
                    <w:right w:val="none" w:sz="0" w:space="0" w:color="auto"/>
                  </w:divBdr>
                  <w:divsChild>
                    <w:div w:id="895237841">
                      <w:marLeft w:val="0"/>
                      <w:marRight w:val="0"/>
                      <w:marTop w:val="0"/>
                      <w:marBottom w:val="0"/>
                      <w:divBdr>
                        <w:top w:val="none" w:sz="0" w:space="0" w:color="auto"/>
                        <w:left w:val="none" w:sz="0" w:space="0" w:color="auto"/>
                        <w:bottom w:val="none" w:sz="0" w:space="0" w:color="auto"/>
                        <w:right w:val="none" w:sz="0" w:space="0" w:color="auto"/>
                      </w:divBdr>
                      <w:divsChild>
                        <w:div w:id="1375278380">
                          <w:marLeft w:val="0"/>
                          <w:marRight w:val="0"/>
                          <w:marTop w:val="0"/>
                          <w:marBottom w:val="0"/>
                          <w:divBdr>
                            <w:top w:val="none" w:sz="0" w:space="0" w:color="auto"/>
                            <w:left w:val="none" w:sz="0" w:space="0" w:color="auto"/>
                            <w:bottom w:val="none" w:sz="0" w:space="0" w:color="auto"/>
                            <w:right w:val="none" w:sz="0" w:space="0" w:color="auto"/>
                          </w:divBdr>
                          <w:divsChild>
                            <w:div w:id="218444665">
                              <w:marLeft w:val="0"/>
                              <w:marRight w:val="0"/>
                              <w:marTop w:val="0"/>
                              <w:marBottom w:val="0"/>
                              <w:divBdr>
                                <w:top w:val="none" w:sz="0" w:space="0" w:color="auto"/>
                                <w:left w:val="none" w:sz="0" w:space="0" w:color="auto"/>
                                <w:bottom w:val="none" w:sz="0" w:space="0" w:color="auto"/>
                                <w:right w:val="none" w:sz="0" w:space="0" w:color="auto"/>
                              </w:divBdr>
                              <w:divsChild>
                                <w:div w:id="62920489">
                                  <w:marLeft w:val="0"/>
                                  <w:marRight w:val="0"/>
                                  <w:marTop w:val="0"/>
                                  <w:marBottom w:val="0"/>
                                  <w:divBdr>
                                    <w:top w:val="none" w:sz="0" w:space="0" w:color="auto"/>
                                    <w:left w:val="none" w:sz="0" w:space="0" w:color="auto"/>
                                    <w:bottom w:val="none" w:sz="0" w:space="0" w:color="auto"/>
                                    <w:right w:val="none" w:sz="0" w:space="0" w:color="auto"/>
                                  </w:divBdr>
                                  <w:divsChild>
                                    <w:div w:id="1958218202">
                                      <w:marLeft w:val="0"/>
                                      <w:marRight w:val="0"/>
                                      <w:marTop w:val="0"/>
                                      <w:marBottom w:val="0"/>
                                      <w:divBdr>
                                        <w:top w:val="none" w:sz="0" w:space="0" w:color="auto"/>
                                        <w:left w:val="none" w:sz="0" w:space="0" w:color="auto"/>
                                        <w:bottom w:val="none" w:sz="0" w:space="0" w:color="auto"/>
                                        <w:right w:val="none" w:sz="0" w:space="0" w:color="auto"/>
                                      </w:divBdr>
                                      <w:divsChild>
                                        <w:div w:id="513307119">
                                          <w:marLeft w:val="0"/>
                                          <w:marRight w:val="0"/>
                                          <w:marTop w:val="0"/>
                                          <w:marBottom w:val="0"/>
                                          <w:divBdr>
                                            <w:top w:val="none" w:sz="0" w:space="0" w:color="auto"/>
                                            <w:left w:val="none" w:sz="0" w:space="0" w:color="auto"/>
                                            <w:bottom w:val="none" w:sz="0" w:space="0" w:color="auto"/>
                                            <w:right w:val="none" w:sz="0" w:space="0" w:color="auto"/>
                                          </w:divBdr>
                                          <w:divsChild>
                                            <w:div w:id="2116829453">
                                              <w:marLeft w:val="0"/>
                                              <w:marRight w:val="0"/>
                                              <w:marTop w:val="0"/>
                                              <w:marBottom w:val="0"/>
                                              <w:divBdr>
                                                <w:top w:val="none" w:sz="0" w:space="0" w:color="auto"/>
                                                <w:left w:val="none" w:sz="0" w:space="0" w:color="auto"/>
                                                <w:bottom w:val="none" w:sz="0" w:space="0" w:color="auto"/>
                                                <w:right w:val="none" w:sz="0" w:space="0" w:color="auto"/>
                                              </w:divBdr>
                                              <w:divsChild>
                                                <w:div w:id="1902784569">
                                                  <w:marLeft w:val="0"/>
                                                  <w:marRight w:val="0"/>
                                                  <w:marTop w:val="0"/>
                                                  <w:marBottom w:val="0"/>
                                                  <w:divBdr>
                                                    <w:top w:val="none" w:sz="0" w:space="0" w:color="auto"/>
                                                    <w:left w:val="none" w:sz="0" w:space="0" w:color="auto"/>
                                                    <w:bottom w:val="none" w:sz="0" w:space="0" w:color="auto"/>
                                                    <w:right w:val="none" w:sz="0" w:space="0" w:color="auto"/>
                                                  </w:divBdr>
                                                  <w:divsChild>
                                                    <w:div w:id="2037347289">
                                                      <w:marLeft w:val="0"/>
                                                      <w:marRight w:val="0"/>
                                                      <w:marTop w:val="0"/>
                                                      <w:marBottom w:val="0"/>
                                                      <w:divBdr>
                                                        <w:top w:val="none" w:sz="0" w:space="0" w:color="auto"/>
                                                        <w:left w:val="none" w:sz="0" w:space="0" w:color="auto"/>
                                                        <w:bottom w:val="none" w:sz="0" w:space="0" w:color="auto"/>
                                                        <w:right w:val="none" w:sz="0" w:space="0" w:color="auto"/>
                                                      </w:divBdr>
                                                      <w:divsChild>
                                                        <w:div w:id="1455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1707250">
      <w:bodyDiv w:val="1"/>
      <w:marLeft w:val="0"/>
      <w:marRight w:val="0"/>
      <w:marTop w:val="0"/>
      <w:marBottom w:val="0"/>
      <w:divBdr>
        <w:top w:val="none" w:sz="0" w:space="0" w:color="auto"/>
        <w:left w:val="none" w:sz="0" w:space="0" w:color="auto"/>
        <w:bottom w:val="none" w:sz="0" w:space="0" w:color="auto"/>
        <w:right w:val="none" w:sz="0" w:space="0" w:color="auto"/>
      </w:divBdr>
    </w:div>
    <w:div w:id="418336923">
      <w:bodyDiv w:val="1"/>
      <w:marLeft w:val="0"/>
      <w:marRight w:val="0"/>
      <w:marTop w:val="0"/>
      <w:marBottom w:val="0"/>
      <w:divBdr>
        <w:top w:val="none" w:sz="0" w:space="0" w:color="auto"/>
        <w:left w:val="none" w:sz="0" w:space="0" w:color="auto"/>
        <w:bottom w:val="none" w:sz="0" w:space="0" w:color="auto"/>
        <w:right w:val="none" w:sz="0" w:space="0" w:color="auto"/>
      </w:divBdr>
    </w:div>
    <w:div w:id="422990459">
      <w:bodyDiv w:val="1"/>
      <w:marLeft w:val="0"/>
      <w:marRight w:val="0"/>
      <w:marTop w:val="0"/>
      <w:marBottom w:val="0"/>
      <w:divBdr>
        <w:top w:val="none" w:sz="0" w:space="0" w:color="auto"/>
        <w:left w:val="none" w:sz="0" w:space="0" w:color="auto"/>
        <w:bottom w:val="none" w:sz="0" w:space="0" w:color="auto"/>
        <w:right w:val="none" w:sz="0" w:space="0" w:color="auto"/>
      </w:divBdr>
    </w:div>
    <w:div w:id="439910328">
      <w:bodyDiv w:val="1"/>
      <w:marLeft w:val="0"/>
      <w:marRight w:val="0"/>
      <w:marTop w:val="0"/>
      <w:marBottom w:val="0"/>
      <w:divBdr>
        <w:top w:val="none" w:sz="0" w:space="0" w:color="auto"/>
        <w:left w:val="none" w:sz="0" w:space="0" w:color="auto"/>
        <w:bottom w:val="none" w:sz="0" w:space="0" w:color="auto"/>
        <w:right w:val="none" w:sz="0" w:space="0" w:color="auto"/>
      </w:divBdr>
    </w:div>
    <w:div w:id="441192168">
      <w:bodyDiv w:val="1"/>
      <w:marLeft w:val="0"/>
      <w:marRight w:val="0"/>
      <w:marTop w:val="0"/>
      <w:marBottom w:val="0"/>
      <w:divBdr>
        <w:top w:val="none" w:sz="0" w:space="0" w:color="auto"/>
        <w:left w:val="none" w:sz="0" w:space="0" w:color="auto"/>
        <w:bottom w:val="none" w:sz="0" w:space="0" w:color="auto"/>
        <w:right w:val="none" w:sz="0" w:space="0" w:color="auto"/>
      </w:divBdr>
    </w:div>
    <w:div w:id="447822734">
      <w:bodyDiv w:val="1"/>
      <w:marLeft w:val="0"/>
      <w:marRight w:val="0"/>
      <w:marTop w:val="0"/>
      <w:marBottom w:val="0"/>
      <w:divBdr>
        <w:top w:val="none" w:sz="0" w:space="0" w:color="auto"/>
        <w:left w:val="none" w:sz="0" w:space="0" w:color="auto"/>
        <w:bottom w:val="none" w:sz="0" w:space="0" w:color="auto"/>
        <w:right w:val="none" w:sz="0" w:space="0" w:color="auto"/>
      </w:divBdr>
    </w:div>
    <w:div w:id="448622461">
      <w:bodyDiv w:val="1"/>
      <w:marLeft w:val="0"/>
      <w:marRight w:val="0"/>
      <w:marTop w:val="0"/>
      <w:marBottom w:val="0"/>
      <w:divBdr>
        <w:top w:val="none" w:sz="0" w:space="0" w:color="auto"/>
        <w:left w:val="none" w:sz="0" w:space="0" w:color="auto"/>
        <w:bottom w:val="none" w:sz="0" w:space="0" w:color="auto"/>
        <w:right w:val="none" w:sz="0" w:space="0" w:color="auto"/>
      </w:divBdr>
    </w:div>
    <w:div w:id="454451978">
      <w:bodyDiv w:val="1"/>
      <w:marLeft w:val="0"/>
      <w:marRight w:val="0"/>
      <w:marTop w:val="0"/>
      <w:marBottom w:val="0"/>
      <w:divBdr>
        <w:top w:val="none" w:sz="0" w:space="0" w:color="auto"/>
        <w:left w:val="none" w:sz="0" w:space="0" w:color="auto"/>
        <w:bottom w:val="none" w:sz="0" w:space="0" w:color="auto"/>
        <w:right w:val="none" w:sz="0" w:space="0" w:color="auto"/>
      </w:divBdr>
    </w:div>
    <w:div w:id="461001812">
      <w:bodyDiv w:val="1"/>
      <w:marLeft w:val="0"/>
      <w:marRight w:val="0"/>
      <w:marTop w:val="0"/>
      <w:marBottom w:val="0"/>
      <w:divBdr>
        <w:top w:val="none" w:sz="0" w:space="0" w:color="auto"/>
        <w:left w:val="none" w:sz="0" w:space="0" w:color="auto"/>
        <w:bottom w:val="none" w:sz="0" w:space="0" w:color="auto"/>
        <w:right w:val="none" w:sz="0" w:space="0" w:color="auto"/>
      </w:divBdr>
    </w:div>
    <w:div w:id="472523668">
      <w:bodyDiv w:val="1"/>
      <w:marLeft w:val="0"/>
      <w:marRight w:val="0"/>
      <w:marTop w:val="0"/>
      <w:marBottom w:val="0"/>
      <w:divBdr>
        <w:top w:val="none" w:sz="0" w:space="0" w:color="auto"/>
        <w:left w:val="none" w:sz="0" w:space="0" w:color="auto"/>
        <w:bottom w:val="none" w:sz="0" w:space="0" w:color="auto"/>
        <w:right w:val="none" w:sz="0" w:space="0" w:color="auto"/>
      </w:divBdr>
    </w:div>
    <w:div w:id="480193688">
      <w:bodyDiv w:val="1"/>
      <w:marLeft w:val="0"/>
      <w:marRight w:val="0"/>
      <w:marTop w:val="0"/>
      <w:marBottom w:val="0"/>
      <w:divBdr>
        <w:top w:val="none" w:sz="0" w:space="0" w:color="auto"/>
        <w:left w:val="none" w:sz="0" w:space="0" w:color="auto"/>
        <w:bottom w:val="none" w:sz="0" w:space="0" w:color="auto"/>
        <w:right w:val="none" w:sz="0" w:space="0" w:color="auto"/>
      </w:divBdr>
    </w:div>
    <w:div w:id="481121403">
      <w:bodyDiv w:val="1"/>
      <w:marLeft w:val="0"/>
      <w:marRight w:val="0"/>
      <w:marTop w:val="0"/>
      <w:marBottom w:val="0"/>
      <w:divBdr>
        <w:top w:val="none" w:sz="0" w:space="0" w:color="auto"/>
        <w:left w:val="none" w:sz="0" w:space="0" w:color="auto"/>
        <w:bottom w:val="none" w:sz="0" w:space="0" w:color="auto"/>
        <w:right w:val="none" w:sz="0" w:space="0" w:color="auto"/>
      </w:divBdr>
    </w:div>
    <w:div w:id="481393136">
      <w:bodyDiv w:val="1"/>
      <w:marLeft w:val="0"/>
      <w:marRight w:val="0"/>
      <w:marTop w:val="0"/>
      <w:marBottom w:val="0"/>
      <w:divBdr>
        <w:top w:val="none" w:sz="0" w:space="0" w:color="auto"/>
        <w:left w:val="none" w:sz="0" w:space="0" w:color="auto"/>
        <w:bottom w:val="none" w:sz="0" w:space="0" w:color="auto"/>
        <w:right w:val="none" w:sz="0" w:space="0" w:color="auto"/>
      </w:divBdr>
    </w:div>
    <w:div w:id="484665823">
      <w:bodyDiv w:val="1"/>
      <w:marLeft w:val="0"/>
      <w:marRight w:val="0"/>
      <w:marTop w:val="0"/>
      <w:marBottom w:val="0"/>
      <w:divBdr>
        <w:top w:val="none" w:sz="0" w:space="0" w:color="auto"/>
        <w:left w:val="none" w:sz="0" w:space="0" w:color="auto"/>
        <w:bottom w:val="none" w:sz="0" w:space="0" w:color="auto"/>
        <w:right w:val="none" w:sz="0" w:space="0" w:color="auto"/>
      </w:divBdr>
    </w:div>
    <w:div w:id="485323932">
      <w:bodyDiv w:val="1"/>
      <w:marLeft w:val="0"/>
      <w:marRight w:val="0"/>
      <w:marTop w:val="0"/>
      <w:marBottom w:val="0"/>
      <w:divBdr>
        <w:top w:val="none" w:sz="0" w:space="0" w:color="auto"/>
        <w:left w:val="none" w:sz="0" w:space="0" w:color="auto"/>
        <w:bottom w:val="none" w:sz="0" w:space="0" w:color="auto"/>
        <w:right w:val="none" w:sz="0" w:space="0" w:color="auto"/>
      </w:divBdr>
    </w:div>
    <w:div w:id="491486500">
      <w:bodyDiv w:val="1"/>
      <w:marLeft w:val="0"/>
      <w:marRight w:val="0"/>
      <w:marTop w:val="0"/>
      <w:marBottom w:val="0"/>
      <w:divBdr>
        <w:top w:val="none" w:sz="0" w:space="0" w:color="auto"/>
        <w:left w:val="none" w:sz="0" w:space="0" w:color="auto"/>
        <w:bottom w:val="none" w:sz="0" w:space="0" w:color="auto"/>
        <w:right w:val="none" w:sz="0" w:space="0" w:color="auto"/>
      </w:divBdr>
    </w:div>
    <w:div w:id="494682933">
      <w:bodyDiv w:val="1"/>
      <w:marLeft w:val="0"/>
      <w:marRight w:val="0"/>
      <w:marTop w:val="0"/>
      <w:marBottom w:val="0"/>
      <w:divBdr>
        <w:top w:val="none" w:sz="0" w:space="0" w:color="auto"/>
        <w:left w:val="none" w:sz="0" w:space="0" w:color="auto"/>
        <w:bottom w:val="none" w:sz="0" w:space="0" w:color="auto"/>
        <w:right w:val="none" w:sz="0" w:space="0" w:color="auto"/>
      </w:divBdr>
    </w:div>
    <w:div w:id="502823188">
      <w:bodyDiv w:val="1"/>
      <w:marLeft w:val="0"/>
      <w:marRight w:val="0"/>
      <w:marTop w:val="0"/>
      <w:marBottom w:val="0"/>
      <w:divBdr>
        <w:top w:val="none" w:sz="0" w:space="0" w:color="auto"/>
        <w:left w:val="none" w:sz="0" w:space="0" w:color="auto"/>
        <w:bottom w:val="none" w:sz="0" w:space="0" w:color="auto"/>
        <w:right w:val="none" w:sz="0" w:space="0" w:color="auto"/>
      </w:divBdr>
    </w:div>
    <w:div w:id="509292341">
      <w:bodyDiv w:val="1"/>
      <w:marLeft w:val="0"/>
      <w:marRight w:val="0"/>
      <w:marTop w:val="0"/>
      <w:marBottom w:val="0"/>
      <w:divBdr>
        <w:top w:val="none" w:sz="0" w:space="0" w:color="auto"/>
        <w:left w:val="none" w:sz="0" w:space="0" w:color="auto"/>
        <w:bottom w:val="none" w:sz="0" w:space="0" w:color="auto"/>
        <w:right w:val="none" w:sz="0" w:space="0" w:color="auto"/>
      </w:divBdr>
    </w:div>
    <w:div w:id="516313305">
      <w:bodyDiv w:val="1"/>
      <w:marLeft w:val="0"/>
      <w:marRight w:val="0"/>
      <w:marTop w:val="0"/>
      <w:marBottom w:val="0"/>
      <w:divBdr>
        <w:top w:val="none" w:sz="0" w:space="0" w:color="auto"/>
        <w:left w:val="none" w:sz="0" w:space="0" w:color="auto"/>
        <w:bottom w:val="none" w:sz="0" w:space="0" w:color="auto"/>
        <w:right w:val="none" w:sz="0" w:space="0" w:color="auto"/>
      </w:divBdr>
    </w:div>
    <w:div w:id="536772452">
      <w:bodyDiv w:val="1"/>
      <w:marLeft w:val="0"/>
      <w:marRight w:val="0"/>
      <w:marTop w:val="0"/>
      <w:marBottom w:val="0"/>
      <w:divBdr>
        <w:top w:val="none" w:sz="0" w:space="0" w:color="auto"/>
        <w:left w:val="none" w:sz="0" w:space="0" w:color="auto"/>
        <w:bottom w:val="none" w:sz="0" w:space="0" w:color="auto"/>
        <w:right w:val="none" w:sz="0" w:space="0" w:color="auto"/>
      </w:divBdr>
    </w:div>
    <w:div w:id="537623154">
      <w:bodyDiv w:val="1"/>
      <w:marLeft w:val="0"/>
      <w:marRight w:val="0"/>
      <w:marTop w:val="0"/>
      <w:marBottom w:val="0"/>
      <w:divBdr>
        <w:top w:val="none" w:sz="0" w:space="0" w:color="auto"/>
        <w:left w:val="none" w:sz="0" w:space="0" w:color="auto"/>
        <w:bottom w:val="none" w:sz="0" w:space="0" w:color="auto"/>
        <w:right w:val="none" w:sz="0" w:space="0" w:color="auto"/>
      </w:divBdr>
      <w:divsChild>
        <w:div w:id="480924133">
          <w:marLeft w:val="0"/>
          <w:marRight w:val="0"/>
          <w:marTop w:val="0"/>
          <w:marBottom w:val="0"/>
          <w:divBdr>
            <w:top w:val="none" w:sz="0" w:space="0" w:color="auto"/>
            <w:left w:val="none" w:sz="0" w:space="0" w:color="auto"/>
            <w:bottom w:val="none" w:sz="0" w:space="0" w:color="auto"/>
            <w:right w:val="none" w:sz="0" w:space="0" w:color="auto"/>
          </w:divBdr>
          <w:divsChild>
            <w:div w:id="127205513">
              <w:marLeft w:val="0"/>
              <w:marRight w:val="0"/>
              <w:marTop w:val="0"/>
              <w:marBottom w:val="0"/>
              <w:divBdr>
                <w:top w:val="none" w:sz="0" w:space="0" w:color="auto"/>
                <w:left w:val="none" w:sz="0" w:space="0" w:color="auto"/>
                <w:bottom w:val="none" w:sz="0" w:space="0" w:color="auto"/>
                <w:right w:val="none" w:sz="0" w:space="0" w:color="auto"/>
              </w:divBdr>
              <w:divsChild>
                <w:div w:id="1686126310">
                  <w:marLeft w:val="0"/>
                  <w:marRight w:val="0"/>
                  <w:marTop w:val="0"/>
                  <w:marBottom w:val="0"/>
                  <w:divBdr>
                    <w:top w:val="none" w:sz="0" w:space="0" w:color="auto"/>
                    <w:left w:val="none" w:sz="0" w:space="0" w:color="auto"/>
                    <w:bottom w:val="none" w:sz="0" w:space="0" w:color="auto"/>
                    <w:right w:val="none" w:sz="0" w:space="0" w:color="auto"/>
                  </w:divBdr>
                  <w:divsChild>
                    <w:div w:id="7798846">
                      <w:marLeft w:val="0"/>
                      <w:marRight w:val="0"/>
                      <w:marTop w:val="0"/>
                      <w:marBottom w:val="0"/>
                      <w:divBdr>
                        <w:top w:val="none" w:sz="0" w:space="0" w:color="auto"/>
                        <w:left w:val="none" w:sz="0" w:space="0" w:color="auto"/>
                        <w:bottom w:val="none" w:sz="0" w:space="0" w:color="auto"/>
                        <w:right w:val="none" w:sz="0" w:space="0" w:color="auto"/>
                      </w:divBdr>
                      <w:divsChild>
                        <w:div w:id="2003308778">
                          <w:marLeft w:val="0"/>
                          <w:marRight w:val="0"/>
                          <w:marTop w:val="0"/>
                          <w:marBottom w:val="0"/>
                          <w:divBdr>
                            <w:top w:val="none" w:sz="0" w:space="0" w:color="auto"/>
                            <w:left w:val="none" w:sz="0" w:space="0" w:color="auto"/>
                            <w:bottom w:val="none" w:sz="0" w:space="0" w:color="auto"/>
                            <w:right w:val="none" w:sz="0" w:space="0" w:color="auto"/>
                          </w:divBdr>
                          <w:divsChild>
                            <w:div w:id="875775901">
                              <w:marLeft w:val="0"/>
                              <w:marRight w:val="0"/>
                              <w:marTop w:val="0"/>
                              <w:marBottom w:val="0"/>
                              <w:divBdr>
                                <w:top w:val="none" w:sz="0" w:space="0" w:color="auto"/>
                                <w:left w:val="none" w:sz="0" w:space="0" w:color="auto"/>
                                <w:bottom w:val="none" w:sz="0" w:space="0" w:color="auto"/>
                                <w:right w:val="none" w:sz="0" w:space="0" w:color="auto"/>
                              </w:divBdr>
                              <w:divsChild>
                                <w:div w:id="1174222866">
                                  <w:marLeft w:val="0"/>
                                  <w:marRight w:val="0"/>
                                  <w:marTop w:val="0"/>
                                  <w:marBottom w:val="0"/>
                                  <w:divBdr>
                                    <w:top w:val="none" w:sz="0" w:space="0" w:color="auto"/>
                                    <w:left w:val="none" w:sz="0" w:space="0" w:color="auto"/>
                                    <w:bottom w:val="none" w:sz="0" w:space="0" w:color="auto"/>
                                    <w:right w:val="none" w:sz="0" w:space="0" w:color="auto"/>
                                  </w:divBdr>
                                  <w:divsChild>
                                    <w:div w:id="2100052982">
                                      <w:marLeft w:val="0"/>
                                      <w:marRight w:val="0"/>
                                      <w:marTop w:val="0"/>
                                      <w:marBottom w:val="0"/>
                                      <w:divBdr>
                                        <w:top w:val="none" w:sz="0" w:space="0" w:color="auto"/>
                                        <w:left w:val="none" w:sz="0" w:space="0" w:color="auto"/>
                                        <w:bottom w:val="none" w:sz="0" w:space="0" w:color="auto"/>
                                        <w:right w:val="none" w:sz="0" w:space="0" w:color="auto"/>
                                      </w:divBdr>
                                      <w:divsChild>
                                        <w:div w:id="123932603">
                                          <w:marLeft w:val="0"/>
                                          <w:marRight w:val="0"/>
                                          <w:marTop w:val="0"/>
                                          <w:marBottom w:val="0"/>
                                          <w:divBdr>
                                            <w:top w:val="none" w:sz="0" w:space="0" w:color="auto"/>
                                            <w:left w:val="none" w:sz="0" w:space="0" w:color="auto"/>
                                            <w:bottom w:val="none" w:sz="0" w:space="0" w:color="auto"/>
                                            <w:right w:val="none" w:sz="0" w:space="0" w:color="auto"/>
                                          </w:divBdr>
                                          <w:divsChild>
                                            <w:div w:id="1233005277">
                                              <w:marLeft w:val="0"/>
                                              <w:marRight w:val="0"/>
                                              <w:marTop w:val="0"/>
                                              <w:marBottom w:val="0"/>
                                              <w:divBdr>
                                                <w:top w:val="none" w:sz="0" w:space="0" w:color="auto"/>
                                                <w:left w:val="none" w:sz="0" w:space="0" w:color="auto"/>
                                                <w:bottom w:val="none" w:sz="0" w:space="0" w:color="auto"/>
                                                <w:right w:val="none" w:sz="0" w:space="0" w:color="auto"/>
                                              </w:divBdr>
                                              <w:divsChild>
                                                <w:div w:id="1200387926">
                                                  <w:marLeft w:val="0"/>
                                                  <w:marRight w:val="0"/>
                                                  <w:marTop w:val="0"/>
                                                  <w:marBottom w:val="0"/>
                                                  <w:divBdr>
                                                    <w:top w:val="none" w:sz="0" w:space="0" w:color="auto"/>
                                                    <w:left w:val="none" w:sz="0" w:space="0" w:color="auto"/>
                                                    <w:bottom w:val="none" w:sz="0" w:space="0" w:color="auto"/>
                                                    <w:right w:val="none" w:sz="0" w:space="0" w:color="auto"/>
                                                  </w:divBdr>
                                                  <w:divsChild>
                                                    <w:div w:id="1391348783">
                                                      <w:marLeft w:val="0"/>
                                                      <w:marRight w:val="0"/>
                                                      <w:marTop w:val="0"/>
                                                      <w:marBottom w:val="0"/>
                                                      <w:divBdr>
                                                        <w:top w:val="none" w:sz="0" w:space="0" w:color="auto"/>
                                                        <w:left w:val="none" w:sz="0" w:space="0" w:color="auto"/>
                                                        <w:bottom w:val="none" w:sz="0" w:space="0" w:color="auto"/>
                                                        <w:right w:val="none" w:sz="0" w:space="0" w:color="auto"/>
                                                      </w:divBdr>
                                                      <w:divsChild>
                                                        <w:div w:id="541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8380955">
          <w:marLeft w:val="0"/>
          <w:marRight w:val="0"/>
          <w:marTop w:val="0"/>
          <w:marBottom w:val="0"/>
          <w:divBdr>
            <w:top w:val="none" w:sz="0" w:space="0" w:color="auto"/>
            <w:left w:val="none" w:sz="0" w:space="0" w:color="auto"/>
            <w:bottom w:val="none" w:sz="0" w:space="0" w:color="auto"/>
            <w:right w:val="none" w:sz="0" w:space="0" w:color="auto"/>
          </w:divBdr>
          <w:divsChild>
            <w:div w:id="1635335511">
              <w:marLeft w:val="0"/>
              <w:marRight w:val="0"/>
              <w:marTop w:val="0"/>
              <w:marBottom w:val="0"/>
              <w:divBdr>
                <w:top w:val="none" w:sz="0" w:space="0" w:color="auto"/>
                <w:left w:val="none" w:sz="0" w:space="0" w:color="auto"/>
                <w:bottom w:val="none" w:sz="0" w:space="0" w:color="auto"/>
                <w:right w:val="none" w:sz="0" w:space="0" w:color="auto"/>
              </w:divBdr>
              <w:divsChild>
                <w:div w:id="1858303574">
                  <w:marLeft w:val="0"/>
                  <w:marRight w:val="0"/>
                  <w:marTop w:val="0"/>
                  <w:marBottom w:val="0"/>
                  <w:divBdr>
                    <w:top w:val="none" w:sz="0" w:space="0" w:color="auto"/>
                    <w:left w:val="none" w:sz="0" w:space="0" w:color="auto"/>
                    <w:bottom w:val="none" w:sz="0" w:space="0" w:color="auto"/>
                    <w:right w:val="none" w:sz="0" w:space="0" w:color="auto"/>
                  </w:divBdr>
                  <w:divsChild>
                    <w:div w:id="408113360">
                      <w:marLeft w:val="0"/>
                      <w:marRight w:val="0"/>
                      <w:marTop w:val="0"/>
                      <w:marBottom w:val="0"/>
                      <w:divBdr>
                        <w:top w:val="none" w:sz="0" w:space="0" w:color="auto"/>
                        <w:left w:val="none" w:sz="0" w:space="0" w:color="auto"/>
                        <w:bottom w:val="none" w:sz="0" w:space="0" w:color="auto"/>
                        <w:right w:val="none" w:sz="0" w:space="0" w:color="auto"/>
                      </w:divBdr>
                      <w:divsChild>
                        <w:div w:id="1337614253">
                          <w:marLeft w:val="0"/>
                          <w:marRight w:val="0"/>
                          <w:marTop w:val="0"/>
                          <w:marBottom w:val="0"/>
                          <w:divBdr>
                            <w:top w:val="none" w:sz="0" w:space="0" w:color="auto"/>
                            <w:left w:val="none" w:sz="0" w:space="0" w:color="auto"/>
                            <w:bottom w:val="none" w:sz="0" w:space="0" w:color="auto"/>
                            <w:right w:val="none" w:sz="0" w:space="0" w:color="auto"/>
                          </w:divBdr>
                          <w:divsChild>
                            <w:div w:id="856112691">
                              <w:marLeft w:val="0"/>
                              <w:marRight w:val="0"/>
                              <w:marTop w:val="0"/>
                              <w:marBottom w:val="0"/>
                              <w:divBdr>
                                <w:top w:val="none" w:sz="0" w:space="0" w:color="auto"/>
                                <w:left w:val="none" w:sz="0" w:space="0" w:color="auto"/>
                                <w:bottom w:val="none" w:sz="0" w:space="0" w:color="auto"/>
                                <w:right w:val="none" w:sz="0" w:space="0" w:color="auto"/>
                              </w:divBdr>
                              <w:divsChild>
                                <w:div w:id="807356979">
                                  <w:marLeft w:val="0"/>
                                  <w:marRight w:val="0"/>
                                  <w:marTop w:val="0"/>
                                  <w:marBottom w:val="0"/>
                                  <w:divBdr>
                                    <w:top w:val="none" w:sz="0" w:space="0" w:color="auto"/>
                                    <w:left w:val="none" w:sz="0" w:space="0" w:color="auto"/>
                                    <w:bottom w:val="none" w:sz="0" w:space="0" w:color="auto"/>
                                    <w:right w:val="none" w:sz="0" w:space="0" w:color="auto"/>
                                  </w:divBdr>
                                  <w:divsChild>
                                    <w:div w:id="220214794">
                                      <w:marLeft w:val="0"/>
                                      <w:marRight w:val="0"/>
                                      <w:marTop w:val="0"/>
                                      <w:marBottom w:val="0"/>
                                      <w:divBdr>
                                        <w:top w:val="none" w:sz="0" w:space="0" w:color="auto"/>
                                        <w:left w:val="none" w:sz="0" w:space="0" w:color="auto"/>
                                        <w:bottom w:val="none" w:sz="0" w:space="0" w:color="auto"/>
                                        <w:right w:val="none" w:sz="0" w:space="0" w:color="auto"/>
                                      </w:divBdr>
                                      <w:divsChild>
                                        <w:div w:id="437021824">
                                          <w:marLeft w:val="0"/>
                                          <w:marRight w:val="0"/>
                                          <w:marTop w:val="0"/>
                                          <w:marBottom w:val="0"/>
                                          <w:divBdr>
                                            <w:top w:val="none" w:sz="0" w:space="0" w:color="auto"/>
                                            <w:left w:val="none" w:sz="0" w:space="0" w:color="auto"/>
                                            <w:bottom w:val="none" w:sz="0" w:space="0" w:color="auto"/>
                                            <w:right w:val="none" w:sz="0" w:space="0" w:color="auto"/>
                                          </w:divBdr>
                                          <w:divsChild>
                                            <w:div w:id="1301423324">
                                              <w:marLeft w:val="0"/>
                                              <w:marRight w:val="0"/>
                                              <w:marTop w:val="0"/>
                                              <w:marBottom w:val="0"/>
                                              <w:divBdr>
                                                <w:top w:val="none" w:sz="0" w:space="0" w:color="auto"/>
                                                <w:left w:val="none" w:sz="0" w:space="0" w:color="auto"/>
                                                <w:bottom w:val="none" w:sz="0" w:space="0" w:color="auto"/>
                                                <w:right w:val="none" w:sz="0" w:space="0" w:color="auto"/>
                                              </w:divBdr>
                                              <w:divsChild>
                                                <w:div w:id="1746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0023509">
      <w:bodyDiv w:val="1"/>
      <w:marLeft w:val="0"/>
      <w:marRight w:val="0"/>
      <w:marTop w:val="0"/>
      <w:marBottom w:val="0"/>
      <w:divBdr>
        <w:top w:val="none" w:sz="0" w:space="0" w:color="auto"/>
        <w:left w:val="none" w:sz="0" w:space="0" w:color="auto"/>
        <w:bottom w:val="none" w:sz="0" w:space="0" w:color="auto"/>
        <w:right w:val="none" w:sz="0" w:space="0" w:color="auto"/>
      </w:divBdr>
    </w:div>
    <w:div w:id="545876798">
      <w:bodyDiv w:val="1"/>
      <w:marLeft w:val="0"/>
      <w:marRight w:val="0"/>
      <w:marTop w:val="0"/>
      <w:marBottom w:val="0"/>
      <w:divBdr>
        <w:top w:val="none" w:sz="0" w:space="0" w:color="auto"/>
        <w:left w:val="none" w:sz="0" w:space="0" w:color="auto"/>
        <w:bottom w:val="none" w:sz="0" w:space="0" w:color="auto"/>
        <w:right w:val="none" w:sz="0" w:space="0" w:color="auto"/>
      </w:divBdr>
    </w:div>
    <w:div w:id="555045481">
      <w:bodyDiv w:val="1"/>
      <w:marLeft w:val="0"/>
      <w:marRight w:val="0"/>
      <w:marTop w:val="0"/>
      <w:marBottom w:val="0"/>
      <w:divBdr>
        <w:top w:val="none" w:sz="0" w:space="0" w:color="auto"/>
        <w:left w:val="none" w:sz="0" w:space="0" w:color="auto"/>
        <w:bottom w:val="none" w:sz="0" w:space="0" w:color="auto"/>
        <w:right w:val="none" w:sz="0" w:space="0" w:color="auto"/>
      </w:divBdr>
    </w:div>
    <w:div w:id="560334722">
      <w:bodyDiv w:val="1"/>
      <w:marLeft w:val="0"/>
      <w:marRight w:val="0"/>
      <w:marTop w:val="0"/>
      <w:marBottom w:val="0"/>
      <w:divBdr>
        <w:top w:val="none" w:sz="0" w:space="0" w:color="auto"/>
        <w:left w:val="none" w:sz="0" w:space="0" w:color="auto"/>
        <w:bottom w:val="none" w:sz="0" w:space="0" w:color="auto"/>
        <w:right w:val="none" w:sz="0" w:space="0" w:color="auto"/>
      </w:divBdr>
    </w:div>
    <w:div w:id="571814131">
      <w:bodyDiv w:val="1"/>
      <w:marLeft w:val="0"/>
      <w:marRight w:val="0"/>
      <w:marTop w:val="0"/>
      <w:marBottom w:val="0"/>
      <w:divBdr>
        <w:top w:val="none" w:sz="0" w:space="0" w:color="auto"/>
        <w:left w:val="none" w:sz="0" w:space="0" w:color="auto"/>
        <w:bottom w:val="none" w:sz="0" w:space="0" w:color="auto"/>
        <w:right w:val="none" w:sz="0" w:space="0" w:color="auto"/>
      </w:divBdr>
    </w:div>
    <w:div w:id="573203889">
      <w:bodyDiv w:val="1"/>
      <w:marLeft w:val="0"/>
      <w:marRight w:val="0"/>
      <w:marTop w:val="0"/>
      <w:marBottom w:val="0"/>
      <w:divBdr>
        <w:top w:val="none" w:sz="0" w:space="0" w:color="auto"/>
        <w:left w:val="none" w:sz="0" w:space="0" w:color="auto"/>
        <w:bottom w:val="none" w:sz="0" w:space="0" w:color="auto"/>
        <w:right w:val="none" w:sz="0" w:space="0" w:color="auto"/>
      </w:divBdr>
    </w:div>
    <w:div w:id="575168408">
      <w:bodyDiv w:val="1"/>
      <w:marLeft w:val="0"/>
      <w:marRight w:val="0"/>
      <w:marTop w:val="0"/>
      <w:marBottom w:val="0"/>
      <w:divBdr>
        <w:top w:val="none" w:sz="0" w:space="0" w:color="auto"/>
        <w:left w:val="none" w:sz="0" w:space="0" w:color="auto"/>
        <w:bottom w:val="none" w:sz="0" w:space="0" w:color="auto"/>
        <w:right w:val="none" w:sz="0" w:space="0" w:color="auto"/>
      </w:divBdr>
    </w:div>
    <w:div w:id="579828391">
      <w:bodyDiv w:val="1"/>
      <w:marLeft w:val="0"/>
      <w:marRight w:val="0"/>
      <w:marTop w:val="0"/>
      <w:marBottom w:val="0"/>
      <w:divBdr>
        <w:top w:val="none" w:sz="0" w:space="0" w:color="auto"/>
        <w:left w:val="none" w:sz="0" w:space="0" w:color="auto"/>
        <w:bottom w:val="none" w:sz="0" w:space="0" w:color="auto"/>
        <w:right w:val="none" w:sz="0" w:space="0" w:color="auto"/>
      </w:divBdr>
    </w:div>
    <w:div w:id="580867583">
      <w:bodyDiv w:val="1"/>
      <w:marLeft w:val="0"/>
      <w:marRight w:val="0"/>
      <w:marTop w:val="0"/>
      <w:marBottom w:val="0"/>
      <w:divBdr>
        <w:top w:val="none" w:sz="0" w:space="0" w:color="auto"/>
        <w:left w:val="none" w:sz="0" w:space="0" w:color="auto"/>
        <w:bottom w:val="none" w:sz="0" w:space="0" w:color="auto"/>
        <w:right w:val="none" w:sz="0" w:space="0" w:color="auto"/>
      </w:divBdr>
    </w:div>
    <w:div w:id="606280345">
      <w:bodyDiv w:val="1"/>
      <w:marLeft w:val="0"/>
      <w:marRight w:val="0"/>
      <w:marTop w:val="0"/>
      <w:marBottom w:val="0"/>
      <w:divBdr>
        <w:top w:val="none" w:sz="0" w:space="0" w:color="auto"/>
        <w:left w:val="none" w:sz="0" w:space="0" w:color="auto"/>
        <w:bottom w:val="none" w:sz="0" w:space="0" w:color="auto"/>
        <w:right w:val="none" w:sz="0" w:space="0" w:color="auto"/>
      </w:divBdr>
    </w:div>
    <w:div w:id="625890594">
      <w:bodyDiv w:val="1"/>
      <w:marLeft w:val="0"/>
      <w:marRight w:val="0"/>
      <w:marTop w:val="0"/>
      <w:marBottom w:val="0"/>
      <w:divBdr>
        <w:top w:val="none" w:sz="0" w:space="0" w:color="auto"/>
        <w:left w:val="none" w:sz="0" w:space="0" w:color="auto"/>
        <w:bottom w:val="none" w:sz="0" w:space="0" w:color="auto"/>
        <w:right w:val="none" w:sz="0" w:space="0" w:color="auto"/>
      </w:divBdr>
    </w:div>
    <w:div w:id="634336463">
      <w:bodyDiv w:val="1"/>
      <w:marLeft w:val="0"/>
      <w:marRight w:val="0"/>
      <w:marTop w:val="0"/>
      <w:marBottom w:val="0"/>
      <w:divBdr>
        <w:top w:val="none" w:sz="0" w:space="0" w:color="auto"/>
        <w:left w:val="none" w:sz="0" w:space="0" w:color="auto"/>
        <w:bottom w:val="none" w:sz="0" w:space="0" w:color="auto"/>
        <w:right w:val="none" w:sz="0" w:space="0" w:color="auto"/>
      </w:divBdr>
      <w:divsChild>
        <w:div w:id="465121011">
          <w:marLeft w:val="-720"/>
          <w:marRight w:val="0"/>
          <w:marTop w:val="0"/>
          <w:marBottom w:val="0"/>
          <w:divBdr>
            <w:top w:val="none" w:sz="0" w:space="0" w:color="auto"/>
            <w:left w:val="none" w:sz="0" w:space="0" w:color="auto"/>
            <w:bottom w:val="none" w:sz="0" w:space="0" w:color="auto"/>
            <w:right w:val="none" w:sz="0" w:space="0" w:color="auto"/>
          </w:divBdr>
        </w:div>
      </w:divsChild>
    </w:div>
    <w:div w:id="652300233">
      <w:bodyDiv w:val="1"/>
      <w:marLeft w:val="0"/>
      <w:marRight w:val="0"/>
      <w:marTop w:val="0"/>
      <w:marBottom w:val="0"/>
      <w:divBdr>
        <w:top w:val="none" w:sz="0" w:space="0" w:color="auto"/>
        <w:left w:val="none" w:sz="0" w:space="0" w:color="auto"/>
        <w:bottom w:val="none" w:sz="0" w:space="0" w:color="auto"/>
        <w:right w:val="none" w:sz="0" w:space="0" w:color="auto"/>
      </w:divBdr>
    </w:div>
    <w:div w:id="660500105">
      <w:bodyDiv w:val="1"/>
      <w:marLeft w:val="0"/>
      <w:marRight w:val="0"/>
      <w:marTop w:val="0"/>
      <w:marBottom w:val="0"/>
      <w:divBdr>
        <w:top w:val="none" w:sz="0" w:space="0" w:color="auto"/>
        <w:left w:val="none" w:sz="0" w:space="0" w:color="auto"/>
        <w:bottom w:val="none" w:sz="0" w:space="0" w:color="auto"/>
        <w:right w:val="none" w:sz="0" w:space="0" w:color="auto"/>
      </w:divBdr>
    </w:div>
    <w:div w:id="668992236">
      <w:bodyDiv w:val="1"/>
      <w:marLeft w:val="0"/>
      <w:marRight w:val="0"/>
      <w:marTop w:val="0"/>
      <w:marBottom w:val="0"/>
      <w:divBdr>
        <w:top w:val="none" w:sz="0" w:space="0" w:color="auto"/>
        <w:left w:val="none" w:sz="0" w:space="0" w:color="auto"/>
        <w:bottom w:val="none" w:sz="0" w:space="0" w:color="auto"/>
        <w:right w:val="none" w:sz="0" w:space="0" w:color="auto"/>
      </w:divBdr>
    </w:div>
    <w:div w:id="669600818">
      <w:bodyDiv w:val="1"/>
      <w:marLeft w:val="0"/>
      <w:marRight w:val="0"/>
      <w:marTop w:val="0"/>
      <w:marBottom w:val="0"/>
      <w:divBdr>
        <w:top w:val="none" w:sz="0" w:space="0" w:color="auto"/>
        <w:left w:val="none" w:sz="0" w:space="0" w:color="auto"/>
        <w:bottom w:val="none" w:sz="0" w:space="0" w:color="auto"/>
        <w:right w:val="none" w:sz="0" w:space="0" w:color="auto"/>
      </w:divBdr>
    </w:div>
    <w:div w:id="674917036">
      <w:bodyDiv w:val="1"/>
      <w:marLeft w:val="0"/>
      <w:marRight w:val="0"/>
      <w:marTop w:val="0"/>
      <w:marBottom w:val="0"/>
      <w:divBdr>
        <w:top w:val="none" w:sz="0" w:space="0" w:color="auto"/>
        <w:left w:val="none" w:sz="0" w:space="0" w:color="auto"/>
        <w:bottom w:val="none" w:sz="0" w:space="0" w:color="auto"/>
        <w:right w:val="none" w:sz="0" w:space="0" w:color="auto"/>
      </w:divBdr>
    </w:div>
    <w:div w:id="675037675">
      <w:bodyDiv w:val="1"/>
      <w:marLeft w:val="0"/>
      <w:marRight w:val="0"/>
      <w:marTop w:val="0"/>
      <w:marBottom w:val="0"/>
      <w:divBdr>
        <w:top w:val="none" w:sz="0" w:space="0" w:color="auto"/>
        <w:left w:val="none" w:sz="0" w:space="0" w:color="auto"/>
        <w:bottom w:val="none" w:sz="0" w:space="0" w:color="auto"/>
        <w:right w:val="none" w:sz="0" w:space="0" w:color="auto"/>
      </w:divBdr>
    </w:div>
    <w:div w:id="692613932">
      <w:bodyDiv w:val="1"/>
      <w:marLeft w:val="0"/>
      <w:marRight w:val="0"/>
      <w:marTop w:val="0"/>
      <w:marBottom w:val="0"/>
      <w:divBdr>
        <w:top w:val="none" w:sz="0" w:space="0" w:color="auto"/>
        <w:left w:val="none" w:sz="0" w:space="0" w:color="auto"/>
        <w:bottom w:val="none" w:sz="0" w:space="0" w:color="auto"/>
        <w:right w:val="none" w:sz="0" w:space="0" w:color="auto"/>
      </w:divBdr>
    </w:div>
    <w:div w:id="702435858">
      <w:bodyDiv w:val="1"/>
      <w:marLeft w:val="0"/>
      <w:marRight w:val="0"/>
      <w:marTop w:val="0"/>
      <w:marBottom w:val="0"/>
      <w:divBdr>
        <w:top w:val="none" w:sz="0" w:space="0" w:color="auto"/>
        <w:left w:val="none" w:sz="0" w:space="0" w:color="auto"/>
        <w:bottom w:val="none" w:sz="0" w:space="0" w:color="auto"/>
        <w:right w:val="none" w:sz="0" w:space="0" w:color="auto"/>
      </w:divBdr>
      <w:divsChild>
        <w:div w:id="306592469">
          <w:marLeft w:val="-720"/>
          <w:marRight w:val="0"/>
          <w:marTop w:val="0"/>
          <w:marBottom w:val="0"/>
          <w:divBdr>
            <w:top w:val="none" w:sz="0" w:space="0" w:color="auto"/>
            <w:left w:val="none" w:sz="0" w:space="0" w:color="auto"/>
            <w:bottom w:val="none" w:sz="0" w:space="0" w:color="auto"/>
            <w:right w:val="none" w:sz="0" w:space="0" w:color="auto"/>
          </w:divBdr>
        </w:div>
      </w:divsChild>
    </w:div>
    <w:div w:id="708913071">
      <w:bodyDiv w:val="1"/>
      <w:marLeft w:val="0"/>
      <w:marRight w:val="0"/>
      <w:marTop w:val="0"/>
      <w:marBottom w:val="0"/>
      <w:divBdr>
        <w:top w:val="none" w:sz="0" w:space="0" w:color="auto"/>
        <w:left w:val="none" w:sz="0" w:space="0" w:color="auto"/>
        <w:bottom w:val="none" w:sz="0" w:space="0" w:color="auto"/>
        <w:right w:val="none" w:sz="0" w:space="0" w:color="auto"/>
      </w:divBdr>
    </w:div>
    <w:div w:id="714890299">
      <w:bodyDiv w:val="1"/>
      <w:marLeft w:val="0"/>
      <w:marRight w:val="0"/>
      <w:marTop w:val="0"/>
      <w:marBottom w:val="0"/>
      <w:divBdr>
        <w:top w:val="none" w:sz="0" w:space="0" w:color="auto"/>
        <w:left w:val="none" w:sz="0" w:space="0" w:color="auto"/>
        <w:bottom w:val="none" w:sz="0" w:space="0" w:color="auto"/>
        <w:right w:val="none" w:sz="0" w:space="0" w:color="auto"/>
      </w:divBdr>
    </w:div>
    <w:div w:id="724526761">
      <w:bodyDiv w:val="1"/>
      <w:marLeft w:val="0"/>
      <w:marRight w:val="0"/>
      <w:marTop w:val="0"/>
      <w:marBottom w:val="0"/>
      <w:divBdr>
        <w:top w:val="none" w:sz="0" w:space="0" w:color="auto"/>
        <w:left w:val="none" w:sz="0" w:space="0" w:color="auto"/>
        <w:bottom w:val="none" w:sz="0" w:space="0" w:color="auto"/>
        <w:right w:val="none" w:sz="0" w:space="0" w:color="auto"/>
      </w:divBdr>
    </w:div>
    <w:div w:id="740641075">
      <w:bodyDiv w:val="1"/>
      <w:marLeft w:val="0"/>
      <w:marRight w:val="0"/>
      <w:marTop w:val="0"/>
      <w:marBottom w:val="0"/>
      <w:divBdr>
        <w:top w:val="none" w:sz="0" w:space="0" w:color="auto"/>
        <w:left w:val="none" w:sz="0" w:space="0" w:color="auto"/>
        <w:bottom w:val="none" w:sz="0" w:space="0" w:color="auto"/>
        <w:right w:val="none" w:sz="0" w:space="0" w:color="auto"/>
      </w:divBdr>
    </w:div>
    <w:div w:id="740717339">
      <w:bodyDiv w:val="1"/>
      <w:marLeft w:val="0"/>
      <w:marRight w:val="0"/>
      <w:marTop w:val="0"/>
      <w:marBottom w:val="0"/>
      <w:divBdr>
        <w:top w:val="none" w:sz="0" w:space="0" w:color="auto"/>
        <w:left w:val="none" w:sz="0" w:space="0" w:color="auto"/>
        <w:bottom w:val="none" w:sz="0" w:space="0" w:color="auto"/>
        <w:right w:val="none" w:sz="0" w:space="0" w:color="auto"/>
      </w:divBdr>
      <w:divsChild>
        <w:div w:id="1126970413">
          <w:marLeft w:val="0"/>
          <w:marRight w:val="0"/>
          <w:marTop w:val="0"/>
          <w:marBottom w:val="0"/>
          <w:divBdr>
            <w:top w:val="none" w:sz="0" w:space="0" w:color="auto"/>
            <w:left w:val="none" w:sz="0" w:space="0" w:color="auto"/>
            <w:bottom w:val="none" w:sz="0" w:space="0" w:color="auto"/>
            <w:right w:val="none" w:sz="0" w:space="0" w:color="auto"/>
          </w:divBdr>
        </w:div>
      </w:divsChild>
    </w:div>
    <w:div w:id="763572318">
      <w:bodyDiv w:val="1"/>
      <w:marLeft w:val="0"/>
      <w:marRight w:val="0"/>
      <w:marTop w:val="0"/>
      <w:marBottom w:val="0"/>
      <w:divBdr>
        <w:top w:val="none" w:sz="0" w:space="0" w:color="auto"/>
        <w:left w:val="none" w:sz="0" w:space="0" w:color="auto"/>
        <w:bottom w:val="none" w:sz="0" w:space="0" w:color="auto"/>
        <w:right w:val="none" w:sz="0" w:space="0" w:color="auto"/>
      </w:divBdr>
    </w:div>
    <w:div w:id="777530723">
      <w:bodyDiv w:val="1"/>
      <w:marLeft w:val="0"/>
      <w:marRight w:val="0"/>
      <w:marTop w:val="0"/>
      <w:marBottom w:val="0"/>
      <w:divBdr>
        <w:top w:val="none" w:sz="0" w:space="0" w:color="auto"/>
        <w:left w:val="none" w:sz="0" w:space="0" w:color="auto"/>
        <w:bottom w:val="none" w:sz="0" w:space="0" w:color="auto"/>
        <w:right w:val="none" w:sz="0" w:space="0" w:color="auto"/>
      </w:divBdr>
    </w:div>
    <w:div w:id="786850430">
      <w:bodyDiv w:val="1"/>
      <w:marLeft w:val="0"/>
      <w:marRight w:val="0"/>
      <w:marTop w:val="0"/>
      <w:marBottom w:val="0"/>
      <w:divBdr>
        <w:top w:val="none" w:sz="0" w:space="0" w:color="auto"/>
        <w:left w:val="none" w:sz="0" w:space="0" w:color="auto"/>
        <w:bottom w:val="none" w:sz="0" w:space="0" w:color="auto"/>
        <w:right w:val="none" w:sz="0" w:space="0" w:color="auto"/>
      </w:divBdr>
    </w:div>
    <w:div w:id="793060707">
      <w:bodyDiv w:val="1"/>
      <w:marLeft w:val="0"/>
      <w:marRight w:val="0"/>
      <w:marTop w:val="0"/>
      <w:marBottom w:val="0"/>
      <w:divBdr>
        <w:top w:val="none" w:sz="0" w:space="0" w:color="auto"/>
        <w:left w:val="none" w:sz="0" w:space="0" w:color="auto"/>
        <w:bottom w:val="none" w:sz="0" w:space="0" w:color="auto"/>
        <w:right w:val="none" w:sz="0" w:space="0" w:color="auto"/>
      </w:divBdr>
      <w:divsChild>
        <w:div w:id="1882593229">
          <w:marLeft w:val="0"/>
          <w:marRight w:val="0"/>
          <w:marTop w:val="0"/>
          <w:marBottom w:val="0"/>
          <w:divBdr>
            <w:top w:val="none" w:sz="0" w:space="0" w:color="auto"/>
            <w:left w:val="none" w:sz="0" w:space="0" w:color="auto"/>
            <w:bottom w:val="none" w:sz="0" w:space="0" w:color="auto"/>
            <w:right w:val="none" w:sz="0" w:space="0" w:color="auto"/>
          </w:divBdr>
        </w:div>
      </w:divsChild>
    </w:div>
    <w:div w:id="825053063">
      <w:bodyDiv w:val="1"/>
      <w:marLeft w:val="0"/>
      <w:marRight w:val="0"/>
      <w:marTop w:val="0"/>
      <w:marBottom w:val="0"/>
      <w:divBdr>
        <w:top w:val="none" w:sz="0" w:space="0" w:color="auto"/>
        <w:left w:val="none" w:sz="0" w:space="0" w:color="auto"/>
        <w:bottom w:val="none" w:sz="0" w:space="0" w:color="auto"/>
        <w:right w:val="none" w:sz="0" w:space="0" w:color="auto"/>
      </w:divBdr>
    </w:div>
    <w:div w:id="830871834">
      <w:bodyDiv w:val="1"/>
      <w:marLeft w:val="0"/>
      <w:marRight w:val="0"/>
      <w:marTop w:val="0"/>
      <w:marBottom w:val="0"/>
      <w:divBdr>
        <w:top w:val="none" w:sz="0" w:space="0" w:color="auto"/>
        <w:left w:val="none" w:sz="0" w:space="0" w:color="auto"/>
        <w:bottom w:val="none" w:sz="0" w:space="0" w:color="auto"/>
        <w:right w:val="none" w:sz="0" w:space="0" w:color="auto"/>
      </w:divBdr>
    </w:div>
    <w:div w:id="840004601">
      <w:bodyDiv w:val="1"/>
      <w:marLeft w:val="0"/>
      <w:marRight w:val="0"/>
      <w:marTop w:val="0"/>
      <w:marBottom w:val="0"/>
      <w:divBdr>
        <w:top w:val="none" w:sz="0" w:space="0" w:color="auto"/>
        <w:left w:val="none" w:sz="0" w:space="0" w:color="auto"/>
        <w:bottom w:val="none" w:sz="0" w:space="0" w:color="auto"/>
        <w:right w:val="none" w:sz="0" w:space="0" w:color="auto"/>
      </w:divBdr>
      <w:divsChild>
        <w:div w:id="237447429">
          <w:marLeft w:val="0"/>
          <w:marRight w:val="0"/>
          <w:marTop w:val="0"/>
          <w:marBottom w:val="0"/>
          <w:divBdr>
            <w:top w:val="none" w:sz="0" w:space="0" w:color="auto"/>
            <w:left w:val="none" w:sz="0" w:space="0" w:color="auto"/>
            <w:bottom w:val="none" w:sz="0" w:space="0" w:color="auto"/>
            <w:right w:val="none" w:sz="0" w:space="0" w:color="auto"/>
          </w:divBdr>
          <w:divsChild>
            <w:div w:id="453596176">
              <w:marLeft w:val="0"/>
              <w:marRight w:val="0"/>
              <w:marTop w:val="0"/>
              <w:marBottom w:val="0"/>
              <w:divBdr>
                <w:top w:val="none" w:sz="0" w:space="0" w:color="auto"/>
                <w:left w:val="none" w:sz="0" w:space="0" w:color="auto"/>
                <w:bottom w:val="none" w:sz="0" w:space="0" w:color="auto"/>
                <w:right w:val="none" w:sz="0" w:space="0" w:color="auto"/>
              </w:divBdr>
              <w:divsChild>
                <w:div w:id="1291470580">
                  <w:marLeft w:val="0"/>
                  <w:marRight w:val="0"/>
                  <w:marTop w:val="0"/>
                  <w:marBottom w:val="0"/>
                  <w:divBdr>
                    <w:top w:val="none" w:sz="0" w:space="0" w:color="auto"/>
                    <w:left w:val="none" w:sz="0" w:space="0" w:color="auto"/>
                    <w:bottom w:val="none" w:sz="0" w:space="0" w:color="auto"/>
                    <w:right w:val="none" w:sz="0" w:space="0" w:color="auto"/>
                  </w:divBdr>
                  <w:divsChild>
                    <w:div w:id="452752861">
                      <w:marLeft w:val="0"/>
                      <w:marRight w:val="0"/>
                      <w:marTop w:val="0"/>
                      <w:marBottom w:val="0"/>
                      <w:divBdr>
                        <w:top w:val="none" w:sz="0" w:space="0" w:color="auto"/>
                        <w:left w:val="none" w:sz="0" w:space="0" w:color="auto"/>
                        <w:bottom w:val="none" w:sz="0" w:space="0" w:color="auto"/>
                        <w:right w:val="none" w:sz="0" w:space="0" w:color="auto"/>
                      </w:divBdr>
                      <w:divsChild>
                        <w:div w:id="1828672572">
                          <w:marLeft w:val="0"/>
                          <w:marRight w:val="0"/>
                          <w:marTop w:val="0"/>
                          <w:marBottom w:val="0"/>
                          <w:divBdr>
                            <w:top w:val="none" w:sz="0" w:space="0" w:color="auto"/>
                            <w:left w:val="none" w:sz="0" w:space="0" w:color="auto"/>
                            <w:bottom w:val="none" w:sz="0" w:space="0" w:color="auto"/>
                            <w:right w:val="none" w:sz="0" w:space="0" w:color="auto"/>
                          </w:divBdr>
                          <w:divsChild>
                            <w:div w:id="1737972345">
                              <w:marLeft w:val="0"/>
                              <w:marRight w:val="0"/>
                              <w:marTop w:val="0"/>
                              <w:marBottom w:val="0"/>
                              <w:divBdr>
                                <w:top w:val="none" w:sz="0" w:space="0" w:color="auto"/>
                                <w:left w:val="none" w:sz="0" w:space="0" w:color="auto"/>
                                <w:bottom w:val="none" w:sz="0" w:space="0" w:color="auto"/>
                                <w:right w:val="none" w:sz="0" w:space="0" w:color="auto"/>
                              </w:divBdr>
                              <w:divsChild>
                                <w:div w:id="1051229909">
                                  <w:marLeft w:val="0"/>
                                  <w:marRight w:val="0"/>
                                  <w:marTop w:val="0"/>
                                  <w:marBottom w:val="0"/>
                                  <w:divBdr>
                                    <w:top w:val="none" w:sz="0" w:space="0" w:color="auto"/>
                                    <w:left w:val="none" w:sz="0" w:space="0" w:color="auto"/>
                                    <w:bottom w:val="none" w:sz="0" w:space="0" w:color="auto"/>
                                    <w:right w:val="none" w:sz="0" w:space="0" w:color="auto"/>
                                  </w:divBdr>
                                  <w:divsChild>
                                    <w:div w:id="1478641344">
                                      <w:marLeft w:val="0"/>
                                      <w:marRight w:val="0"/>
                                      <w:marTop w:val="0"/>
                                      <w:marBottom w:val="0"/>
                                      <w:divBdr>
                                        <w:top w:val="none" w:sz="0" w:space="0" w:color="auto"/>
                                        <w:left w:val="none" w:sz="0" w:space="0" w:color="auto"/>
                                        <w:bottom w:val="none" w:sz="0" w:space="0" w:color="auto"/>
                                        <w:right w:val="none" w:sz="0" w:space="0" w:color="auto"/>
                                      </w:divBdr>
                                      <w:divsChild>
                                        <w:div w:id="1441485695">
                                          <w:marLeft w:val="0"/>
                                          <w:marRight w:val="0"/>
                                          <w:marTop w:val="0"/>
                                          <w:marBottom w:val="0"/>
                                          <w:divBdr>
                                            <w:top w:val="none" w:sz="0" w:space="0" w:color="auto"/>
                                            <w:left w:val="none" w:sz="0" w:space="0" w:color="auto"/>
                                            <w:bottom w:val="none" w:sz="0" w:space="0" w:color="auto"/>
                                            <w:right w:val="none" w:sz="0" w:space="0" w:color="auto"/>
                                          </w:divBdr>
                                          <w:divsChild>
                                            <w:div w:id="1547836674">
                                              <w:marLeft w:val="0"/>
                                              <w:marRight w:val="0"/>
                                              <w:marTop w:val="0"/>
                                              <w:marBottom w:val="0"/>
                                              <w:divBdr>
                                                <w:top w:val="none" w:sz="0" w:space="0" w:color="auto"/>
                                                <w:left w:val="none" w:sz="0" w:space="0" w:color="auto"/>
                                                <w:bottom w:val="none" w:sz="0" w:space="0" w:color="auto"/>
                                                <w:right w:val="none" w:sz="0" w:space="0" w:color="auto"/>
                                              </w:divBdr>
                                              <w:divsChild>
                                                <w:div w:id="12087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456474">
          <w:marLeft w:val="0"/>
          <w:marRight w:val="0"/>
          <w:marTop w:val="0"/>
          <w:marBottom w:val="0"/>
          <w:divBdr>
            <w:top w:val="none" w:sz="0" w:space="0" w:color="auto"/>
            <w:left w:val="none" w:sz="0" w:space="0" w:color="auto"/>
            <w:bottom w:val="none" w:sz="0" w:space="0" w:color="auto"/>
            <w:right w:val="none" w:sz="0" w:space="0" w:color="auto"/>
          </w:divBdr>
          <w:divsChild>
            <w:div w:id="1571307387">
              <w:marLeft w:val="0"/>
              <w:marRight w:val="0"/>
              <w:marTop w:val="0"/>
              <w:marBottom w:val="0"/>
              <w:divBdr>
                <w:top w:val="none" w:sz="0" w:space="0" w:color="auto"/>
                <w:left w:val="none" w:sz="0" w:space="0" w:color="auto"/>
                <w:bottom w:val="none" w:sz="0" w:space="0" w:color="auto"/>
                <w:right w:val="none" w:sz="0" w:space="0" w:color="auto"/>
              </w:divBdr>
              <w:divsChild>
                <w:div w:id="342362632">
                  <w:marLeft w:val="0"/>
                  <w:marRight w:val="0"/>
                  <w:marTop w:val="0"/>
                  <w:marBottom w:val="0"/>
                  <w:divBdr>
                    <w:top w:val="none" w:sz="0" w:space="0" w:color="auto"/>
                    <w:left w:val="none" w:sz="0" w:space="0" w:color="auto"/>
                    <w:bottom w:val="none" w:sz="0" w:space="0" w:color="auto"/>
                    <w:right w:val="none" w:sz="0" w:space="0" w:color="auto"/>
                  </w:divBdr>
                  <w:divsChild>
                    <w:div w:id="1397388166">
                      <w:marLeft w:val="0"/>
                      <w:marRight w:val="0"/>
                      <w:marTop w:val="0"/>
                      <w:marBottom w:val="0"/>
                      <w:divBdr>
                        <w:top w:val="none" w:sz="0" w:space="0" w:color="auto"/>
                        <w:left w:val="none" w:sz="0" w:space="0" w:color="auto"/>
                        <w:bottom w:val="none" w:sz="0" w:space="0" w:color="auto"/>
                        <w:right w:val="none" w:sz="0" w:space="0" w:color="auto"/>
                      </w:divBdr>
                      <w:divsChild>
                        <w:div w:id="1657538993">
                          <w:marLeft w:val="0"/>
                          <w:marRight w:val="0"/>
                          <w:marTop w:val="0"/>
                          <w:marBottom w:val="0"/>
                          <w:divBdr>
                            <w:top w:val="none" w:sz="0" w:space="0" w:color="auto"/>
                            <w:left w:val="none" w:sz="0" w:space="0" w:color="auto"/>
                            <w:bottom w:val="none" w:sz="0" w:space="0" w:color="auto"/>
                            <w:right w:val="none" w:sz="0" w:space="0" w:color="auto"/>
                          </w:divBdr>
                          <w:divsChild>
                            <w:div w:id="1973708583">
                              <w:marLeft w:val="0"/>
                              <w:marRight w:val="0"/>
                              <w:marTop w:val="0"/>
                              <w:marBottom w:val="0"/>
                              <w:divBdr>
                                <w:top w:val="none" w:sz="0" w:space="0" w:color="auto"/>
                                <w:left w:val="none" w:sz="0" w:space="0" w:color="auto"/>
                                <w:bottom w:val="none" w:sz="0" w:space="0" w:color="auto"/>
                                <w:right w:val="none" w:sz="0" w:space="0" w:color="auto"/>
                              </w:divBdr>
                              <w:divsChild>
                                <w:div w:id="435759583">
                                  <w:marLeft w:val="0"/>
                                  <w:marRight w:val="0"/>
                                  <w:marTop w:val="0"/>
                                  <w:marBottom w:val="0"/>
                                  <w:divBdr>
                                    <w:top w:val="none" w:sz="0" w:space="0" w:color="auto"/>
                                    <w:left w:val="none" w:sz="0" w:space="0" w:color="auto"/>
                                    <w:bottom w:val="none" w:sz="0" w:space="0" w:color="auto"/>
                                    <w:right w:val="none" w:sz="0" w:space="0" w:color="auto"/>
                                  </w:divBdr>
                                  <w:divsChild>
                                    <w:div w:id="137116180">
                                      <w:marLeft w:val="0"/>
                                      <w:marRight w:val="0"/>
                                      <w:marTop w:val="0"/>
                                      <w:marBottom w:val="0"/>
                                      <w:divBdr>
                                        <w:top w:val="none" w:sz="0" w:space="0" w:color="auto"/>
                                        <w:left w:val="none" w:sz="0" w:space="0" w:color="auto"/>
                                        <w:bottom w:val="none" w:sz="0" w:space="0" w:color="auto"/>
                                        <w:right w:val="none" w:sz="0" w:space="0" w:color="auto"/>
                                      </w:divBdr>
                                      <w:divsChild>
                                        <w:div w:id="1863855864">
                                          <w:marLeft w:val="0"/>
                                          <w:marRight w:val="0"/>
                                          <w:marTop w:val="0"/>
                                          <w:marBottom w:val="0"/>
                                          <w:divBdr>
                                            <w:top w:val="none" w:sz="0" w:space="0" w:color="auto"/>
                                            <w:left w:val="none" w:sz="0" w:space="0" w:color="auto"/>
                                            <w:bottom w:val="none" w:sz="0" w:space="0" w:color="auto"/>
                                            <w:right w:val="none" w:sz="0" w:space="0" w:color="auto"/>
                                          </w:divBdr>
                                          <w:divsChild>
                                            <w:div w:id="911935178">
                                              <w:marLeft w:val="0"/>
                                              <w:marRight w:val="0"/>
                                              <w:marTop w:val="0"/>
                                              <w:marBottom w:val="0"/>
                                              <w:divBdr>
                                                <w:top w:val="none" w:sz="0" w:space="0" w:color="auto"/>
                                                <w:left w:val="none" w:sz="0" w:space="0" w:color="auto"/>
                                                <w:bottom w:val="none" w:sz="0" w:space="0" w:color="auto"/>
                                                <w:right w:val="none" w:sz="0" w:space="0" w:color="auto"/>
                                              </w:divBdr>
                                              <w:divsChild>
                                                <w:div w:id="1573469480">
                                                  <w:marLeft w:val="0"/>
                                                  <w:marRight w:val="0"/>
                                                  <w:marTop w:val="0"/>
                                                  <w:marBottom w:val="0"/>
                                                  <w:divBdr>
                                                    <w:top w:val="none" w:sz="0" w:space="0" w:color="auto"/>
                                                    <w:left w:val="none" w:sz="0" w:space="0" w:color="auto"/>
                                                    <w:bottom w:val="none" w:sz="0" w:space="0" w:color="auto"/>
                                                    <w:right w:val="none" w:sz="0" w:space="0" w:color="auto"/>
                                                  </w:divBdr>
                                                  <w:divsChild>
                                                    <w:div w:id="1679188070">
                                                      <w:marLeft w:val="0"/>
                                                      <w:marRight w:val="0"/>
                                                      <w:marTop w:val="0"/>
                                                      <w:marBottom w:val="0"/>
                                                      <w:divBdr>
                                                        <w:top w:val="none" w:sz="0" w:space="0" w:color="auto"/>
                                                        <w:left w:val="none" w:sz="0" w:space="0" w:color="auto"/>
                                                        <w:bottom w:val="none" w:sz="0" w:space="0" w:color="auto"/>
                                                        <w:right w:val="none" w:sz="0" w:space="0" w:color="auto"/>
                                                      </w:divBdr>
                                                      <w:divsChild>
                                                        <w:div w:id="10743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8179156">
      <w:bodyDiv w:val="1"/>
      <w:marLeft w:val="0"/>
      <w:marRight w:val="0"/>
      <w:marTop w:val="0"/>
      <w:marBottom w:val="0"/>
      <w:divBdr>
        <w:top w:val="none" w:sz="0" w:space="0" w:color="auto"/>
        <w:left w:val="none" w:sz="0" w:space="0" w:color="auto"/>
        <w:bottom w:val="none" w:sz="0" w:space="0" w:color="auto"/>
        <w:right w:val="none" w:sz="0" w:space="0" w:color="auto"/>
      </w:divBdr>
    </w:div>
    <w:div w:id="849686289">
      <w:bodyDiv w:val="1"/>
      <w:marLeft w:val="0"/>
      <w:marRight w:val="0"/>
      <w:marTop w:val="0"/>
      <w:marBottom w:val="0"/>
      <w:divBdr>
        <w:top w:val="none" w:sz="0" w:space="0" w:color="auto"/>
        <w:left w:val="none" w:sz="0" w:space="0" w:color="auto"/>
        <w:bottom w:val="none" w:sz="0" w:space="0" w:color="auto"/>
        <w:right w:val="none" w:sz="0" w:space="0" w:color="auto"/>
      </w:divBdr>
    </w:div>
    <w:div w:id="862132799">
      <w:bodyDiv w:val="1"/>
      <w:marLeft w:val="0"/>
      <w:marRight w:val="0"/>
      <w:marTop w:val="0"/>
      <w:marBottom w:val="0"/>
      <w:divBdr>
        <w:top w:val="none" w:sz="0" w:space="0" w:color="auto"/>
        <w:left w:val="none" w:sz="0" w:space="0" w:color="auto"/>
        <w:bottom w:val="none" w:sz="0" w:space="0" w:color="auto"/>
        <w:right w:val="none" w:sz="0" w:space="0" w:color="auto"/>
      </w:divBdr>
      <w:divsChild>
        <w:div w:id="1295864435">
          <w:marLeft w:val="0"/>
          <w:marRight w:val="0"/>
          <w:marTop w:val="0"/>
          <w:marBottom w:val="0"/>
          <w:divBdr>
            <w:top w:val="none" w:sz="0" w:space="0" w:color="auto"/>
            <w:left w:val="none" w:sz="0" w:space="0" w:color="auto"/>
            <w:bottom w:val="none" w:sz="0" w:space="0" w:color="auto"/>
            <w:right w:val="none" w:sz="0" w:space="0" w:color="auto"/>
          </w:divBdr>
          <w:divsChild>
            <w:div w:id="1829899907">
              <w:marLeft w:val="0"/>
              <w:marRight w:val="0"/>
              <w:marTop w:val="0"/>
              <w:marBottom w:val="0"/>
              <w:divBdr>
                <w:top w:val="none" w:sz="0" w:space="0" w:color="auto"/>
                <w:left w:val="none" w:sz="0" w:space="0" w:color="auto"/>
                <w:bottom w:val="none" w:sz="0" w:space="0" w:color="auto"/>
                <w:right w:val="none" w:sz="0" w:space="0" w:color="auto"/>
              </w:divBdr>
              <w:divsChild>
                <w:div w:id="501819865">
                  <w:marLeft w:val="0"/>
                  <w:marRight w:val="0"/>
                  <w:marTop w:val="0"/>
                  <w:marBottom w:val="0"/>
                  <w:divBdr>
                    <w:top w:val="none" w:sz="0" w:space="0" w:color="auto"/>
                    <w:left w:val="none" w:sz="0" w:space="0" w:color="auto"/>
                    <w:bottom w:val="none" w:sz="0" w:space="0" w:color="auto"/>
                    <w:right w:val="none" w:sz="0" w:space="0" w:color="auto"/>
                  </w:divBdr>
                  <w:divsChild>
                    <w:div w:id="1259631708">
                      <w:marLeft w:val="0"/>
                      <w:marRight w:val="0"/>
                      <w:marTop w:val="0"/>
                      <w:marBottom w:val="0"/>
                      <w:divBdr>
                        <w:top w:val="none" w:sz="0" w:space="0" w:color="auto"/>
                        <w:left w:val="none" w:sz="0" w:space="0" w:color="auto"/>
                        <w:bottom w:val="none" w:sz="0" w:space="0" w:color="auto"/>
                        <w:right w:val="none" w:sz="0" w:space="0" w:color="auto"/>
                      </w:divBdr>
                      <w:divsChild>
                        <w:div w:id="1416631009">
                          <w:marLeft w:val="0"/>
                          <w:marRight w:val="0"/>
                          <w:marTop w:val="0"/>
                          <w:marBottom w:val="0"/>
                          <w:divBdr>
                            <w:top w:val="none" w:sz="0" w:space="0" w:color="auto"/>
                            <w:left w:val="none" w:sz="0" w:space="0" w:color="auto"/>
                            <w:bottom w:val="none" w:sz="0" w:space="0" w:color="auto"/>
                            <w:right w:val="none" w:sz="0" w:space="0" w:color="auto"/>
                          </w:divBdr>
                          <w:divsChild>
                            <w:div w:id="21899649">
                              <w:marLeft w:val="0"/>
                              <w:marRight w:val="0"/>
                              <w:marTop w:val="0"/>
                              <w:marBottom w:val="0"/>
                              <w:divBdr>
                                <w:top w:val="none" w:sz="0" w:space="0" w:color="auto"/>
                                <w:left w:val="none" w:sz="0" w:space="0" w:color="auto"/>
                                <w:bottom w:val="none" w:sz="0" w:space="0" w:color="auto"/>
                                <w:right w:val="none" w:sz="0" w:space="0" w:color="auto"/>
                              </w:divBdr>
                              <w:divsChild>
                                <w:div w:id="1280531045">
                                  <w:marLeft w:val="0"/>
                                  <w:marRight w:val="0"/>
                                  <w:marTop w:val="0"/>
                                  <w:marBottom w:val="0"/>
                                  <w:divBdr>
                                    <w:top w:val="none" w:sz="0" w:space="0" w:color="auto"/>
                                    <w:left w:val="none" w:sz="0" w:space="0" w:color="auto"/>
                                    <w:bottom w:val="none" w:sz="0" w:space="0" w:color="auto"/>
                                    <w:right w:val="none" w:sz="0" w:space="0" w:color="auto"/>
                                  </w:divBdr>
                                  <w:divsChild>
                                    <w:div w:id="609118814">
                                      <w:marLeft w:val="0"/>
                                      <w:marRight w:val="0"/>
                                      <w:marTop w:val="0"/>
                                      <w:marBottom w:val="0"/>
                                      <w:divBdr>
                                        <w:top w:val="none" w:sz="0" w:space="0" w:color="auto"/>
                                        <w:left w:val="none" w:sz="0" w:space="0" w:color="auto"/>
                                        <w:bottom w:val="none" w:sz="0" w:space="0" w:color="auto"/>
                                        <w:right w:val="none" w:sz="0" w:space="0" w:color="auto"/>
                                      </w:divBdr>
                                      <w:divsChild>
                                        <w:div w:id="698821899">
                                          <w:marLeft w:val="0"/>
                                          <w:marRight w:val="0"/>
                                          <w:marTop w:val="0"/>
                                          <w:marBottom w:val="0"/>
                                          <w:divBdr>
                                            <w:top w:val="none" w:sz="0" w:space="0" w:color="auto"/>
                                            <w:left w:val="none" w:sz="0" w:space="0" w:color="auto"/>
                                            <w:bottom w:val="none" w:sz="0" w:space="0" w:color="auto"/>
                                            <w:right w:val="none" w:sz="0" w:space="0" w:color="auto"/>
                                          </w:divBdr>
                                          <w:divsChild>
                                            <w:div w:id="2106994419">
                                              <w:marLeft w:val="0"/>
                                              <w:marRight w:val="0"/>
                                              <w:marTop w:val="0"/>
                                              <w:marBottom w:val="0"/>
                                              <w:divBdr>
                                                <w:top w:val="none" w:sz="0" w:space="0" w:color="auto"/>
                                                <w:left w:val="none" w:sz="0" w:space="0" w:color="auto"/>
                                                <w:bottom w:val="none" w:sz="0" w:space="0" w:color="auto"/>
                                                <w:right w:val="none" w:sz="0" w:space="0" w:color="auto"/>
                                              </w:divBdr>
                                              <w:divsChild>
                                                <w:div w:id="17045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6827827">
          <w:marLeft w:val="0"/>
          <w:marRight w:val="0"/>
          <w:marTop w:val="0"/>
          <w:marBottom w:val="0"/>
          <w:divBdr>
            <w:top w:val="none" w:sz="0" w:space="0" w:color="auto"/>
            <w:left w:val="none" w:sz="0" w:space="0" w:color="auto"/>
            <w:bottom w:val="none" w:sz="0" w:space="0" w:color="auto"/>
            <w:right w:val="none" w:sz="0" w:space="0" w:color="auto"/>
          </w:divBdr>
          <w:divsChild>
            <w:div w:id="1720864456">
              <w:marLeft w:val="0"/>
              <w:marRight w:val="0"/>
              <w:marTop w:val="0"/>
              <w:marBottom w:val="0"/>
              <w:divBdr>
                <w:top w:val="none" w:sz="0" w:space="0" w:color="auto"/>
                <w:left w:val="none" w:sz="0" w:space="0" w:color="auto"/>
                <w:bottom w:val="none" w:sz="0" w:space="0" w:color="auto"/>
                <w:right w:val="none" w:sz="0" w:space="0" w:color="auto"/>
              </w:divBdr>
              <w:divsChild>
                <w:div w:id="1104764897">
                  <w:marLeft w:val="0"/>
                  <w:marRight w:val="0"/>
                  <w:marTop w:val="0"/>
                  <w:marBottom w:val="0"/>
                  <w:divBdr>
                    <w:top w:val="none" w:sz="0" w:space="0" w:color="auto"/>
                    <w:left w:val="none" w:sz="0" w:space="0" w:color="auto"/>
                    <w:bottom w:val="none" w:sz="0" w:space="0" w:color="auto"/>
                    <w:right w:val="none" w:sz="0" w:space="0" w:color="auto"/>
                  </w:divBdr>
                  <w:divsChild>
                    <w:div w:id="395011741">
                      <w:marLeft w:val="0"/>
                      <w:marRight w:val="0"/>
                      <w:marTop w:val="0"/>
                      <w:marBottom w:val="0"/>
                      <w:divBdr>
                        <w:top w:val="none" w:sz="0" w:space="0" w:color="auto"/>
                        <w:left w:val="none" w:sz="0" w:space="0" w:color="auto"/>
                        <w:bottom w:val="none" w:sz="0" w:space="0" w:color="auto"/>
                        <w:right w:val="none" w:sz="0" w:space="0" w:color="auto"/>
                      </w:divBdr>
                      <w:divsChild>
                        <w:div w:id="1930237640">
                          <w:marLeft w:val="0"/>
                          <w:marRight w:val="0"/>
                          <w:marTop w:val="0"/>
                          <w:marBottom w:val="0"/>
                          <w:divBdr>
                            <w:top w:val="none" w:sz="0" w:space="0" w:color="auto"/>
                            <w:left w:val="none" w:sz="0" w:space="0" w:color="auto"/>
                            <w:bottom w:val="none" w:sz="0" w:space="0" w:color="auto"/>
                            <w:right w:val="none" w:sz="0" w:space="0" w:color="auto"/>
                          </w:divBdr>
                          <w:divsChild>
                            <w:div w:id="1361541652">
                              <w:marLeft w:val="0"/>
                              <w:marRight w:val="0"/>
                              <w:marTop w:val="0"/>
                              <w:marBottom w:val="0"/>
                              <w:divBdr>
                                <w:top w:val="none" w:sz="0" w:space="0" w:color="auto"/>
                                <w:left w:val="none" w:sz="0" w:space="0" w:color="auto"/>
                                <w:bottom w:val="none" w:sz="0" w:space="0" w:color="auto"/>
                                <w:right w:val="none" w:sz="0" w:space="0" w:color="auto"/>
                              </w:divBdr>
                              <w:divsChild>
                                <w:div w:id="847715886">
                                  <w:marLeft w:val="0"/>
                                  <w:marRight w:val="0"/>
                                  <w:marTop w:val="0"/>
                                  <w:marBottom w:val="0"/>
                                  <w:divBdr>
                                    <w:top w:val="none" w:sz="0" w:space="0" w:color="auto"/>
                                    <w:left w:val="none" w:sz="0" w:space="0" w:color="auto"/>
                                    <w:bottom w:val="none" w:sz="0" w:space="0" w:color="auto"/>
                                    <w:right w:val="none" w:sz="0" w:space="0" w:color="auto"/>
                                  </w:divBdr>
                                  <w:divsChild>
                                    <w:div w:id="268202223">
                                      <w:marLeft w:val="0"/>
                                      <w:marRight w:val="0"/>
                                      <w:marTop w:val="0"/>
                                      <w:marBottom w:val="0"/>
                                      <w:divBdr>
                                        <w:top w:val="none" w:sz="0" w:space="0" w:color="auto"/>
                                        <w:left w:val="none" w:sz="0" w:space="0" w:color="auto"/>
                                        <w:bottom w:val="none" w:sz="0" w:space="0" w:color="auto"/>
                                        <w:right w:val="none" w:sz="0" w:space="0" w:color="auto"/>
                                      </w:divBdr>
                                      <w:divsChild>
                                        <w:div w:id="255407225">
                                          <w:marLeft w:val="0"/>
                                          <w:marRight w:val="0"/>
                                          <w:marTop w:val="0"/>
                                          <w:marBottom w:val="0"/>
                                          <w:divBdr>
                                            <w:top w:val="none" w:sz="0" w:space="0" w:color="auto"/>
                                            <w:left w:val="none" w:sz="0" w:space="0" w:color="auto"/>
                                            <w:bottom w:val="none" w:sz="0" w:space="0" w:color="auto"/>
                                            <w:right w:val="none" w:sz="0" w:space="0" w:color="auto"/>
                                          </w:divBdr>
                                          <w:divsChild>
                                            <w:div w:id="31925738">
                                              <w:marLeft w:val="0"/>
                                              <w:marRight w:val="0"/>
                                              <w:marTop w:val="0"/>
                                              <w:marBottom w:val="0"/>
                                              <w:divBdr>
                                                <w:top w:val="none" w:sz="0" w:space="0" w:color="auto"/>
                                                <w:left w:val="none" w:sz="0" w:space="0" w:color="auto"/>
                                                <w:bottom w:val="none" w:sz="0" w:space="0" w:color="auto"/>
                                                <w:right w:val="none" w:sz="0" w:space="0" w:color="auto"/>
                                              </w:divBdr>
                                              <w:divsChild>
                                                <w:div w:id="550194915">
                                                  <w:marLeft w:val="0"/>
                                                  <w:marRight w:val="0"/>
                                                  <w:marTop w:val="0"/>
                                                  <w:marBottom w:val="0"/>
                                                  <w:divBdr>
                                                    <w:top w:val="none" w:sz="0" w:space="0" w:color="auto"/>
                                                    <w:left w:val="none" w:sz="0" w:space="0" w:color="auto"/>
                                                    <w:bottom w:val="none" w:sz="0" w:space="0" w:color="auto"/>
                                                    <w:right w:val="none" w:sz="0" w:space="0" w:color="auto"/>
                                                  </w:divBdr>
                                                  <w:divsChild>
                                                    <w:div w:id="1608080822">
                                                      <w:marLeft w:val="0"/>
                                                      <w:marRight w:val="0"/>
                                                      <w:marTop w:val="0"/>
                                                      <w:marBottom w:val="0"/>
                                                      <w:divBdr>
                                                        <w:top w:val="none" w:sz="0" w:space="0" w:color="auto"/>
                                                        <w:left w:val="none" w:sz="0" w:space="0" w:color="auto"/>
                                                        <w:bottom w:val="none" w:sz="0" w:space="0" w:color="auto"/>
                                                        <w:right w:val="none" w:sz="0" w:space="0" w:color="auto"/>
                                                      </w:divBdr>
                                                      <w:divsChild>
                                                        <w:div w:id="4307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5192288">
      <w:bodyDiv w:val="1"/>
      <w:marLeft w:val="0"/>
      <w:marRight w:val="0"/>
      <w:marTop w:val="0"/>
      <w:marBottom w:val="0"/>
      <w:divBdr>
        <w:top w:val="none" w:sz="0" w:space="0" w:color="auto"/>
        <w:left w:val="none" w:sz="0" w:space="0" w:color="auto"/>
        <w:bottom w:val="none" w:sz="0" w:space="0" w:color="auto"/>
        <w:right w:val="none" w:sz="0" w:space="0" w:color="auto"/>
      </w:divBdr>
      <w:divsChild>
        <w:div w:id="246040569">
          <w:marLeft w:val="-720"/>
          <w:marRight w:val="0"/>
          <w:marTop w:val="0"/>
          <w:marBottom w:val="0"/>
          <w:divBdr>
            <w:top w:val="none" w:sz="0" w:space="0" w:color="auto"/>
            <w:left w:val="none" w:sz="0" w:space="0" w:color="auto"/>
            <w:bottom w:val="none" w:sz="0" w:space="0" w:color="auto"/>
            <w:right w:val="none" w:sz="0" w:space="0" w:color="auto"/>
          </w:divBdr>
        </w:div>
      </w:divsChild>
    </w:div>
    <w:div w:id="878779526">
      <w:bodyDiv w:val="1"/>
      <w:marLeft w:val="0"/>
      <w:marRight w:val="0"/>
      <w:marTop w:val="0"/>
      <w:marBottom w:val="0"/>
      <w:divBdr>
        <w:top w:val="none" w:sz="0" w:space="0" w:color="auto"/>
        <w:left w:val="none" w:sz="0" w:space="0" w:color="auto"/>
        <w:bottom w:val="none" w:sz="0" w:space="0" w:color="auto"/>
        <w:right w:val="none" w:sz="0" w:space="0" w:color="auto"/>
      </w:divBdr>
    </w:div>
    <w:div w:id="881215568">
      <w:bodyDiv w:val="1"/>
      <w:marLeft w:val="0"/>
      <w:marRight w:val="0"/>
      <w:marTop w:val="0"/>
      <w:marBottom w:val="0"/>
      <w:divBdr>
        <w:top w:val="none" w:sz="0" w:space="0" w:color="auto"/>
        <w:left w:val="none" w:sz="0" w:space="0" w:color="auto"/>
        <w:bottom w:val="none" w:sz="0" w:space="0" w:color="auto"/>
        <w:right w:val="none" w:sz="0" w:space="0" w:color="auto"/>
      </w:divBdr>
    </w:div>
    <w:div w:id="887186947">
      <w:bodyDiv w:val="1"/>
      <w:marLeft w:val="0"/>
      <w:marRight w:val="0"/>
      <w:marTop w:val="0"/>
      <w:marBottom w:val="0"/>
      <w:divBdr>
        <w:top w:val="none" w:sz="0" w:space="0" w:color="auto"/>
        <w:left w:val="none" w:sz="0" w:space="0" w:color="auto"/>
        <w:bottom w:val="none" w:sz="0" w:space="0" w:color="auto"/>
        <w:right w:val="none" w:sz="0" w:space="0" w:color="auto"/>
      </w:divBdr>
    </w:div>
    <w:div w:id="906263515">
      <w:bodyDiv w:val="1"/>
      <w:marLeft w:val="0"/>
      <w:marRight w:val="0"/>
      <w:marTop w:val="0"/>
      <w:marBottom w:val="0"/>
      <w:divBdr>
        <w:top w:val="none" w:sz="0" w:space="0" w:color="auto"/>
        <w:left w:val="none" w:sz="0" w:space="0" w:color="auto"/>
        <w:bottom w:val="none" w:sz="0" w:space="0" w:color="auto"/>
        <w:right w:val="none" w:sz="0" w:space="0" w:color="auto"/>
      </w:divBdr>
    </w:div>
    <w:div w:id="915822666">
      <w:bodyDiv w:val="1"/>
      <w:marLeft w:val="0"/>
      <w:marRight w:val="0"/>
      <w:marTop w:val="0"/>
      <w:marBottom w:val="0"/>
      <w:divBdr>
        <w:top w:val="none" w:sz="0" w:space="0" w:color="auto"/>
        <w:left w:val="none" w:sz="0" w:space="0" w:color="auto"/>
        <w:bottom w:val="none" w:sz="0" w:space="0" w:color="auto"/>
        <w:right w:val="none" w:sz="0" w:space="0" w:color="auto"/>
      </w:divBdr>
    </w:div>
    <w:div w:id="936449761">
      <w:bodyDiv w:val="1"/>
      <w:marLeft w:val="0"/>
      <w:marRight w:val="0"/>
      <w:marTop w:val="0"/>
      <w:marBottom w:val="0"/>
      <w:divBdr>
        <w:top w:val="none" w:sz="0" w:space="0" w:color="auto"/>
        <w:left w:val="none" w:sz="0" w:space="0" w:color="auto"/>
        <w:bottom w:val="none" w:sz="0" w:space="0" w:color="auto"/>
        <w:right w:val="none" w:sz="0" w:space="0" w:color="auto"/>
      </w:divBdr>
    </w:div>
    <w:div w:id="945969296">
      <w:bodyDiv w:val="1"/>
      <w:marLeft w:val="0"/>
      <w:marRight w:val="0"/>
      <w:marTop w:val="0"/>
      <w:marBottom w:val="0"/>
      <w:divBdr>
        <w:top w:val="none" w:sz="0" w:space="0" w:color="auto"/>
        <w:left w:val="none" w:sz="0" w:space="0" w:color="auto"/>
        <w:bottom w:val="none" w:sz="0" w:space="0" w:color="auto"/>
        <w:right w:val="none" w:sz="0" w:space="0" w:color="auto"/>
      </w:divBdr>
      <w:divsChild>
        <w:div w:id="1595476153">
          <w:marLeft w:val="0"/>
          <w:marRight w:val="0"/>
          <w:marTop w:val="0"/>
          <w:marBottom w:val="0"/>
          <w:divBdr>
            <w:top w:val="none" w:sz="0" w:space="0" w:color="auto"/>
            <w:left w:val="none" w:sz="0" w:space="0" w:color="auto"/>
            <w:bottom w:val="none" w:sz="0" w:space="0" w:color="auto"/>
            <w:right w:val="none" w:sz="0" w:space="0" w:color="auto"/>
          </w:divBdr>
          <w:divsChild>
            <w:div w:id="1529444980">
              <w:marLeft w:val="0"/>
              <w:marRight w:val="0"/>
              <w:marTop w:val="0"/>
              <w:marBottom w:val="0"/>
              <w:divBdr>
                <w:top w:val="none" w:sz="0" w:space="0" w:color="auto"/>
                <w:left w:val="none" w:sz="0" w:space="0" w:color="auto"/>
                <w:bottom w:val="none" w:sz="0" w:space="0" w:color="auto"/>
                <w:right w:val="none" w:sz="0" w:space="0" w:color="auto"/>
              </w:divBdr>
              <w:divsChild>
                <w:div w:id="1052923335">
                  <w:marLeft w:val="0"/>
                  <w:marRight w:val="0"/>
                  <w:marTop w:val="0"/>
                  <w:marBottom w:val="0"/>
                  <w:divBdr>
                    <w:top w:val="none" w:sz="0" w:space="0" w:color="auto"/>
                    <w:left w:val="none" w:sz="0" w:space="0" w:color="auto"/>
                    <w:bottom w:val="none" w:sz="0" w:space="0" w:color="auto"/>
                    <w:right w:val="none" w:sz="0" w:space="0" w:color="auto"/>
                  </w:divBdr>
                  <w:divsChild>
                    <w:div w:id="2052802653">
                      <w:marLeft w:val="0"/>
                      <w:marRight w:val="0"/>
                      <w:marTop w:val="0"/>
                      <w:marBottom w:val="0"/>
                      <w:divBdr>
                        <w:top w:val="none" w:sz="0" w:space="0" w:color="auto"/>
                        <w:left w:val="none" w:sz="0" w:space="0" w:color="auto"/>
                        <w:bottom w:val="none" w:sz="0" w:space="0" w:color="auto"/>
                        <w:right w:val="none" w:sz="0" w:space="0" w:color="auto"/>
                      </w:divBdr>
                      <w:divsChild>
                        <w:div w:id="504170103">
                          <w:marLeft w:val="0"/>
                          <w:marRight w:val="0"/>
                          <w:marTop w:val="0"/>
                          <w:marBottom w:val="0"/>
                          <w:divBdr>
                            <w:top w:val="none" w:sz="0" w:space="0" w:color="auto"/>
                            <w:left w:val="none" w:sz="0" w:space="0" w:color="auto"/>
                            <w:bottom w:val="none" w:sz="0" w:space="0" w:color="auto"/>
                            <w:right w:val="none" w:sz="0" w:space="0" w:color="auto"/>
                          </w:divBdr>
                          <w:divsChild>
                            <w:div w:id="1921329309">
                              <w:marLeft w:val="0"/>
                              <w:marRight w:val="0"/>
                              <w:marTop w:val="0"/>
                              <w:marBottom w:val="0"/>
                              <w:divBdr>
                                <w:top w:val="none" w:sz="0" w:space="0" w:color="auto"/>
                                <w:left w:val="none" w:sz="0" w:space="0" w:color="auto"/>
                                <w:bottom w:val="none" w:sz="0" w:space="0" w:color="auto"/>
                                <w:right w:val="none" w:sz="0" w:space="0" w:color="auto"/>
                              </w:divBdr>
                              <w:divsChild>
                                <w:div w:id="950816556">
                                  <w:marLeft w:val="0"/>
                                  <w:marRight w:val="0"/>
                                  <w:marTop w:val="0"/>
                                  <w:marBottom w:val="0"/>
                                  <w:divBdr>
                                    <w:top w:val="none" w:sz="0" w:space="0" w:color="auto"/>
                                    <w:left w:val="none" w:sz="0" w:space="0" w:color="auto"/>
                                    <w:bottom w:val="none" w:sz="0" w:space="0" w:color="auto"/>
                                    <w:right w:val="none" w:sz="0" w:space="0" w:color="auto"/>
                                  </w:divBdr>
                                  <w:divsChild>
                                    <w:div w:id="159657989">
                                      <w:marLeft w:val="0"/>
                                      <w:marRight w:val="0"/>
                                      <w:marTop w:val="0"/>
                                      <w:marBottom w:val="0"/>
                                      <w:divBdr>
                                        <w:top w:val="none" w:sz="0" w:space="0" w:color="auto"/>
                                        <w:left w:val="none" w:sz="0" w:space="0" w:color="auto"/>
                                        <w:bottom w:val="none" w:sz="0" w:space="0" w:color="auto"/>
                                        <w:right w:val="none" w:sz="0" w:space="0" w:color="auto"/>
                                      </w:divBdr>
                                      <w:divsChild>
                                        <w:div w:id="122623731">
                                          <w:marLeft w:val="0"/>
                                          <w:marRight w:val="0"/>
                                          <w:marTop w:val="0"/>
                                          <w:marBottom w:val="0"/>
                                          <w:divBdr>
                                            <w:top w:val="none" w:sz="0" w:space="0" w:color="auto"/>
                                            <w:left w:val="none" w:sz="0" w:space="0" w:color="auto"/>
                                            <w:bottom w:val="none" w:sz="0" w:space="0" w:color="auto"/>
                                            <w:right w:val="none" w:sz="0" w:space="0" w:color="auto"/>
                                          </w:divBdr>
                                          <w:divsChild>
                                            <w:div w:id="668093872">
                                              <w:marLeft w:val="0"/>
                                              <w:marRight w:val="0"/>
                                              <w:marTop w:val="0"/>
                                              <w:marBottom w:val="0"/>
                                              <w:divBdr>
                                                <w:top w:val="none" w:sz="0" w:space="0" w:color="auto"/>
                                                <w:left w:val="none" w:sz="0" w:space="0" w:color="auto"/>
                                                <w:bottom w:val="none" w:sz="0" w:space="0" w:color="auto"/>
                                                <w:right w:val="none" w:sz="0" w:space="0" w:color="auto"/>
                                              </w:divBdr>
                                              <w:divsChild>
                                                <w:div w:id="327364796">
                                                  <w:marLeft w:val="0"/>
                                                  <w:marRight w:val="0"/>
                                                  <w:marTop w:val="0"/>
                                                  <w:marBottom w:val="0"/>
                                                  <w:divBdr>
                                                    <w:top w:val="none" w:sz="0" w:space="0" w:color="auto"/>
                                                    <w:left w:val="none" w:sz="0" w:space="0" w:color="auto"/>
                                                    <w:bottom w:val="none" w:sz="0" w:space="0" w:color="auto"/>
                                                    <w:right w:val="none" w:sz="0" w:space="0" w:color="auto"/>
                                                  </w:divBdr>
                                                  <w:divsChild>
                                                    <w:div w:id="519584666">
                                                      <w:marLeft w:val="0"/>
                                                      <w:marRight w:val="0"/>
                                                      <w:marTop w:val="0"/>
                                                      <w:marBottom w:val="0"/>
                                                      <w:divBdr>
                                                        <w:top w:val="none" w:sz="0" w:space="0" w:color="auto"/>
                                                        <w:left w:val="none" w:sz="0" w:space="0" w:color="auto"/>
                                                        <w:bottom w:val="none" w:sz="0" w:space="0" w:color="auto"/>
                                                        <w:right w:val="none" w:sz="0" w:space="0" w:color="auto"/>
                                                      </w:divBdr>
                                                      <w:divsChild>
                                                        <w:div w:id="20378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8996491">
      <w:bodyDiv w:val="1"/>
      <w:marLeft w:val="0"/>
      <w:marRight w:val="0"/>
      <w:marTop w:val="0"/>
      <w:marBottom w:val="0"/>
      <w:divBdr>
        <w:top w:val="none" w:sz="0" w:space="0" w:color="auto"/>
        <w:left w:val="none" w:sz="0" w:space="0" w:color="auto"/>
        <w:bottom w:val="none" w:sz="0" w:space="0" w:color="auto"/>
        <w:right w:val="none" w:sz="0" w:space="0" w:color="auto"/>
      </w:divBdr>
      <w:divsChild>
        <w:div w:id="635990923">
          <w:marLeft w:val="-720"/>
          <w:marRight w:val="0"/>
          <w:marTop w:val="0"/>
          <w:marBottom w:val="0"/>
          <w:divBdr>
            <w:top w:val="none" w:sz="0" w:space="0" w:color="auto"/>
            <w:left w:val="none" w:sz="0" w:space="0" w:color="auto"/>
            <w:bottom w:val="none" w:sz="0" w:space="0" w:color="auto"/>
            <w:right w:val="none" w:sz="0" w:space="0" w:color="auto"/>
          </w:divBdr>
        </w:div>
      </w:divsChild>
    </w:div>
    <w:div w:id="960721457">
      <w:bodyDiv w:val="1"/>
      <w:marLeft w:val="0"/>
      <w:marRight w:val="0"/>
      <w:marTop w:val="0"/>
      <w:marBottom w:val="0"/>
      <w:divBdr>
        <w:top w:val="none" w:sz="0" w:space="0" w:color="auto"/>
        <w:left w:val="none" w:sz="0" w:space="0" w:color="auto"/>
        <w:bottom w:val="none" w:sz="0" w:space="0" w:color="auto"/>
        <w:right w:val="none" w:sz="0" w:space="0" w:color="auto"/>
      </w:divBdr>
    </w:div>
    <w:div w:id="979000864">
      <w:bodyDiv w:val="1"/>
      <w:marLeft w:val="0"/>
      <w:marRight w:val="0"/>
      <w:marTop w:val="0"/>
      <w:marBottom w:val="0"/>
      <w:divBdr>
        <w:top w:val="none" w:sz="0" w:space="0" w:color="auto"/>
        <w:left w:val="none" w:sz="0" w:space="0" w:color="auto"/>
        <w:bottom w:val="none" w:sz="0" w:space="0" w:color="auto"/>
        <w:right w:val="none" w:sz="0" w:space="0" w:color="auto"/>
      </w:divBdr>
    </w:div>
    <w:div w:id="984970636">
      <w:bodyDiv w:val="1"/>
      <w:marLeft w:val="0"/>
      <w:marRight w:val="0"/>
      <w:marTop w:val="0"/>
      <w:marBottom w:val="0"/>
      <w:divBdr>
        <w:top w:val="none" w:sz="0" w:space="0" w:color="auto"/>
        <w:left w:val="none" w:sz="0" w:space="0" w:color="auto"/>
        <w:bottom w:val="none" w:sz="0" w:space="0" w:color="auto"/>
        <w:right w:val="none" w:sz="0" w:space="0" w:color="auto"/>
      </w:divBdr>
    </w:div>
    <w:div w:id="986394067">
      <w:bodyDiv w:val="1"/>
      <w:marLeft w:val="0"/>
      <w:marRight w:val="0"/>
      <w:marTop w:val="0"/>
      <w:marBottom w:val="0"/>
      <w:divBdr>
        <w:top w:val="none" w:sz="0" w:space="0" w:color="auto"/>
        <w:left w:val="none" w:sz="0" w:space="0" w:color="auto"/>
        <w:bottom w:val="none" w:sz="0" w:space="0" w:color="auto"/>
        <w:right w:val="none" w:sz="0" w:space="0" w:color="auto"/>
      </w:divBdr>
    </w:div>
    <w:div w:id="987511789">
      <w:bodyDiv w:val="1"/>
      <w:marLeft w:val="0"/>
      <w:marRight w:val="0"/>
      <w:marTop w:val="0"/>
      <w:marBottom w:val="0"/>
      <w:divBdr>
        <w:top w:val="none" w:sz="0" w:space="0" w:color="auto"/>
        <w:left w:val="none" w:sz="0" w:space="0" w:color="auto"/>
        <w:bottom w:val="none" w:sz="0" w:space="0" w:color="auto"/>
        <w:right w:val="none" w:sz="0" w:space="0" w:color="auto"/>
      </w:divBdr>
      <w:divsChild>
        <w:div w:id="201409362">
          <w:marLeft w:val="-720"/>
          <w:marRight w:val="0"/>
          <w:marTop w:val="0"/>
          <w:marBottom w:val="0"/>
          <w:divBdr>
            <w:top w:val="none" w:sz="0" w:space="0" w:color="auto"/>
            <w:left w:val="none" w:sz="0" w:space="0" w:color="auto"/>
            <w:bottom w:val="none" w:sz="0" w:space="0" w:color="auto"/>
            <w:right w:val="none" w:sz="0" w:space="0" w:color="auto"/>
          </w:divBdr>
        </w:div>
      </w:divsChild>
    </w:div>
    <w:div w:id="987827410">
      <w:bodyDiv w:val="1"/>
      <w:marLeft w:val="0"/>
      <w:marRight w:val="0"/>
      <w:marTop w:val="0"/>
      <w:marBottom w:val="0"/>
      <w:divBdr>
        <w:top w:val="none" w:sz="0" w:space="0" w:color="auto"/>
        <w:left w:val="none" w:sz="0" w:space="0" w:color="auto"/>
        <w:bottom w:val="none" w:sz="0" w:space="0" w:color="auto"/>
        <w:right w:val="none" w:sz="0" w:space="0" w:color="auto"/>
      </w:divBdr>
      <w:divsChild>
        <w:div w:id="528449493">
          <w:marLeft w:val="-720"/>
          <w:marRight w:val="0"/>
          <w:marTop w:val="0"/>
          <w:marBottom w:val="0"/>
          <w:divBdr>
            <w:top w:val="none" w:sz="0" w:space="0" w:color="auto"/>
            <w:left w:val="none" w:sz="0" w:space="0" w:color="auto"/>
            <w:bottom w:val="none" w:sz="0" w:space="0" w:color="auto"/>
            <w:right w:val="none" w:sz="0" w:space="0" w:color="auto"/>
          </w:divBdr>
        </w:div>
      </w:divsChild>
    </w:div>
    <w:div w:id="988510786">
      <w:bodyDiv w:val="1"/>
      <w:marLeft w:val="0"/>
      <w:marRight w:val="0"/>
      <w:marTop w:val="0"/>
      <w:marBottom w:val="0"/>
      <w:divBdr>
        <w:top w:val="none" w:sz="0" w:space="0" w:color="auto"/>
        <w:left w:val="none" w:sz="0" w:space="0" w:color="auto"/>
        <w:bottom w:val="none" w:sz="0" w:space="0" w:color="auto"/>
        <w:right w:val="none" w:sz="0" w:space="0" w:color="auto"/>
      </w:divBdr>
    </w:div>
    <w:div w:id="992563178">
      <w:bodyDiv w:val="1"/>
      <w:marLeft w:val="0"/>
      <w:marRight w:val="0"/>
      <w:marTop w:val="0"/>
      <w:marBottom w:val="0"/>
      <w:divBdr>
        <w:top w:val="none" w:sz="0" w:space="0" w:color="auto"/>
        <w:left w:val="none" w:sz="0" w:space="0" w:color="auto"/>
        <w:bottom w:val="none" w:sz="0" w:space="0" w:color="auto"/>
        <w:right w:val="none" w:sz="0" w:space="0" w:color="auto"/>
      </w:divBdr>
    </w:div>
    <w:div w:id="1000811893">
      <w:bodyDiv w:val="1"/>
      <w:marLeft w:val="0"/>
      <w:marRight w:val="0"/>
      <w:marTop w:val="0"/>
      <w:marBottom w:val="0"/>
      <w:divBdr>
        <w:top w:val="none" w:sz="0" w:space="0" w:color="auto"/>
        <w:left w:val="none" w:sz="0" w:space="0" w:color="auto"/>
        <w:bottom w:val="none" w:sz="0" w:space="0" w:color="auto"/>
        <w:right w:val="none" w:sz="0" w:space="0" w:color="auto"/>
      </w:divBdr>
    </w:div>
    <w:div w:id="1005016668">
      <w:bodyDiv w:val="1"/>
      <w:marLeft w:val="0"/>
      <w:marRight w:val="0"/>
      <w:marTop w:val="0"/>
      <w:marBottom w:val="0"/>
      <w:divBdr>
        <w:top w:val="none" w:sz="0" w:space="0" w:color="auto"/>
        <w:left w:val="none" w:sz="0" w:space="0" w:color="auto"/>
        <w:bottom w:val="none" w:sz="0" w:space="0" w:color="auto"/>
        <w:right w:val="none" w:sz="0" w:space="0" w:color="auto"/>
      </w:divBdr>
    </w:div>
    <w:div w:id="1016691680">
      <w:bodyDiv w:val="1"/>
      <w:marLeft w:val="0"/>
      <w:marRight w:val="0"/>
      <w:marTop w:val="0"/>
      <w:marBottom w:val="0"/>
      <w:divBdr>
        <w:top w:val="none" w:sz="0" w:space="0" w:color="auto"/>
        <w:left w:val="none" w:sz="0" w:space="0" w:color="auto"/>
        <w:bottom w:val="none" w:sz="0" w:space="0" w:color="auto"/>
        <w:right w:val="none" w:sz="0" w:space="0" w:color="auto"/>
      </w:divBdr>
    </w:div>
    <w:div w:id="1030452185">
      <w:bodyDiv w:val="1"/>
      <w:marLeft w:val="0"/>
      <w:marRight w:val="0"/>
      <w:marTop w:val="0"/>
      <w:marBottom w:val="0"/>
      <w:divBdr>
        <w:top w:val="none" w:sz="0" w:space="0" w:color="auto"/>
        <w:left w:val="none" w:sz="0" w:space="0" w:color="auto"/>
        <w:bottom w:val="none" w:sz="0" w:space="0" w:color="auto"/>
        <w:right w:val="none" w:sz="0" w:space="0" w:color="auto"/>
      </w:divBdr>
    </w:div>
    <w:div w:id="1044477744">
      <w:bodyDiv w:val="1"/>
      <w:marLeft w:val="0"/>
      <w:marRight w:val="0"/>
      <w:marTop w:val="0"/>
      <w:marBottom w:val="0"/>
      <w:divBdr>
        <w:top w:val="none" w:sz="0" w:space="0" w:color="auto"/>
        <w:left w:val="none" w:sz="0" w:space="0" w:color="auto"/>
        <w:bottom w:val="none" w:sz="0" w:space="0" w:color="auto"/>
        <w:right w:val="none" w:sz="0" w:space="0" w:color="auto"/>
      </w:divBdr>
    </w:div>
    <w:div w:id="1053697436">
      <w:bodyDiv w:val="1"/>
      <w:marLeft w:val="0"/>
      <w:marRight w:val="0"/>
      <w:marTop w:val="0"/>
      <w:marBottom w:val="0"/>
      <w:divBdr>
        <w:top w:val="none" w:sz="0" w:space="0" w:color="auto"/>
        <w:left w:val="none" w:sz="0" w:space="0" w:color="auto"/>
        <w:bottom w:val="none" w:sz="0" w:space="0" w:color="auto"/>
        <w:right w:val="none" w:sz="0" w:space="0" w:color="auto"/>
      </w:divBdr>
    </w:div>
    <w:div w:id="1080177734">
      <w:bodyDiv w:val="1"/>
      <w:marLeft w:val="0"/>
      <w:marRight w:val="0"/>
      <w:marTop w:val="0"/>
      <w:marBottom w:val="0"/>
      <w:divBdr>
        <w:top w:val="none" w:sz="0" w:space="0" w:color="auto"/>
        <w:left w:val="none" w:sz="0" w:space="0" w:color="auto"/>
        <w:bottom w:val="none" w:sz="0" w:space="0" w:color="auto"/>
        <w:right w:val="none" w:sz="0" w:space="0" w:color="auto"/>
      </w:divBdr>
    </w:div>
    <w:div w:id="1099565083">
      <w:bodyDiv w:val="1"/>
      <w:marLeft w:val="0"/>
      <w:marRight w:val="0"/>
      <w:marTop w:val="0"/>
      <w:marBottom w:val="0"/>
      <w:divBdr>
        <w:top w:val="none" w:sz="0" w:space="0" w:color="auto"/>
        <w:left w:val="none" w:sz="0" w:space="0" w:color="auto"/>
        <w:bottom w:val="none" w:sz="0" w:space="0" w:color="auto"/>
        <w:right w:val="none" w:sz="0" w:space="0" w:color="auto"/>
      </w:divBdr>
    </w:div>
    <w:div w:id="1111625742">
      <w:bodyDiv w:val="1"/>
      <w:marLeft w:val="0"/>
      <w:marRight w:val="0"/>
      <w:marTop w:val="0"/>
      <w:marBottom w:val="0"/>
      <w:divBdr>
        <w:top w:val="none" w:sz="0" w:space="0" w:color="auto"/>
        <w:left w:val="none" w:sz="0" w:space="0" w:color="auto"/>
        <w:bottom w:val="none" w:sz="0" w:space="0" w:color="auto"/>
        <w:right w:val="none" w:sz="0" w:space="0" w:color="auto"/>
      </w:divBdr>
    </w:div>
    <w:div w:id="1112670637">
      <w:bodyDiv w:val="1"/>
      <w:marLeft w:val="0"/>
      <w:marRight w:val="0"/>
      <w:marTop w:val="0"/>
      <w:marBottom w:val="0"/>
      <w:divBdr>
        <w:top w:val="none" w:sz="0" w:space="0" w:color="auto"/>
        <w:left w:val="none" w:sz="0" w:space="0" w:color="auto"/>
        <w:bottom w:val="none" w:sz="0" w:space="0" w:color="auto"/>
        <w:right w:val="none" w:sz="0" w:space="0" w:color="auto"/>
      </w:divBdr>
    </w:div>
    <w:div w:id="1112939764">
      <w:bodyDiv w:val="1"/>
      <w:marLeft w:val="0"/>
      <w:marRight w:val="0"/>
      <w:marTop w:val="0"/>
      <w:marBottom w:val="0"/>
      <w:divBdr>
        <w:top w:val="none" w:sz="0" w:space="0" w:color="auto"/>
        <w:left w:val="none" w:sz="0" w:space="0" w:color="auto"/>
        <w:bottom w:val="none" w:sz="0" w:space="0" w:color="auto"/>
        <w:right w:val="none" w:sz="0" w:space="0" w:color="auto"/>
      </w:divBdr>
    </w:div>
    <w:div w:id="1135562363">
      <w:bodyDiv w:val="1"/>
      <w:marLeft w:val="0"/>
      <w:marRight w:val="0"/>
      <w:marTop w:val="0"/>
      <w:marBottom w:val="0"/>
      <w:divBdr>
        <w:top w:val="none" w:sz="0" w:space="0" w:color="auto"/>
        <w:left w:val="none" w:sz="0" w:space="0" w:color="auto"/>
        <w:bottom w:val="none" w:sz="0" w:space="0" w:color="auto"/>
        <w:right w:val="none" w:sz="0" w:space="0" w:color="auto"/>
      </w:divBdr>
    </w:div>
    <w:div w:id="1140880642">
      <w:bodyDiv w:val="1"/>
      <w:marLeft w:val="0"/>
      <w:marRight w:val="0"/>
      <w:marTop w:val="0"/>
      <w:marBottom w:val="0"/>
      <w:divBdr>
        <w:top w:val="none" w:sz="0" w:space="0" w:color="auto"/>
        <w:left w:val="none" w:sz="0" w:space="0" w:color="auto"/>
        <w:bottom w:val="none" w:sz="0" w:space="0" w:color="auto"/>
        <w:right w:val="none" w:sz="0" w:space="0" w:color="auto"/>
      </w:divBdr>
    </w:div>
    <w:div w:id="1150634435">
      <w:bodyDiv w:val="1"/>
      <w:marLeft w:val="0"/>
      <w:marRight w:val="0"/>
      <w:marTop w:val="0"/>
      <w:marBottom w:val="0"/>
      <w:divBdr>
        <w:top w:val="none" w:sz="0" w:space="0" w:color="auto"/>
        <w:left w:val="none" w:sz="0" w:space="0" w:color="auto"/>
        <w:bottom w:val="none" w:sz="0" w:space="0" w:color="auto"/>
        <w:right w:val="none" w:sz="0" w:space="0" w:color="auto"/>
      </w:divBdr>
    </w:div>
    <w:div w:id="1151826995">
      <w:bodyDiv w:val="1"/>
      <w:marLeft w:val="0"/>
      <w:marRight w:val="0"/>
      <w:marTop w:val="0"/>
      <w:marBottom w:val="0"/>
      <w:divBdr>
        <w:top w:val="none" w:sz="0" w:space="0" w:color="auto"/>
        <w:left w:val="none" w:sz="0" w:space="0" w:color="auto"/>
        <w:bottom w:val="none" w:sz="0" w:space="0" w:color="auto"/>
        <w:right w:val="none" w:sz="0" w:space="0" w:color="auto"/>
      </w:divBdr>
    </w:div>
    <w:div w:id="1152334474">
      <w:bodyDiv w:val="1"/>
      <w:marLeft w:val="0"/>
      <w:marRight w:val="0"/>
      <w:marTop w:val="0"/>
      <w:marBottom w:val="0"/>
      <w:divBdr>
        <w:top w:val="none" w:sz="0" w:space="0" w:color="auto"/>
        <w:left w:val="none" w:sz="0" w:space="0" w:color="auto"/>
        <w:bottom w:val="none" w:sz="0" w:space="0" w:color="auto"/>
        <w:right w:val="none" w:sz="0" w:space="0" w:color="auto"/>
      </w:divBdr>
    </w:div>
    <w:div w:id="1155218477">
      <w:bodyDiv w:val="1"/>
      <w:marLeft w:val="0"/>
      <w:marRight w:val="0"/>
      <w:marTop w:val="0"/>
      <w:marBottom w:val="0"/>
      <w:divBdr>
        <w:top w:val="none" w:sz="0" w:space="0" w:color="auto"/>
        <w:left w:val="none" w:sz="0" w:space="0" w:color="auto"/>
        <w:bottom w:val="none" w:sz="0" w:space="0" w:color="auto"/>
        <w:right w:val="none" w:sz="0" w:space="0" w:color="auto"/>
      </w:divBdr>
    </w:div>
    <w:div w:id="1163081005">
      <w:bodyDiv w:val="1"/>
      <w:marLeft w:val="0"/>
      <w:marRight w:val="0"/>
      <w:marTop w:val="0"/>
      <w:marBottom w:val="0"/>
      <w:divBdr>
        <w:top w:val="none" w:sz="0" w:space="0" w:color="auto"/>
        <w:left w:val="none" w:sz="0" w:space="0" w:color="auto"/>
        <w:bottom w:val="none" w:sz="0" w:space="0" w:color="auto"/>
        <w:right w:val="none" w:sz="0" w:space="0" w:color="auto"/>
      </w:divBdr>
    </w:div>
    <w:div w:id="1170216832">
      <w:bodyDiv w:val="1"/>
      <w:marLeft w:val="0"/>
      <w:marRight w:val="0"/>
      <w:marTop w:val="0"/>
      <w:marBottom w:val="0"/>
      <w:divBdr>
        <w:top w:val="none" w:sz="0" w:space="0" w:color="auto"/>
        <w:left w:val="none" w:sz="0" w:space="0" w:color="auto"/>
        <w:bottom w:val="none" w:sz="0" w:space="0" w:color="auto"/>
        <w:right w:val="none" w:sz="0" w:space="0" w:color="auto"/>
      </w:divBdr>
    </w:div>
    <w:div w:id="1170831284">
      <w:bodyDiv w:val="1"/>
      <w:marLeft w:val="0"/>
      <w:marRight w:val="0"/>
      <w:marTop w:val="0"/>
      <w:marBottom w:val="0"/>
      <w:divBdr>
        <w:top w:val="none" w:sz="0" w:space="0" w:color="auto"/>
        <w:left w:val="none" w:sz="0" w:space="0" w:color="auto"/>
        <w:bottom w:val="none" w:sz="0" w:space="0" w:color="auto"/>
        <w:right w:val="none" w:sz="0" w:space="0" w:color="auto"/>
      </w:divBdr>
    </w:div>
    <w:div w:id="1170874559">
      <w:bodyDiv w:val="1"/>
      <w:marLeft w:val="0"/>
      <w:marRight w:val="0"/>
      <w:marTop w:val="0"/>
      <w:marBottom w:val="0"/>
      <w:divBdr>
        <w:top w:val="none" w:sz="0" w:space="0" w:color="auto"/>
        <w:left w:val="none" w:sz="0" w:space="0" w:color="auto"/>
        <w:bottom w:val="none" w:sz="0" w:space="0" w:color="auto"/>
        <w:right w:val="none" w:sz="0" w:space="0" w:color="auto"/>
      </w:divBdr>
    </w:div>
    <w:div w:id="1172450595">
      <w:bodyDiv w:val="1"/>
      <w:marLeft w:val="0"/>
      <w:marRight w:val="0"/>
      <w:marTop w:val="0"/>
      <w:marBottom w:val="0"/>
      <w:divBdr>
        <w:top w:val="none" w:sz="0" w:space="0" w:color="auto"/>
        <w:left w:val="none" w:sz="0" w:space="0" w:color="auto"/>
        <w:bottom w:val="none" w:sz="0" w:space="0" w:color="auto"/>
        <w:right w:val="none" w:sz="0" w:space="0" w:color="auto"/>
      </w:divBdr>
    </w:div>
    <w:div w:id="1173834598">
      <w:bodyDiv w:val="1"/>
      <w:marLeft w:val="0"/>
      <w:marRight w:val="0"/>
      <w:marTop w:val="0"/>
      <w:marBottom w:val="0"/>
      <w:divBdr>
        <w:top w:val="none" w:sz="0" w:space="0" w:color="auto"/>
        <w:left w:val="none" w:sz="0" w:space="0" w:color="auto"/>
        <w:bottom w:val="none" w:sz="0" w:space="0" w:color="auto"/>
        <w:right w:val="none" w:sz="0" w:space="0" w:color="auto"/>
      </w:divBdr>
    </w:div>
    <w:div w:id="1184628890">
      <w:bodyDiv w:val="1"/>
      <w:marLeft w:val="0"/>
      <w:marRight w:val="0"/>
      <w:marTop w:val="0"/>
      <w:marBottom w:val="0"/>
      <w:divBdr>
        <w:top w:val="none" w:sz="0" w:space="0" w:color="auto"/>
        <w:left w:val="none" w:sz="0" w:space="0" w:color="auto"/>
        <w:bottom w:val="none" w:sz="0" w:space="0" w:color="auto"/>
        <w:right w:val="none" w:sz="0" w:space="0" w:color="auto"/>
      </w:divBdr>
    </w:div>
    <w:div w:id="1188787747">
      <w:bodyDiv w:val="1"/>
      <w:marLeft w:val="0"/>
      <w:marRight w:val="0"/>
      <w:marTop w:val="0"/>
      <w:marBottom w:val="0"/>
      <w:divBdr>
        <w:top w:val="none" w:sz="0" w:space="0" w:color="auto"/>
        <w:left w:val="none" w:sz="0" w:space="0" w:color="auto"/>
        <w:bottom w:val="none" w:sz="0" w:space="0" w:color="auto"/>
        <w:right w:val="none" w:sz="0" w:space="0" w:color="auto"/>
      </w:divBdr>
    </w:div>
    <w:div w:id="1213268687">
      <w:bodyDiv w:val="1"/>
      <w:marLeft w:val="0"/>
      <w:marRight w:val="0"/>
      <w:marTop w:val="0"/>
      <w:marBottom w:val="0"/>
      <w:divBdr>
        <w:top w:val="none" w:sz="0" w:space="0" w:color="auto"/>
        <w:left w:val="none" w:sz="0" w:space="0" w:color="auto"/>
        <w:bottom w:val="none" w:sz="0" w:space="0" w:color="auto"/>
        <w:right w:val="none" w:sz="0" w:space="0" w:color="auto"/>
      </w:divBdr>
    </w:div>
    <w:div w:id="1213805504">
      <w:bodyDiv w:val="1"/>
      <w:marLeft w:val="0"/>
      <w:marRight w:val="0"/>
      <w:marTop w:val="0"/>
      <w:marBottom w:val="0"/>
      <w:divBdr>
        <w:top w:val="none" w:sz="0" w:space="0" w:color="auto"/>
        <w:left w:val="none" w:sz="0" w:space="0" w:color="auto"/>
        <w:bottom w:val="none" w:sz="0" w:space="0" w:color="auto"/>
        <w:right w:val="none" w:sz="0" w:space="0" w:color="auto"/>
      </w:divBdr>
    </w:div>
    <w:div w:id="1230994715">
      <w:bodyDiv w:val="1"/>
      <w:marLeft w:val="0"/>
      <w:marRight w:val="0"/>
      <w:marTop w:val="0"/>
      <w:marBottom w:val="0"/>
      <w:divBdr>
        <w:top w:val="none" w:sz="0" w:space="0" w:color="auto"/>
        <w:left w:val="none" w:sz="0" w:space="0" w:color="auto"/>
        <w:bottom w:val="none" w:sz="0" w:space="0" w:color="auto"/>
        <w:right w:val="none" w:sz="0" w:space="0" w:color="auto"/>
      </w:divBdr>
    </w:div>
    <w:div w:id="1239555617">
      <w:bodyDiv w:val="1"/>
      <w:marLeft w:val="0"/>
      <w:marRight w:val="0"/>
      <w:marTop w:val="0"/>
      <w:marBottom w:val="0"/>
      <w:divBdr>
        <w:top w:val="none" w:sz="0" w:space="0" w:color="auto"/>
        <w:left w:val="none" w:sz="0" w:space="0" w:color="auto"/>
        <w:bottom w:val="none" w:sz="0" w:space="0" w:color="auto"/>
        <w:right w:val="none" w:sz="0" w:space="0" w:color="auto"/>
      </w:divBdr>
    </w:div>
    <w:div w:id="1239755626">
      <w:bodyDiv w:val="1"/>
      <w:marLeft w:val="0"/>
      <w:marRight w:val="0"/>
      <w:marTop w:val="0"/>
      <w:marBottom w:val="0"/>
      <w:divBdr>
        <w:top w:val="none" w:sz="0" w:space="0" w:color="auto"/>
        <w:left w:val="none" w:sz="0" w:space="0" w:color="auto"/>
        <w:bottom w:val="none" w:sz="0" w:space="0" w:color="auto"/>
        <w:right w:val="none" w:sz="0" w:space="0" w:color="auto"/>
      </w:divBdr>
    </w:div>
    <w:div w:id="1241062348">
      <w:bodyDiv w:val="1"/>
      <w:marLeft w:val="0"/>
      <w:marRight w:val="0"/>
      <w:marTop w:val="0"/>
      <w:marBottom w:val="0"/>
      <w:divBdr>
        <w:top w:val="none" w:sz="0" w:space="0" w:color="auto"/>
        <w:left w:val="none" w:sz="0" w:space="0" w:color="auto"/>
        <w:bottom w:val="none" w:sz="0" w:space="0" w:color="auto"/>
        <w:right w:val="none" w:sz="0" w:space="0" w:color="auto"/>
      </w:divBdr>
    </w:div>
    <w:div w:id="1242443002">
      <w:bodyDiv w:val="1"/>
      <w:marLeft w:val="0"/>
      <w:marRight w:val="0"/>
      <w:marTop w:val="0"/>
      <w:marBottom w:val="0"/>
      <w:divBdr>
        <w:top w:val="none" w:sz="0" w:space="0" w:color="auto"/>
        <w:left w:val="none" w:sz="0" w:space="0" w:color="auto"/>
        <w:bottom w:val="none" w:sz="0" w:space="0" w:color="auto"/>
        <w:right w:val="none" w:sz="0" w:space="0" w:color="auto"/>
      </w:divBdr>
    </w:div>
    <w:div w:id="1242523257">
      <w:bodyDiv w:val="1"/>
      <w:marLeft w:val="0"/>
      <w:marRight w:val="0"/>
      <w:marTop w:val="0"/>
      <w:marBottom w:val="0"/>
      <w:divBdr>
        <w:top w:val="none" w:sz="0" w:space="0" w:color="auto"/>
        <w:left w:val="none" w:sz="0" w:space="0" w:color="auto"/>
        <w:bottom w:val="none" w:sz="0" w:space="0" w:color="auto"/>
        <w:right w:val="none" w:sz="0" w:space="0" w:color="auto"/>
      </w:divBdr>
    </w:div>
    <w:div w:id="1262496401">
      <w:bodyDiv w:val="1"/>
      <w:marLeft w:val="0"/>
      <w:marRight w:val="0"/>
      <w:marTop w:val="0"/>
      <w:marBottom w:val="0"/>
      <w:divBdr>
        <w:top w:val="none" w:sz="0" w:space="0" w:color="auto"/>
        <w:left w:val="none" w:sz="0" w:space="0" w:color="auto"/>
        <w:bottom w:val="none" w:sz="0" w:space="0" w:color="auto"/>
        <w:right w:val="none" w:sz="0" w:space="0" w:color="auto"/>
      </w:divBdr>
    </w:div>
    <w:div w:id="1265108739">
      <w:bodyDiv w:val="1"/>
      <w:marLeft w:val="0"/>
      <w:marRight w:val="0"/>
      <w:marTop w:val="0"/>
      <w:marBottom w:val="0"/>
      <w:divBdr>
        <w:top w:val="none" w:sz="0" w:space="0" w:color="auto"/>
        <w:left w:val="none" w:sz="0" w:space="0" w:color="auto"/>
        <w:bottom w:val="none" w:sz="0" w:space="0" w:color="auto"/>
        <w:right w:val="none" w:sz="0" w:space="0" w:color="auto"/>
      </w:divBdr>
    </w:div>
    <w:div w:id="1267889374">
      <w:bodyDiv w:val="1"/>
      <w:marLeft w:val="0"/>
      <w:marRight w:val="0"/>
      <w:marTop w:val="0"/>
      <w:marBottom w:val="0"/>
      <w:divBdr>
        <w:top w:val="none" w:sz="0" w:space="0" w:color="auto"/>
        <w:left w:val="none" w:sz="0" w:space="0" w:color="auto"/>
        <w:bottom w:val="none" w:sz="0" w:space="0" w:color="auto"/>
        <w:right w:val="none" w:sz="0" w:space="0" w:color="auto"/>
      </w:divBdr>
    </w:div>
    <w:div w:id="1267931809">
      <w:bodyDiv w:val="1"/>
      <w:marLeft w:val="0"/>
      <w:marRight w:val="0"/>
      <w:marTop w:val="0"/>
      <w:marBottom w:val="0"/>
      <w:divBdr>
        <w:top w:val="none" w:sz="0" w:space="0" w:color="auto"/>
        <w:left w:val="none" w:sz="0" w:space="0" w:color="auto"/>
        <w:bottom w:val="none" w:sz="0" w:space="0" w:color="auto"/>
        <w:right w:val="none" w:sz="0" w:space="0" w:color="auto"/>
      </w:divBdr>
    </w:div>
    <w:div w:id="1269238622">
      <w:bodyDiv w:val="1"/>
      <w:marLeft w:val="0"/>
      <w:marRight w:val="0"/>
      <w:marTop w:val="0"/>
      <w:marBottom w:val="0"/>
      <w:divBdr>
        <w:top w:val="none" w:sz="0" w:space="0" w:color="auto"/>
        <w:left w:val="none" w:sz="0" w:space="0" w:color="auto"/>
        <w:bottom w:val="none" w:sz="0" w:space="0" w:color="auto"/>
        <w:right w:val="none" w:sz="0" w:space="0" w:color="auto"/>
      </w:divBdr>
    </w:div>
    <w:div w:id="1269242218">
      <w:bodyDiv w:val="1"/>
      <w:marLeft w:val="0"/>
      <w:marRight w:val="0"/>
      <w:marTop w:val="0"/>
      <w:marBottom w:val="0"/>
      <w:divBdr>
        <w:top w:val="none" w:sz="0" w:space="0" w:color="auto"/>
        <w:left w:val="none" w:sz="0" w:space="0" w:color="auto"/>
        <w:bottom w:val="none" w:sz="0" w:space="0" w:color="auto"/>
        <w:right w:val="none" w:sz="0" w:space="0" w:color="auto"/>
      </w:divBdr>
    </w:div>
    <w:div w:id="1270972144">
      <w:bodyDiv w:val="1"/>
      <w:marLeft w:val="0"/>
      <w:marRight w:val="0"/>
      <w:marTop w:val="0"/>
      <w:marBottom w:val="0"/>
      <w:divBdr>
        <w:top w:val="none" w:sz="0" w:space="0" w:color="auto"/>
        <w:left w:val="none" w:sz="0" w:space="0" w:color="auto"/>
        <w:bottom w:val="none" w:sz="0" w:space="0" w:color="auto"/>
        <w:right w:val="none" w:sz="0" w:space="0" w:color="auto"/>
      </w:divBdr>
    </w:div>
    <w:div w:id="1271354223">
      <w:bodyDiv w:val="1"/>
      <w:marLeft w:val="0"/>
      <w:marRight w:val="0"/>
      <w:marTop w:val="0"/>
      <w:marBottom w:val="0"/>
      <w:divBdr>
        <w:top w:val="none" w:sz="0" w:space="0" w:color="auto"/>
        <w:left w:val="none" w:sz="0" w:space="0" w:color="auto"/>
        <w:bottom w:val="none" w:sz="0" w:space="0" w:color="auto"/>
        <w:right w:val="none" w:sz="0" w:space="0" w:color="auto"/>
      </w:divBdr>
    </w:div>
    <w:div w:id="1273245479">
      <w:bodyDiv w:val="1"/>
      <w:marLeft w:val="0"/>
      <w:marRight w:val="0"/>
      <w:marTop w:val="0"/>
      <w:marBottom w:val="0"/>
      <w:divBdr>
        <w:top w:val="none" w:sz="0" w:space="0" w:color="auto"/>
        <w:left w:val="none" w:sz="0" w:space="0" w:color="auto"/>
        <w:bottom w:val="none" w:sz="0" w:space="0" w:color="auto"/>
        <w:right w:val="none" w:sz="0" w:space="0" w:color="auto"/>
      </w:divBdr>
    </w:div>
    <w:div w:id="1281037687">
      <w:bodyDiv w:val="1"/>
      <w:marLeft w:val="0"/>
      <w:marRight w:val="0"/>
      <w:marTop w:val="0"/>
      <w:marBottom w:val="0"/>
      <w:divBdr>
        <w:top w:val="none" w:sz="0" w:space="0" w:color="auto"/>
        <w:left w:val="none" w:sz="0" w:space="0" w:color="auto"/>
        <w:bottom w:val="none" w:sz="0" w:space="0" w:color="auto"/>
        <w:right w:val="none" w:sz="0" w:space="0" w:color="auto"/>
      </w:divBdr>
    </w:div>
    <w:div w:id="1318535118">
      <w:bodyDiv w:val="1"/>
      <w:marLeft w:val="0"/>
      <w:marRight w:val="0"/>
      <w:marTop w:val="0"/>
      <w:marBottom w:val="0"/>
      <w:divBdr>
        <w:top w:val="none" w:sz="0" w:space="0" w:color="auto"/>
        <w:left w:val="none" w:sz="0" w:space="0" w:color="auto"/>
        <w:bottom w:val="none" w:sz="0" w:space="0" w:color="auto"/>
        <w:right w:val="none" w:sz="0" w:space="0" w:color="auto"/>
      </w:divBdr>
    </w:div>
    <w:div w:id="1321423325">
      <w:bodyDiv w:val="1"/>
      <w:marLeft w:val="0"/>
      <w:marRight w:val="0"/>
      <w:marTop w:val="0"/>
      <w:marBottom w:val="0"/>
      <w:divBdr>
        <w:top w:val="none" w:sz="0" w:space="0" w:color="auto"/>
        <w:left w:val="none" w:sz="0" w:space="0" w:color="auto"/>
        <w:bottom w:val="none" w:sz="0" w:space="0" w:color="auto"/>
        <w:right w:val="none" w:sz="0" w:space="0" w:color="auto"/>
      </w:divBdr>
    </w:div>
    <w:div w:id="1325015003">
      <w:bodyDiv w:val="1"/>
      <w:marLeft w:val="0"/>
      <w:marRight w:val="0"/>
      <w:marTop w:val="0"/>
      <w:marBottom w:val="0"/>
      <w:divBdr>
        <w:top w:val="none" w:sz="0" w:space="0" w:color="auto"/>
        <w:left w:val="none" w:sz="0" w:space="0" w:color="auto"/>
        <w:bottom w:val="none" w:sz="0" w:space="0" w:color="auto"/>
        <w:right w:val="none" w:sz="0" w:space="0" w:color="auto"/>
      </w:divBdr>
    </w:div>
    <w:div w:id="1336573880">
      <w:bodyDiv w:val="1"/>
      <w:marLeft w:val="0"/>
      <w:marRight w:val="0"/>
      <w:marTop w:val="0"/>
      <w:marBottom w:val="0"/>
      <w:divBdr>
        <w:top w:val="none" w:sz="0" w:space="0" w:color="auto"/>
        <w:left w:val="none" w:sz="0" w:space="0" w:color="auto"/>
        <w:bottom w:val="none" w:sz="0" w:space="0" w:color="auto"/>
        <w:right w:val="none" w:sz="0" w:space="0" w:color="auto"/>
      </w:divBdr>
    </w:div>
    <w:div w:id="1350251347">
      <w:bodyDiv w:val="1"/>
      <w:marLeft w:val="0"/>
      <w:marRight w:val="0"/>
      <w:marTop w:val="0"/>
      <w:marBottom w:val="0"/>
      <w:divBdr>
        <w:top w:val="none" w:sz="0" w:space="0" w:color="auto"/>
        <w:left w:val="none" w:sz="0" w:space="0" w:color="auto"/>
        <w:bottom w:val="none" w:sz="0" w:space="0" w:color="auto"/>
        <w:right w:val="none" w:sz="0" w:space="0" w:color="auto"/>
      </w:divBdr>
    </w:div>
    <w:div w:id="1364282302">
      <w:bodyDiv w:val="1"/>
      <w:marLeft w:val="0"/>
      <w:marRight w:val="0"/>
      <w:marTop w:val="0"/>
      <w:marBottom w:val="0"/>
      <w:divBdr>
        <w:top w:val="none" w:sz="0" w:space="0" w:color="auto"/>
        <w:left w:val="none" w:sz="0" w:space="0" w:color="auto"/>
        <w:bottom w:val="none" w:sz="0" w:space="0" w:color="auto"/>
        <w:right w:val="none" w:sz="0" w:space="0" w:color="auto"/>
      </w:divBdr>
    </w:div>
    <w:div w:id="1380713590">
      <w:bodyDiv w:val="1"/>
      <w:marLeft w:val="0"/>
      <w:marRight w:val="0"/>
      <w:marTop w:val="0"/>
      <w:marBottom w:val="0"/>
      <w:divBdr>
        <w:top w:val="none" w:sz="0" w:space="0" w:color="auto"/>
        <w:left w:val="none" w:sz="0" w:space="0" w:color="auto"/>
        <w:bottom w:val="none" w:sz="0" w:space="0" w:color="auto"/>
        <w:right w:val="none" w:sz="0" w:space="0" w:color="auto"/>
      </w:divBdr>
    </w:div>
    <w:div w:id="1381244032">
      <w:bodyDiv w:val="1"/>
      <w:marLeft w:val="0"/>
      <w:marRight w:val="0"/>
      <w:marTop w:val="0"/>
      <w:marBottom w:val="0"/>
      <w:divBdr>
        <w:top w:val="none" w:sz="0" w:space="0" w:color="auto"/>
        <w:left w:val="none" w:sz="0" w:space="0" w:color="auto"/>
        <w:bottom w:val="none" w:sz="0" w:space="0" w:color="auto"/>
        <w:right w:val="none" w:sz="0" w:space="0" w:color="auto"/>
      </w:divBdr>
    </w:div>
    <w:div w:id="1395661804">
      <w:bodyDiv w:val="1"/>
      <w:marLeft w:val="0"/>
      <w:marRight w:val="0"/>
      <w:marTop w:val="0"/>
      <w:marBottom w:val="0"/>
      <w:divBdr>
        <w:top w:val="none" w:sz="0" w:space="0" w:color="auto"/>
        <w:left w:val="none" w:sz="0" w:space="0" w:color="auto"/>
        <w:bottom w:val="none" w:sz="0" w:space="0" w:color="auto"/>
        <w:right w:val="none" w:sz="0" w:space="0" w:color="auto"/>
      </w:divBdr>
    </w:div>
    <w:div w:id="1404988454">
      <w:bodyDiv w:val="1"/>
      <w:marLeft w:val="0"/>
      <w:marRight w:val="0"/>
      <w:marTop w:val="0"/>
      <w:marBottom w:val="0"/>
      <w:divBdr>
        <w:top w:val="none" w:sz="0" w:space="0" w:color="auto"/>
        <w:left w:val="none" w:sz="0" w:space="0" w:color="auto"/>
        <w:bottom w:val="none" w:sz="0" w:space="0" w:color="auto"/>
        <w:right w:val="none" w:sz="0" w:space="0" w:color="auto"/>
      </w:divBdr>
    </w:div>
    <w:div w:id="1409383261">
      <w:bodyDiv w:val="1"/>
      <w:marLeft w:val="0"/>
      <w:marRight w:val="0"/>
      <w:marTop w:val="0"/>
      <w:marBottom w:val="0"/>
      <w:divBdr>
        <w:top w:val="none" w:sz="0" w:space="0" w:color="auto"/>
        <w:left w:val="none" w:sz="0" w:space="0" w:color="auto"/>
        <w:bottom w:val="none" w:sz="0" w:space="0" w:color="auto"/>
        <w:right w:val="none" w:sz="0" w:space="0" w:color="auto"/>
      </w:divBdr>
    </w:div>
    <w:div w:id="1425107944">
      <w:bodyDiv w:val="1"/>
      <w:marLeft w:val="0"/>
      <w:marRight w:val="0"/>
      <w:marTop w:val="0"/>
      <w:marBottom w:val="0"/>
      <w:divBdr>
        <w:top w:val="none" w:sz="0" w:space="0" w:color="auto"/>
        <w:left w:val="none" w:sz="0" w:space="0" w:color="auto"/>
        <w:bottom w:val="none" w:sz="0" w:space="0" w:color="auto"/>
        <w:right w:val="none" w:sz="0" w:space="0" w:color="auto"/>
      </w:divBdr>
    </w:div>
    <w:div w:id="1431118000">
      <w:bodyDiv w:val="1"/>
      <w:marLeft w:val="0"/>
      <w:marRight w:val="0"/>
      <w:marTop w:val="0"/>
      <w:marBottom w:val="0"/>
      <w:divBdr>
        <w:top w:val="none" w:sz="0" w:space="0" w:color="auto"/>
        <w:left w:val="none" w:sz="0" w:space="0" w:color="auto"/>
        <w:bottom w:val="none" w:sz="0" w:space="0" w:color="auto"/>
        <w:right w:val="none" w:sz="0" w:space="0" w:color="auto"/>
      </w:divBdr>
    </w:div>
    <w:div w:id="1434128683">
      <w:bodyDiv w:val="1"/>
      <w:marLeft w:val="0"/>
      <w:marRight w:val="0"/>
      <w:marTop w:val="0"/>
      <w:marBottom w:val="0"/>
      <w:divBdr>
        <w:top w:val="none" w:sz="0" w:space="0" w:color="auto"/>
        <w:left w:val="none" w:sz="0" w:space="0" w:color="auto"/>
        <w:bottom w:val="none" w:sz="0" w:space="0" w:color="auto"/>
        <w:right w:val="none" w:sz="0" w:space="0" w:color="auto"/>
      </w:divBdr>
    </w:div>
    <w:div w:id="1436250390">
      <w:bodyDiv w:val="1"/>
      <w:marLeft w:val="0"/>
      <w:marRight w:val="0"/>
      <w:marTop w:val="0"/>
      <w:marBottom w:val="0"/>
      <w:divBdr>
        <w:top w:val="none" w:sz="0" w:space="0" w:color="auto"/>
        <w:left w:val="none" w:sz="0" w:space="0" w:color="auto"/>
        <w:bottom w:val="none" w:sz="0" w:space="0" w:color="auto"/>
        <w:right w:val="none" w:sz="0" w:space="0" w:color="auto"/>
      </w:divBdr>
    </w:div>
    <w:div w:id="1447263700">
      <w:bodyDiv w:val="1"/>
      <w:marLeft w:val="0"/>
      <w:marRight w:val="0"/>
      <w:marTop w:val="0"/>
      <w:marBottom w:val="0"/>
      <w:divBdr>
        <w:top w:val="none" w:sz="0" w:space="0" w:color="auto"/>
        <w:left w:val="none" w:sz="0" w:space="0" w:color="auto"/>
        <w:bottom w:val="none" w:sz="0" w:space="0" w:color="auto"/>
        <w:right w:val="none" w:sz="0" w:space="0" w:color="auto"/>
      </w:divBdr>
    </w:div>
    <w:div w:id="1456488430">
      <w:bodyDiv w:val="1"/>
      <w:marLeft w:val="0"/>
      <w:marRight w:val="0"/>
      <w:marTop w:val="0"/>
      <w:marBottom w:val="0"/>
      <w:divBdr>
        <w:top w:val="none" w:sz="0" w:space="0" w:color="auto"/>
        <w:left w:val="none" w:sz="0" w:space="0" w:color="auto"/>
        <w:bottom w:val="none" w:sz="0" w:space="0" w:color="auto"/>
        <w:right w:val="none" w:sz="0" w:space="0" w:color="auto"/>
      </w:divBdr>
    </w:div>
    <w:div w:id="1464497710">
      <w:bodyDiv w:val="1"/>
      <w:marLeft w:val="0"/>
      <w:marRight w:val="0"/>
      <w:marTop w:val="0"/>
      <w:marBottom w:val="0"/>
      <w:divBdr>
        <w:top w:val="none" w:sz="0" w:space="0" w:color="auto"/>
        <w:left w:val="none" w:sz="0" w:space="0" w:color="auto"/>
        <w:bottom w:val="none" w:sz="0" w:space="0" w:color="auto"/>
        <w:right w:val="none" w:sz="0" w:space="0" w:color="auto"/>
      </w:divBdr>
    </w:div>
    <w:div w:id="1479296712">
      <w:bodyDiv w:val="1"/>
      <w:marLeft w:val="0"/>
      <w:marRight w:val="0"/>
      <w:marTop w:val="0"/>
      <w:marBottom w:val="0"/>
      <w:divBdr>
        <w:top w:val="none" w:sz="0" w:space="0" w:color="auto"/>
        <w:left w:val="none" w:sz="0" w:space="0" w:color="auto"/>
        <w:bottom w:val="none" w:sz="0" w:space="0" w:color="auto"/>
        <w:right w:val="none" w:sz="0" w:space="0" w:color="auto"/>
      </w:divBdr>
    </w:div>
    <w:div w:id="1487629557">
      <w:bodyDiv w:val="1"/>
      <w:marLeft w:val="0"/>
      <w:marRight w:val="0"/>
      <w:marTop w:val="0"/>
      <w:marBottom w:val="0"/>
      <w:divBdr>
        <w:top w:val="none" w:sz="0" w:space="0" w:color="auto"/>
        <w:left w:val="none" w:sz="0" w:space="0" w:color="auto"/>
        <w:bottom w:val="none" w:sz="0" w:space="0" w:color="auto"/>
        <w:right w:val="none" w:sz="0" w:space="0" w:color="auto"/>
      </w:divBdr>
      <w:divsChild>
        <w:div w:id="276568155">
          <w:marLeft w:val="-720"/>
          <w:marRight w:val="0"/>
          <w:marTop w:val="0"/>
          <w:marBottom w:val="0"/>
          <w:divBdr>
            <w:top w:val="none" w:sz="0" w:space="0" w:color="auto"/>
            <w:left w:val="none" w:sz="0" w:space="0" w:color="auto"/>
            <w:bottom w:val="none" w:sz="0" w:space="0" w:color="auto"/>
            <w:right w:val="none" w:sz="0" w:space="0" w:color="auto"/>
          </w:divBdr>
        </w:div>
      </w:divsChild>
    </w:div>
    <w:div w:id="1488472870">
      <w:bodyDiv w:val="1"/>
      <w:marLeft w:val="0"/>
      <w:marRight w:val="0"/>
      <w:marTop w:val="0"/>
      <w:marBottom w:val="0"/>
      <w:divBdr>
        <w:top w:val="none" w:sz="0" w:space="0" w:color="auto"/>
        <w:left w:val="none" w:sz="0" w:space="0" w:color="auto"/>
        <w:bottom w:val="none" w:sz="0" w:space="0" w:color="auto"/>
        <w:right w:val="none" w:sz="0" w:space="0" w:color="auto"/>
      </w:divBdr>
    </w:div>
    <w:div w:id="1492604589">
      <w:bodyDiv w:val="1"/>
      <w:marLeft w:val="0"/>
      <w:marRight w:val="0"/>
      <w:marTop w:val="0"/>
      <w:marBottom w:val="0"/>
      <w:divBdr>
        <w:top w:val="none" w:sz="0" w:space="0" w:color="auto"/>
        <w:left w:val="none" w:sz="0" w:space="0" w:color="auto"/>
        <w:bottom w:val="none" w:sz="0" w:space="0" w:color="auto"/>
        <w:right w:val="none" w:sz="0" w:space="0" w:color="auto"/>
      </w:divBdr>
    </w:div>
    <w:div w:id="1507280201">
      <w:bodyDiv w:val="1"/>
      <w:marLeft w:val="0"/>
      <w:marRight w:val="0"/>
      <w:marTop w:val="0"/>
      <w:marBottom w:val="0"/>
      <w:divBdr>
        <w:top w:val="none" w:sz="0" w:space="0" w:color="auto"/>
        <w:left w:val="none" w:sz="0" w:space="0" w:color="auto"/>
        <w:bottom w:val="none" w:sz="0" w:space="0" w:color="auto"/>
        <w:right w:val="none" w:sz="0" w:space="0" w:color="auto"/>
      </w:divBdr>
    </w:div>
    <w:div w:id="1508446659">
      <w:bodyDiv w:val="1"/>
      <w:marLeft w:val="0"/>
      <w:marRight w:val="0"/>
      <w:marTop w:val="0"/>
      <w:marBottom w:val="0"/>
      <w:divBdr>
        <w:top w:val="none" w:sz="0" w:space="0" w:color="auto"/>
        <w:left w:val="none" w:sz="0" w:space="0" w:color="auto"/>
        <w:bottom w:val="none" w:sz="0" w:space="0" w:color="auto"/>
        <w:right w:val="none" w:sz="0" w:space="0" w:color="auto"/>
      </w:divBdr>
    </w:div>
    <w:div w:id="1510756465">
      <w:bodyDiv w:val="1"/>
      <w:marLeft w:val="0"/>
      <w:marRight w:val="0"/>
      <w:marTop w:val="0"/>
      <w:marBottom w:val="0"/>
      <w:divBdr>
        <w:top w:val="none" w:sz="0" w:space="0" w:color="auto"/>
        <w:left w:val="none" w:sz="0" w:space="0" w:color="auto"/>
        <w:bottom w:val="none" w:sz="0" w:space="0" w:color="auto"/>
        <w:right w:val="none" w:sz="0" w:space="0" w:color="auto"/>
      </w:divBdr>
    </w:div>
    <w:div w:id="1524785739">
      <w:bodyDiv w:val="1"/>
      <w:marLeft w:val="0"/>
      <w:marRight w:val="0"/>
      <w:marTop w:val="0"/>
      <w:marBottom w:val="0"/>
      <w:divBdr>
        <w:top w:val="none" w:sz="0" w:space="0" w:color="auto"/>
        <w:left w:val="none" w:sz="0" w:space="0" w:color="auto"/>
        <w:bottom w:val="none" w:sz="0" w:space="0" w:color="auto"/>
        <w:right w:val="none" w:sz="0" w:space="0" w:color="auto"/>
      </w:divBdr>
    </w:div>
    <w:div w:id="1535800969">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
          <w:marLeft w:val="0"/>
          <w:marRight w:val="0"/>
          <w:marTop w:val="0"/>
          <w:marBottom w:val="0"/>
          <w:divBdr>
            <w:top w:val="none" w:sz="0" w:space="0" w:color="auto"/>
            <w:left w:val="none" w:sz="0" w:space="0" w:color="auto"/>
            <w:bottom w:val="none" w:sz="0" w:space="0" w:color="auto"/>
            <w:right w:val="none" w:sz="0" w:space="0" w:color="auto"/>
          </w:divBdr>
        </w:div>
      </w:divsChild>
    </w:div>
    <w:div w:id="1543056365">
      <w:bodyDiv w:val="1"/>
      <w:marLeft w:val="0"/>
      <w:marRight w:val="0"/>
      <w:marTop w:val="0"/>
      <w:marBottom w:val="0"/>
      <w:divBdr>
        <w:top w:val="none" w:sz="0" w:space="0" w:color="auto"/>
        <w:left w:val="none" w:sz="0" w:space="0" w:color="auto"/>
        <w:bottom w:val="none" w:sz="0" w:space="0" w:color="auto"/>
        <w:right w:val="none" w:sz="0" w:space="0" w:color="auto"/>
      </w:divBdr>
    </w:div>
    <w:div w:id="1558279450">
      <w:bodyDiv w:val="1"/>
      <w:marLeft w:val="0"/>
      <w:marRight w:val="0"/>
      <w:marTop w:val="0"/>
      <w:marBottom w:val="0"/>
      <w:divBdr>
        <w:top w:val="none" w:sz="0" w:space="0" w:color="auto"/>
        <w:left w:val="none" w:sz="0" w:space="0" w:color="auto"/>
        <w:bottom w:val="none" w:sz="0" w:space="0" w:color="auto"/>
        <w:right w:val="none" w:sz="0" w:space="0" w:color="auto"/>
      </w:divBdr>
    </w:div>
    <w:div w:id="1563365811">
      <w:bodyDiv w:val="1"/>
      <w:marLeft w:val="0"/>
      <w:marRight w:val="0"/>
      <w:marTop w:val="0"/>
      <w:marBottom w:val="0"/>
      <w:divBdr>
        <w:top w:val="none" w:sz="0" w:space="0" w:color="auto"/>
        <w:left w:val="none" w:sz="0" w:space="0" w:color="auto"/>
        <w:bottom w:val="none" w:sz="0" w:space="0" w:color="auto"/>
        <w:right w:val="none" w:sz="0" w:space="0" w:color="auto"/>
      </w:divBdr>
    </w:div>
    <w:div w:id="1567061419">
      <w:bodyDiv w:val="1"/>
      <w:marLeft w:val="0"/>
      <w:marRight w:val="0"/>
      <w:marTop w:val="0"/>
      <w:marBottom w:val="0"/>
      <w:divBdr>
        <w:top w:val="none" w:sz="0" w:space="0" w:color="auto"/>
        <w:left w:val="none" w:sz="0" w:space="0" w:color="auto"/>
        <w:bottom w:val="none" w:sz="0" w:space="0" w:color="auto"/>
        <w:right w:val="none" w:sz="0" w:space="0" w:color="auto"/>
      </w:divBdr>
    </w:div>
    <w:div w:id="1567908701">
      <w:bodyDiv w:val="1"/>
      <w:marLeft w:val="0"/>
      <w:marRight w:val="0"/>
      <w:marTop w:val="0"/>
      <w:marBottom w:val="0"/>
      <w:divBdr>
        <w:top w:val="none" w:sz="0" w:space="0" w:color="auto"/>
        <w:left w:val="none" w:sz="0" w:space="0" w:color="auto"/>
        <w:bottom w:val="none" w:sz="0" w:space="0" w:color="auto"/>
        <w:right w:val="none" w:sz="0" w:space="0" w:color="auto"/>
      </w:divBdr>
    </w:div>
    <w:div w:id="1583834111">
      <w:bodyDiv w:val="1"/>
      <w:marLeft w:val="0"/>
      <w:marRight w:val="0"/>
      <w:marTop w:val="0"/>
      <w:marBottom w:val="0"/>
      <w:divBdr>
        <w:top w:val="none" w:sz="0" w:space="0" w:color="auto"/>
        <w:left w:val="none" w:sz="0" w:space="0" w:color="auto"/>
        <w:bottom w:val="none" w:sz="0" w:space="0" w:color="auto"/>
        <w:right w:val="none" w:sz="0" w:space="0" w:color="auto"/>
      </w:divBdr>
    </w:div>
    <w:div w:id="1584028561">
      <w:bodyDiv w:val="1"/>
      <w:marLeft w:val="0"/>
      <w:marRight w:val="0"/>
      <w:marTop w:val="0"/>
      <w:marBottom w:val="0"/>
      <w:divBdr>
        <w:top w:val="none" w:sz="0" w:space="0" w:color="auto"/>
        <w:left w:val="none" w:sz="0" w:space="0" w:color="auto"/>
        <w:bottom w:val="none" w:sz="0" w:space="0" w:color="auto"/>
        <w:right w:val="none" w:sz="0" w:space="0" w:color="auto"/>
      </w:divBdr>
    </w:div>
    <w:div w:id="1584756322">
      <w:bodyDiv w:val="1"/>
      <w:marLeft w:val="0"/>
      <w:marRight w:val="0"/>
      <w:marTop w:val="0"/>
      <w:marBottom w:val="0"/>
      <w:divBdr>
        <w:top w:val="none" w:sz="0" w:space="0" w:color="auto"/>
        <w:left w:val="none" w:sz="0" w:space="0" w:color="auto"/>
        <w:bottom w:val="none" w:sz="0" w:space="0" w:color="auto"/>
        <w:right w:val="none" w:sz="0" w:space="0" w:color="auto"/>
      </w:divBdr>
    </w:div>
    <w:div w:id="1615749251">
      <w:bodyDiv w:val="1"/>
      <w:marLeft w:val="0"/>
      <w:marRight w:val="0"/>
      <w:marTop w:val="0"/>
      <w:marBottom w:val="0"/>
      <w:divBdr>
        <w:top w:val="none" w:sz="0" w:space="0" w:color="auto"/>
        <w:left w:val="none" w:sz="0" w:space="0" w:color="auto"/>
        <w:bottom w:val="none" w:sz="0" w:space="0" w:color="auto"/>
        <w:right w:val="none" w:sz="0" w:space="0" w:color="auto"/>
      </w:divBdr>
      <w:divsChild>
        <w:div w:id="1038318086">
          <w:marLeft w:val="0"/>
          <w:marRight w:val="0"/>
          <w:marTop w:val="0"/>
          <w:marBottom w:val="0"/>
          <w:divBdr>
            <w:top w:val="none" w:sz="0" w:space="0" w:color="auto"/>
            <w:left w:val="none" w:sz="0" w:space="0" w:color="auto"/>
            <w:bottom w:val="none" w:sz="0" w:space="0" w:color="auto"/>
            <w:right w:val="none" w:sz="0" w:space="0" w:color="auto"/>
          </w:divBdr>
          <w:divsChild>
            <w:div w:id="2144884043">
              <w:marLeft w:val="0"/>
              <w:marRight w:val="0"/>
              <w:marTop w:val="0"/>
              <w:marBottom w:val="0"/>
              <w:divBdr>
                <w:top w:val="none" w:sz="0" w:space="0" w:color="auto"/>
                <w:left w:val="none" w:sz="0" w:space="0" w:color="auto"/>
                <w:bottom w:val="none" w:sz="0" w:space="0" w:color="auto"/>
                <w:right w:val="none" w:sz="0" w:space="0" w:color="auto"/>
              </w:divBdr>
              <w:divsChild>
                <w:div w:id="1092969716">
                  <w:marLeft w:val="0"/>
                  <w:marRight w:val="0"/>
                  <w:marTop w:val="0"/>
                  <w:marBottom w:val="0"/>
                  <w:divBdr>
                    <w:top w:val="none" w:sz="0" w:space="0" w:color="auto"/>
                    <w:left w:val="none" w:sz="0" w:space="0" w:color="auto"/>
                    <w:bottom w:val="none" w:sz="0" w:space="0" w:color="auto"/>
                    <w:right w:val="none" w:sz="0" w:space="0" w:color="auto"/>
                  </w:divBdr>
                  <w:divsChild>
                    <w:div w:id="390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38050">
          <w:marLeft w:val="0"/>
          <w:marRight w:val="0"/>
          <w:marTop w:val="0"/>
          <w:marBottom w:val="0"/>
          <w:divBdr>
            <w:top w:val="none" w:sz="0" w:space="0" w:color="auto"/>
            <w:left w:val="none" w:sz="0" w:space="0" w:color="auto"/>
            <w:bottom w:val="none" w:sz="0" w:space="0" w:color="auto"/>
            <w:right w:val="none" w:sz="0" w:space="0" w:color="auto"/>
          </w:divBdr>
          <w:divsChild>
            <w:div w:id="761149095">
              <w:marLeft w:val="0"/>
              <w:marRight w:val="0"/>
              <w:marTop w:val="0"/>
              <w:marBottom w:val="0"/>
              <w:divBdr>
                <w:top w:val="none" w:sz="0" w:space="0" w:color="auto"/>
                <w:left w:val="none" w:sz="0" w:space="0" w:color="auto"/>
                <w:bottom w:val="none" w:sz="0" w:space="0" w:color="auto"/>
                <w:right w:val="none" w:sz="0" w:space="0" w:color="auto"/>
              </w:divBdr>
              <w:divsChild>
                <w:div w:id="825780179">
                  <w:marLeft w:val="0"/>
                  <w:marRight w:val="0"/>
                  <w:marTop w:val="0"/>
                  <w:marBottom w:val="0"/>
                  <w:divBdr>
                    <w:top w:val="none" w:sz="0" w:space="0" w:color="auto"/>
                    <w:left w:val="none" w:sz="0" w:space="0" w:color="auto"/>
                    <w:bottom w:val="none" w:sz="0" w:space="0" w:color="auto"/>
                    <w:right w:val="none" w:sz="0" w:space="0" w:color="auto"/>
                  </w:divBdr>
                  <w:divsChild>
                    <w:div w:id="568810056">
                      <w:marLeft w:val="0"/>
                      <w:marRight w:val="0"/>
                      <w:marTop w:val="0"/>
                      <w:marBottom w:val="0"/>
                      <w:divBdr>
                        <w:top w:val="none" w:sz="0" w:space="0" w:color="auto"/>
                        <w:left w:val="none" w:sz="0" w:space="0" w:color="auto"/>
                        <w:bottom w:val="none" w:sz="0" w:space="0" w:color="auto"/>
                        <w:right w:val="none" w:sz="0" w:space="0" w:color="auto"/>
                      </w:divBdr>
                      <w:divsChild>
                        <w:div w:id="18251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296171">
      <w:bodyDiv w:val="1"/>
      <w:marLeft w:val="0"/>
      <w:marRight w:val="0"/>
      <w:marTop w:val="0"/>
      <w:marBottom w:val="0"/>
      <w:divBdr>
        <w:top w:val="none" w:sz="0" w:space="0" w:color="auto"/>
        <w:left w:val="none" w:sz="0" w:space="0" w:color="auto"/>
        <w:bottom w:val="none" w:sz="0" w:space="0" w:color="auto"/>
        <w:right w:val="none" w:sz="0" w:space="0" w:color="auto"/>
      </w:divBdr>
    </w:div>
    <w:div w:id="1631088649">
      <w:bodyDiv w:val="1"/>
      <w:marLeft w:val="0"/>
      <w:marRight w:val="0"/>
      <w:marTop w:val="0"/>
      <w:marBottom w:val="0"/>
      <w:divBdr>
        <w:top w:val="none" w:sz="0" w:space="0" w:color="auto"/>
        <w:left w:val="none" w:sz="0" w:space="0" w:color="auto"/>
        <w:bottom w:val="none" w:sz="0" w:space="0" w:color="auto"/>
        <w:right w:val="none" w:sz="0" w:space="0" w:color="auto"/>
      </w:divBdr>
    </w:div>
    <w:div w:id="1631131893">
      <w:bodyDiv w:val="1"/>
      <w:marLeft w:val="0"/>
      <w:marRight w:val="0"/>
      <w:marTop w:val="0"/>
      <w:marBottom w:val="0"/>
      <w:divBdr>
        <w:top w:val="none" w:sz="0" w:space="0" w:color="auto"/>
        <w:left w:val="none" w:sz="0" w:space="0" w:color="auto"/>
        <w:bottom w:val="none" w:sz="0" w:space="0" w:color="auto"/>
        <w:right w:val="none" w:sz="0" w:space="0" w:color="auto"/>
      </w:divBdr>
    </w:div>
    <w:div w:id="1635714093">
      <w:bodyDiv w:val="1"/>
      <w:marLeft w:val="0"/>
      <w:marRight w:val="0"/>
      <w:marTop w:val="0"/>
      <w:marBottom w:val="0"/>
      <w:divBdr>
        <w:top w:val="none" w:sz="0" w:space="0" w:color="auto"/>
        <w:left w:val="none" w:sz="0" w:space="0" w:color="auto"/>
        <w:bottom w:val="none" w:sz="0" w:space="0" w:color="auto"/>
        <w:right w:val="none" w:sz="0" w:space="0" w:color="auto"/>
      </w:divBdr>
    </w:div>
    <w:div w:id="1649439744">
      <w:bodyDiv w:val="1"/>
      <w:marLeft w:val="0"/>
      <w:marRight w:val="0"/>
      <w:marTop w:val="0"/>
      <w:marBottom w:val="0"/>
      <w:divBdr>
        <w:top w:val="none" w:sz="0" w:space="0" w:color="auto"/>
        <w:left w:val="none" w:sz="0" w:space="0" w:color="auto"/>
        <w:bottom w:val="none" w:sz="0" w:space="0" w:color="auto"/>
        <w:right w:val="none" w:sz="0" w:space="0" w:color="auto"/>
      </w:divBdr>
    </w:div>
    <w:div w:id="1653872662">
      <w:bodyDiv w:val="1"/>
      <w:marLeft w:val="0"/>
      <w:marRight w:val="0"/>
      <w:marTop w:val="0"/>
      <w:marBottom w:val="0"/>
      <w:divBdr>
        <w:top w:val="none" w:sz="0" w:space="0" w:color="auto"/>
        <w:left w:val="none" w:sz="0" w:space="0" w:color="auto"/>
        <w:bottom w:val="none" w:sz="0" w:space="0" w:color="auto"/>
        <w:right w:val="none" w:sz="0" w:space="0" w:color="auto"/>
      </w:divBdr>
    </w:div>
    <w:div w:id="1663000460">
      <w:bodyDiv w:val="1"/>
      <w:marLeft w:val="0"/>
      <w:marRight w:val="0"/>
      <w:marTop w:val="0"/>
      <w:marBottom w:val="0"/>
      <w:divBdr>
        <w:top w:val="none" w:sz="0" w:space="0" w:color="auto"/>
        <w:left w:val="none" w:sz="0" w:space="0" w:color="auto"/>
        <w:bottom w:val="none" w:sz="0" w:space="0" w:color="auto"/>
        <w:right w:val="none" w:sz="0" w:space="0" w:color="auto"/>
      </w:divBdr>
    </w:div>
    <w:div w:id="1690914214">
      <w:bodyDiv w:val="1"/>
      <w:marLeft w:val="0"/>
      <w:marRight w:val="0"/>
      <w:marTop w:val="0"/>
      <w:marBottom w:val="0"/>
      <w:divBdr>
        <w:top w:val="none" w:sz="0" w:space="0" w:color="auto"/>
        <w:left w:val="none" w:sz="0" w:space="0" w:color="auto"/>
        <w:bottom w:val="none" w:sz="0" w:space="0" w:color="auto"/>
        <w:right w:val="none" w:sz="0" w:space="0" w:color="auto"/>
      </w:divBdr>
    </w:div>
    <w:div w:id="1693530891">
      <w:bodyDiv w:val="1"/>
      <w:marLeft w:val="0"/>
      <w:marRight w:val="0"/>
      <w:marTop w:val="0"/>
      <w:marBottom w:val="0"/>
      <w:divBdr>
        <w:top w:val="none" w:sz="0" w:space="0" w:color="auto"/>
        <w:left w:val="none" w:sz="0" w:space="0" w:color="auto"/>
        <w:bottom w:val="none" w:sz="0" w:space="0" w:color="auto"/>
        <w:right w:val="none" w:sz="0" w:space="0" w:color="auto"/>
      </w:divBdr>
    </w:div>
    <w:div w:id="1707362943">
      <w:bodyDiv w:val="1"/>
      <w:marLeft w:val="0"/>
      <w:marRight w:val="0"/>
      <w:marTop w:val="0"/>
      <w:marBottom w:val="0"/>
      <w:divBdr>
        <w:top w:val="none" w:sz="0" w:space="0" w:color="auto"/>
        <w:left w:val="none" w:sz="0" w:space="0" w:color="auto"/>
        <w:bottom w:val="none" w:sz="0" w:space="0" w:color="auto"/>
        <w:right w:val="none" w:sz="0" w:space="0" w:color="auto"/>
      </w:divBdr>
    </w:div>
    <w:div w:id="1714887712">
      <w:bodyDiv w:val="1"/>
      <w:marLeft w:val="0"/>
      <w:marRight w:val="0"/>
      <w:marTop w:val="0"/>
      <w:marBottom w:val="0"/>
      <w:divBdr>
        <w:top w:val="none" w:sz="0" w:space="0" w:color="auto"/>
        <w:left w:val="none" w:sz="0" w:space="0" w:color="auto"/>
        <w:bottom w:val="none" w:sz="0" w:space="0" w:color="auto"/>
        <w:right w:val="none" w:sz="0" w:space="0" w:color="auto"/>
      </w:divBdr>
    </w:div>
    <w:div w:id="1716075262">
      <w:bodyDiv w:val="1"/>
      <w:marLeft w:val="0"/>
      <w:marRight w:val="0"/>
      <w:marTop w:val="0"/>
      <w:marBottom w:val="0"/>
      <w:divBdr>
        <w:top w:val="none" w:sz="0" w:space="0" w:color="auto"/>
        <w:left w:val="none" w:sz="0" w:space="0" w:color="auto"/>
        <w:bottom w:val="none" w:sz="0" w:space="0" w:color="auto"/>
        <w:right w:val="none" w:sz="0" w:space="0" w:color="auto"/>
      </w:divBdr>
    </w:div>
    <w:div w:id="1722292263">
      <w:bodyDiv w:val="1"/>
      <w:marLeft w:val="0"/>
      <w:marRight w:val="0"/>
      <w:marTop w:val="0"/>
      <w:marBottom w:val="0"/>
      <w:divBdr>
        <w:top w:val="none" w:sz="0" w:space="0" w:color="auto"/>
        <w:left w:val="none" w:sz="0" w:space="0" w:color="auto"/>
        <w:bottom w:val="none" w:sz="0" w:space="0" w:color="auto"/>
        <w:right w:val="none" w:sz="0" w:space="0" w:color="auto"/>
      </w:divBdr>
      <w:divsChild>
        <w:div w:id="145241795">
          <w:marLeft w:val="-720"/>
          <w:marRight w:val="0"/>
          <w:marTop w:val="0"/>
          <w:marBottom w:val="0"/>
          <w:divBdr>
            <w:top w:val="none" w:sz="0" w:space="0" w:color="auto"/>
            <w:left w:val="none" w:sz="0" w:space="0" w:color="auto"/>
            <w:bottom w:val="none" w:sz="0" w:space="0" w:color="auto"/>
            <w:right w:val="none" w:sz="0" w:space="0" w:color="auto"/>
          </w:divBdr>
        </w:div>
      </w:divsChild>
    </w:div>
    <w:div w:id="1743211915">
      <w:bodyDiv w:val="1"/>
      <w:marLeft w:val="0"/>
      <w:marRight w:val="0"/>
      <w:marTop w:val="0"/>
      <w:marBottom w:val="0"/>
      <w:divBdr>
        <w:top w:val="none" w:sz="0" w:space="0" w:color="auto"/>
        <w:left w:val="none" w:sz="0" w:space="0" w:color="auto"/>
        <w:bottom w:val="none" w:sz="0" w:space="0" w:color="auto"/>
        <w:right w:val="none" w:sz="0" w:space="0" w:color="auto"/>
      </w:divBdr>
    </w:div>
    <w:div w:id="1750803980">
      <w:bodyDiv w:val="1"/>
      <w:marLeft w:val="0"/>
      <w:marRight w:val="0"/>
      <w:marTop w:val="0"/>
      <w:marBottom w:val="0"/>
      <w:divBdr>
        <w:top w:val="none" w:sz="0" w:space="0" w:color="auto"/>
        <w:left w:val="none" w:sz="0" w:space="0" w:color="auto"/>
        <w:bottom w:val="none" w:sz="0" w:space="0" w:color="auto"/>
        <w:right w:val="none" w:sz="0" w:space="0" w:color="auto"/>
      </w:divBdr>
      <w:divsChild>
        <w:div w:id="1168908907">
          <w:marLeft w:val="-720"/>
          <w:marRight w:val="0"/>
          <w:marTop w:val="0"/>
          <w:marBottom w:val="0"/>
          <w:divBdr>
            <w:top w:val="none" w:sz="0" w:space="0" w:color="auto"/>
            <w:left w:val="none" w:sz="0" w:space="0" w:color="auto"/>
            <w:bottom w:val="none" w:sz="0" w:space="0" w:color="auto"/>
            <w:right w:val="none" w:sz="0" w:space="0" w:color="auto"/>
          </w:divBdr>
        </w:div>
      </w:divsChild>
    </w:div>
    <w:div w:id="1762336908">
      <w:bodyDiv w:val="1"/>
      <w:marLeft w:val="0"/>
      <w:marRight w:val="0"/>
      <w:marTop w:val="0"/>
      <w:marBottom w:val="0"/>
      <w:divBdr>
        <w:top w:val="none" w:sz="0" w:space="0" w:color="auto"/>
        <w:left w:val="none" w:sz="0" w:space="0" w:color="auto"/>
        <w:bottom w:val="none" w:sz="0" w:space="0" w:color="auto"/>
        <w:right w:val="none" w:sz="0" w:space="0" w:color="auto"/>
      </w:divBdr>
    </w:div>
    <w:div w:id="1784109202">
      <w:bodyDiv w:val="1"/>
      <w:marLeft w:val="0"/>
      <w:marRight w:val="0"/>
      <w:marTop w:val="0"/>
      <w:marBottom w:val="0"/>
      <w:divBdr>
        <w:top w:val="none" w:sz="0" w:space="0" w:color="auto"/>
        <w:left w:val="none" w:sz="0" w:space="0" w:color="auto"/>
        <w:bottom w:val="none" w:sz="0" w:space="0" w:color="auto"/>
        <w:right w:val="none" w:sz="0" w:space="0" w:color="auto"/>
      </w:divBdr>
      <w:divsChild>
        <w:div w:id="572474562">
          <w:marLeft w:val="-720"/>
          <w:marRight w:val="0"/>
          <w:marTop w:val="0"/>
          <w:marBottom w:val="0"/>
          <w:divBdr>
            <w:top w:val="none" w:sz="0" w:space="0" w:color="auto"/>
            <w:left w:val="none" w:sz="0" w:space="0" w:color="auto"/>
            <w:bottom w:val="none" w:sz="0" w:space="0" w:color="auto"/>
            <w:right w:val="none" w:sz="0" w:space="0" w:color="auto"/>
          </w:divBdr>
        </w:div>
      </w:divsChild>
    </w:div>
    <w:div w:id="1786843636">
      <w:bodyDiv w:val="1"/>
      <w:marLeft w:val="0"/>
      <w:marRight w:val="0"/>
      <w:marTop w:val="0"/>
      <w:marBottom w:val="0"/>
      <w:divBdr>
        <w:top w:val="none" w:sz="0" w:space="0" w:color="auto"/>
        <w:left w:val="none" w:sz="0" w:space="0" w:color="auto"/>
        <w:bottom w:val="none" w:sz="0" w:space="0" w:color="auto"/>
        <w:right w:val="none" w:sz="0" w:space="0" w:color="auto"/>
      </w:divBdr>
    </w:div>
    <w:div w:id="1795824844">
      <w:bodyDiv w:val="1"/>
      <w:marLeft w:val="0"/>
      <w:marRight w:val="0"/>
      <w:marTop w:val="0"/>
      <w:marBottom w:val="0"/>
      <w:divBdr>
        <w:top w:val="none" w:sz="0" w:space="0" w:color="auto"/>
        <w:left w:val="none" w:sz="0" w:space="0" w:color="auto"/>
        <w:bottom w:val="none" w:sz="0" w:space="0" w:color="auto"/>
        <w:right w:val="none" w:sz="0" w:space="0" w:color="auto"/>
      </w:divBdr>
    </w:div>
    <w:div w:id="1796636487">
      <w:bodyDiv w:val="1"/>
      <w:marLeft w:val="0"/>
      <w:marRight w:val="0"/>
      <w:marTop w:val="0"/>
      <w:marBottom w:val="0"/>
      <w:divBdr>
        <w:top w:val="none" w:sz="0" w:space="0" w:color="auto"/>
        <w:left w:val="none" w:sz="0" w:space="0" w:color="auto"/>
        <w:bottom w:val="none" w:sz="0" w:space="0" w:color="auto"/>
        <w:right w:val="none" w:sz="0" w:space="0" w:color="auto"/>
      </w:divBdr>
    </w:div>
    <w:div w:id="1798059546">
      <w:bodyDiv w:val="1"/>
      <w:marLeft w:val="0"/>
      <w:marRight w:val="0"/>
      <w:marTop w:val="0"/>
      <w:marBottom w:val="0"/>
      <w:divBdr>
        <w:top w:val="none" w:sz="0" w:space="0" w:color="auto"/>
        <w:left w:val="none" w:sz="0" w:space="0" w:color="auto"/>
        <w:bottom w:val="none" w:sz="0" w:space="0" w:color="auto"/>
        <w:right w:val="none" w:sz="0" w:space="0" w:color="auto"/>
      </w:divBdr>
    </w:div>
    <w:div w:id="1802189686">
      <w:bodyDiv w:val="1"/>
      <w:marLeft w:val="0"/>
      <w:marRight w:val="0"/>
      <w:marTop w:val="0"/>
      <w:marBottom w:val="0"/>
      <w:divBdr>
        <w:top w:val="none" w:sz="0" w:space="0" w:color="auto"/>
        <w:left w:val="none" w:sz="0" w:space="0" w:color="auto"/>
        <w:bottom w:val="none" w:sz="0" w:space="0" w:color="auto"/>
        <w:right w:val="none" w:sz="0" w:space="0" w:color="auto"/>
      </w:divBdr>
    </w:div>
    <w:div w:id="1806041320">
      <w:bodyDiv w:val="1"/>
      <w:marLeft w:val="0"/>
      <w:marRight w:val="0"/>
      <w:marTop w:val="0"/>
      <w:marBottom w:val="0"/>
      <w:divBdr>
        <w:top w:val="none" w:sz="0" w:space="0" w:color="auto"/>
        <w:left w:val="none" w:sz="0" w:space="0" w:color="auto"/>
        <w:bottom w:val="none" w:sz="0" w:space="0" w:color="auto"/>
        <w:right w:val="none" w:sz="0" w:space="0" w:color="auto"/>
      </w:divBdr>
    </w:div>
    <w:div w:id="1808623908">
      <w:bodyDiv w:val="1"/>
      <w:marLeft w:val="0"/>
      <w:marRight w:val="0"/>
      <w:marTop w:val="0"/>
      <w:marBottom w:val="0"/>
      <w:divBdr>
        <w:top w:val="none" w:sz="0" w:space="0" w:color="auto"/>
        <w:left w:val="none" w:sz="0" w:space="0" w:color="auto"/>
        <w:bottom w:val="none" w:sz="0" w:space="0" w:color="auto"/>
        <w:right w:val="none" w:sz="0" w:space="0" w:color="auto"/>
      </w:divBdr>
    </w:div>
    <w:div w:id="1822383398">
      <w:bodyDiv w:val="1"/>
      <w:marLeft w:val="0"/>
      <w:marRight w:val="0"/>
      <w:marTop w:val="0"/>
      <w:marBottom w:val="0"/>
      <w:divBdr>
        <w:top w:val="none" w:sz="0" w:space="0" w:color="auto"/>
        <w:left w:val="none" w:sz="0" w:space="0" w:color="auto"/>
        <w:bottom w:val="none" w:sz="0" w:space="0" w:color="auto"/>
        <w:right w:val="none" w:sz="0" w:space="0" w:color="auto"/>
      </w:divBdr>
    </w:div>
    <w:div w:id="1822843695">
      <w:bodyDiv w:val="1"/>
      <w:marLeft w:val="0"/>
      <w:marRight w:val="0"/>
      <w:marTop w:val="0"/>
      <w:marBottom w:val="0"/>
      <w:divBdr>
        <w:top w:val="none" w:sz="0" w:space="0" w:color="auto"/>
        <w:left w:val="none" w:sz="0" w:space="0" w:color="auto"/>
        <w:bottom w:val="none" w:sz="0" w:space="0" w:color="auto"/>
        <w:right w:val="none" w:sz="0" w:space="0" w:color="auto"/>
      </w:divBdr>
    </w:div>
    <w:div w:id="1828092649">
      <w:bodyDiv w:val="1"/>
      <w:marLeft w:val="0"/>
      <w:marRight w:val="0"/>
      <w:marTop w:val="0"/>
      <w:marBottom w:val="0"/>
      <w:divBdr>
        <w:top w:val="none" w:sz="0" w:space="0" w:color="auto"/>
        <w:left w:val="none" w:sz="0" w:space="0" w:color="auto"/>
        <w:bottom w:val="none" w:sz="0" w:space="0" w:color="auto"/>
        <w:right w:val="none" w:sz="0" w:space="0" w:color="auto"/>
      </w:divBdr>
    </w:div>
    <w:div w:id="1828352058">
      <w:bodyDiv w:val="1"/>
      <w:marLeft w:val="0"/>
      <w:marRight w:val="0"/>
      <w:marTop w:val="0"/>
      <w:marBottom w:val="0"/>
      <w:divBdr>
        <w:top w:val="none" w:sz="0" w:space="0" w:color="auto"/>
        <w:left w:val="none" w:sz="0" w:space="0" w:color="auto"/>
        <w:bottom w:val="none" w:sz="0" w:space="0" w:color="auto"/>
        <w:right w:val="none" w:sz="0" w:space="0" w:color="auto"/>
      </w:divBdr>
    </w:div>
    <w:div w:id="1853452173">
      <w:bodyDiv w:val="1"/>
      <w:marLeft w:val="0"/>
      <w:marRight w:val="0"/>
      <w:marTop w:val="0"/>
      <w:marBottom w:val="0"/>
      <w:divBdr>
        <w:top w:val="none" w:sz="0" w:space="0" w:color="auto"/>
        <w:left w:val="none" w:sz="0" w:space="0" w:color="auto"/>
        <w:bottom w:val="none" w:sz="0" w:space="0" w:color="auto"/>
        <w:right w:val="none" w:sz="0" w:space="0" w:color="auto"/>
      </w:divBdr>
    </w:div>
    <w:div w:id="1860387089">
      <w:bodyDiv w:val="1"/>
      <w:marLeft w:val="0"/>
      <w:marRight w:val="0"/>
      <w:marTop w:val="0"/>
      <w:marBottom w:val="0"/>
      <w:divBdr>
        <w:top w:val="none" w:sz="0" w:space="0" w:color="auto"/>
        <w:left w:val="none" w:sz="0" w:space="0" w:color="auto"/>
        <w:bottom w:val="none" w:sz="0" w:space="0" w:color="auto"/>
        <w:right w:val="none" w:sz="0" w:space="0" w:color="auto"/>
      </w:divBdr>
    </w:div>
    <w:div w:id="1879125296">
      <w:bodyDiv w:val="1"/>
      <w:marLeft w:val="0"/>
      <w:marRight w:val="0"/>
      <w:marTop w:val="0"/>
      <w:marBottom w:val="0"/>
      <w:divBdr>
        <w:top w:val="none" w:sz="0" w:space="0" w:color="auto"/>
        <w:left w:val="none" w:sz="0" w:space="0" w:color="auto"/>
        <w:bottom w:val="none" w:sz="0" w:space="0" w:color="auto"/>
        <w:right w:val="none" w:sz="0" w:space="0" w:color="auto"/>
      </w:divBdr>
    </w:div>
    <w:div w:id="1880436460">
      <w:bodyDiv w:val="1"/>
      <w:marLeft w:val="0"/>
      <w:marRight w:val="0"/>
      <w:marTop w:val="0"/>
      <w:marBottom w:val="0"/>
      <w:divBdr>
        <w:top w:val="none" w:sz="0" w:space="0" w:color="auto"/>
        <w:left w:val="none" w:sz="0" w:space="0" w:color="auto"/>
        <w:bottom w:val="none" w:sz="0" w:space="0" w:color="auto"/>
        <w:right w:val="none" w:sz="0" w:space="0" w:color="auto"/>
      </w:divBdr>
    </w:div>
    <w:div w:id="1888950940">
      <w:bodyDiv w:val="1"/>
      <w:marLeft w:val="0"/>
      <w:marRight w:val="0"/>
      <w:marTop w:val="0"/>
      <w:marBottom w:val="0"/>
      <w:divBdr>
        <w:top w:val="none" w:sz="0" w:space="0" w:color="auto"/>
        <w:left w:val="none" w:sz="0" w:space="0" w:color="auto"/>
        <w:bottom w:val="none" w:sz="0" w:space="0" w:color="auto"/>
        <w:right w:val="none" w:sz="0" w:space="0" w:color="auto"/>
      </w:divBdr>
      <w:divsChild>
        <w:div w:id="977881216">
          <w:marLeft w:val="-720"/>
          <w:marRight w:val="0"/>
          <w:marTop w:val="0"/>
          <w:marBottom w:val="0"/>
          <w:divBdr>
            <w:top w:val="none" w:sz="0" w:space="0" w:color="auto"/>
            <w:left w:val="none" w:sz="0" w:space="0" w:color="auto"/>
            <w:bottom w:val="none" w:sz="0" w:space="0" w:color="auto"/>
            <w:right w:val="none" w:sz="0" w:space="0" w:color="auto"/>
          </w:divBdr>
        </w:div>
      </w:divsChild>
    </w:div>
    <w:div w:id="1895314358">
      <w:bodyDiv w:val="1"/>
      <w:marLeft w:val="0"/>
      <w:marRight w:val="0"/>
      <w:marTop w:val="0"/>
      <w:marBottom w:val="0"/>
      <w:divBdr>
        <w:top w:val="none" w:sz="0" w:space="0" w:color="auto"/>
        <w:left w:val="none" w:sz="0" w:space="0" w:color="auto"/>
        <w:bottom w:val="none" w:sz="0" w:space="0" w:color="auto"/>
        <w:right w:val="none" w:sz="0" w:space="0" w:color="auto"/>
      </w:divBdr>
      <w:divsChild>
        <w:div w:id="580335649">
          <w:marLeft w:val="-720"/>
          <w:marRight w:val="0"/>
          <w:marTop w:val="0"/>
          <w:marBottom w:val="0"/>
          <w:divBdr>
            <w:top w:val="none" w:sz="0" w:space="0" w:color="auto"/>
            <w:left w:val="none" w:sz="0" w:space="0" w:color="auto"/>
            <w:bottom w:val="none" w:sz="0" w:space="0" w:color="auto"/>
            <w:right w:val="none" w:sz="0" w:space="0" w:color="auto"/>
          </w:divBdr>
        </w:div>
      </w:divsChild>
    </w:div>
    <w:div w:id="1908302890">
      <w:bodyDiv w:val="1"/>
      <w:marLeft w:val="0"/>
      <w:marRight w:val="0"/>
      <w:marTop w:val="0"/>
      <w:marBottom w:val="0"/>
      <w:divBdr>
        <w:top w:val="none" w:sz="0" w:space="0" w:color="auto"/>
        <w:left w:val="none" w:sz="0" w:space="0" w:color="auto"/>
        <w:bottom w:val="none" w:sz="0" w:space="0" w:color="auto"/>
        <w:right w:val="none" w:sz="0" w:space="0" w:color="auto"/>
      </w:divBdr>
    </w:div>
    <w:div w:id="1912889772">
      <w:bodyDiv w:val="1"/>
      <w:marLeft w:val="0"/>
      <w:marRight w:val="0"/>
      <w:marTop w:val="0"/>
      <w:marBottom w:val="0"/>
      <w:divBdr>
        <w:top w:val="none" w:sz="0" w:space="0" w:color="auto"/>
        <w:left w:val="none" w:sz="0" w:space="0" w:color="auto"/>
        <w:bottom w:val="none" w:sz="0" w:space="0" w:color="auto"/>
        <w:right w:val="none" w:sz="0" w:space="0" w:color="auto"/>
      </w:divBdr>
      <w:divsChild>
        <w:div w:id="10575948">
          <w:marLeft w:val="0"/>
          <w:marRight w:val="0"/>
          <w:marTop w:val="0"/>
          <w:marBottom w:val="0"/>
          <w:divBdr>
            <w:top w:val="none" w:sz="0" w:space="0" w:color="auto"/>
            <w:left w:val="none" w:sz="0" w:space="0" w:color="auto"/>
            <w:bottom w:val="none" w:sz="0" w:space="0" w:color="auto"/>
            <w:right w:val="none" w:sz="0" w:space="0" w:color="auto"/>
          </w:divBdr>
          <w:divsChild>
            <w:div w:id="1293245713">
              <w:marLeft w:val="0"/>
              <w:marRight w:val="0"/>
              <w:marTop w:val="0"/>
              <w:marBottom w:val="0"/>
              <w:divBdr>
                <w:top w:val="none" w:sz="0" w:space="0" w:color="auto"/>
                <w:left w:val="none" w:sz="0" w:space="0" w:color="auto"/>
                <w:bottom w:val="none" w:sz="0" w:space="0" w:color="auto"/>
                <w:right w:val="none" w:sz="0" w:space="0" w:color="auto"/>
              </w:divBdr>
              <w:divsChild>
                <w:div w:id="427770500">
                  <w:marLeft w:val="0"/>
                  <w:marRight w:val="0"/>
                  <w:marTop w:val="0"/>
                  <w:marBottom w:val="0"/>
                  <w:divBdr>
                    <w:top w:val="none" w:sz="0" w:space="0" w:color="auto"/>
                    <w:left w:val="none" w:sz="0" w:space="0" w:color="auto"/>
                    <w:bottom w:val="none" w:sz="0" w:space="0" w:color="auto"/>
                    <w:right w:val="none" w:sz="0" w:space="0" w:color="auto"/>
                  </w:divBdr>
                  <w:divsChild>
                    <w:div w:id="1852598443">
                      <w:marLeft w:val="0"/>
                      <w:marRight w:val="0"/>
                      <w:marTop w:val="0"/>
                      <w:marBottom w:val="0"/>
                      <w:divBdr>
                        <w:top w:val="none" w:sz="0" w:space="0" w:color="auto"/>
                        <w:left w:val="none" w:sz="0" w:space="0" w:color="auto"/>
                        <w:bottom w:val="none" w:sz="0" w:space="0" w:color="auto"/>
                        <w:right w:val="none" w:sz="0" w:space="0" w:color="auto"/>
                      </w:divBdr>
                      <w:divsChild>
                        <w:div w:id="83309074">
                          <w:marLeft w:val="0"/>
                          <w:marRight w:val="0"/>
                          <w:marTop w:val="0"/>
                          <w:marBottom w:val="0"/>
                          <w:divBdr>
                            <w:top w:val="none" w:sz="0" w:space="0" w:color="auto"/>
                            <w:left w:val="none" w:sz="0" w:space="0" w:color="auto"/>
                            <w:bottom w:val="none" w:sz="0" w:space="0" w:color="auto"/>
                            <w:right w:val="none" w:sz="0" w:space="0" w:color="auto"/>
                          </w:divBdr>
                          <w:divsChild>
                            <w:div w:id="1345552233">
                              <w:marLeft w:val="0"/>
                              <w:marRight w:val="0"/>
                              <w:marTop w:val="0"/>
                              <w:marBottom w:val="0"/>
                              <w:divBdr>
                                <w:top w:val="none" w:sz="0" w:space="0" w:color="auto"/>
                                <w:left w:val="none" w:sz="0" w:space="0" w:color="auto"/>
                                <w:bottom w:val="none" w:sz="0" w:space="0" w:color="auto"/>
                                <w:right w:val="none" w:sz="0" w:space="0" w:color="auto"/>
                              </w:divBdr>
                              <w:divsChild>
                                <w:div w:id="287051832">
                                  <w:marLeft w:val="0"/>
                                  <w:marRight w:val="0"/>
                                  <w:marTop w:val="0"/>
                                  <w:marBottom w:val="0"/>
                                  <w:divBdr>
                                    <w:top w:val="none" w:sz="0" w:space="0" w:color="auto"/>
                                    <w:left w:val="none" w:sz="0" w:space="0" w:color="auto"/>
                                    <w:bottom w:val="none" w:sz="0" w:space="0" w:color="auto"/>
                                    <w:right w:val="none" w:sz="0" w:space="0" w:color="auto"/>
                                  </w:divBdr>
                                  <w:divsChild>
                                    <w:div w:id="614872789">
                                      <w:marLeft w:val="0"/>
                                      <w:marRight w:val="0"/>
                                      <w:marTop w:val="0"/>
                                      <w:marBottom w:val="0"/>
                                      <w:divBdr>
                                        <w:top w:val="none" w:sz="0" w:space="0" w:color="auto"/>
                                        <w:left w:val="none" w:sz="0" w:space="0" w:color="auto"/>
                                        <w:bottom w:val="none" w:sz="0" w:space="0" w:color="auto"/>
                                        <w:right w:val="none" w:sz="0" w:space="0" w:color="auto"/>
                                      </w:divBdr>
                                      <w:divsChild>
                                        <w:div w:id="672148440">
                                          <w:marLeft w:val="0"/>
                                          <w:marRight w:val="0"/>
                                          <w:marTop w:val="0"/>
                                          <w:marBottom w:val="0"/>
                                          <w:divBdr>
                                            <w:top w:val="none" w:sz="0" w:space="0" w:color="auto"/>
                                            <w:left w:val="none" w:sz="0" w:space="0" w:color="auto"/>
                                            <w:bottom w:val="none" w:sz="0" w:space="0" w:color="auto"/>
                                            <w:right w:val="none" w:sz="0" w:space="0" w:color="auto"/>
                                          </w:divBdr>
                                          <w:divsChild>
                                            <w:div w:id="123693865">
                                              <w:marLeft w:val="0"/>
                                              <w:marRight w:val="0"/>
                                              <w:marTop w:val="0"/>
                                              <w:marBottom w:val="0"/>
                                              <w:divBdr>
                                                <w:top w:val="none" w:sz="0" w:space="0" w:color="auto"/>
                                                <w:left w:val="none" w:sz="0" w:space="0" w:color="auto"/>
                                                <w:bottom w:val="none" w:sz="0" w:space="0" w:color="auto"/>
                                                <w:right w:val="none" w:sz="0" w:space="0" w:color="auto"/>
                                              </w:divBdr>
                                              <w:divsChild>
                                                <w:div w:id="417556454">
                                                  <w:marLeft w:val="0"/>
                                                  <w:marRight w:val="0"/>
                                                  <w:marTop w:val="0"/>
                                                  <w:marBottom w:val="0"/>
                                                  <w:divBdr>
                                                    <w:top w:val="none" w:sz="0" w:space="0" w:color="auto"/>
                                                    <w:left w:val="none" w:sz="0" w:space="0" w:color="auto"/>
                                                    <w:bottom w:val="none" w:sz="0" w:space="0" w:color="auto"/>
                                                    <w:right w:val="none" w:sz="0" w:space="0" w:color="auto"/>
                                                  </w:divBdr>
                                                  <w:divsChild>
                                                    <w:div w:id="515383669">
                                                      <w:marLeft w:val="0"/>
                                                      <w:marRight w:val="0"/>
                                                      <w:marTop w:val="0"/>
                                                      <w:marBottom w:val="0"/>
                                                      <w:divBdr>
                                                        <w:top w:val="none" w:sz="0" w:space="0" w:color="auto"/>
                                                        <w:left w:val="none" w:sz="0" w:space="0" w:color="auto"/>
                                                        <w:bottom w:val="none" w:sz="0" w:space="0" w:color="auto"/>
                                                        <w:right w:val="none" w:sz="0" w:space="0" w:color="auto"/>
                                                      </w:divBdr>
                                                      <w:divsChild>
                                                        <w:div w:id="639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1208702">
      <w:bodyDiv w:val="1"/>
      <w:marLeft w:val="0"/>
      <w:marRight w:val="0"/>
      <w:marTop w:val="0"/>
      <w:marBottom w:val="0"/>
      <w:divBdr>
        <w:top w:val="none" w:sz="0" w:space="0" w:color="auto"/>
        <w:left w:val="none" w:sz="0" w:space="0" w:color="auto"/>
        <w:bottom w:val="none" w:sz="0" w:space="0" w:color="auto"/>
        <w:right w:val="none" w:sz="0" w:space="0" w:color="auto"/>
      </w:divBdr>
    </w:div>
    <w:div w:id="1930695447">
      <w:bodyDiv w:val="1"/>
      <w:marLeft w:val="0"/>
      <w:marRight w:val="0"/>
      <w:marTop w:val="0"/>
      <w:marBottom w:val="0"/>
      <w:divBdr>
        <w:top w:val="none" w:sz="0" w:space="0" w:color="auto"/>
        <w:left w:val="none" w:sz="0" w:space="0" w:color="auto"/>
        <w:bottom w:val="none" w:sz="0" w:space="0" w:color="auto"/>
        <w:right w:val="none" w:sz="0" w:space="0" w:color="auto"/>
      </w:divBdr>
    </w:div>
    <w:div w:id="1962761041">
      <w:bodyDiv w:val="1"/>
      <w:marLeft w:val="0"/>
      <w:marRight w:val="0"/>
      <w:marTop w:val="0"/>
      <w:marBottom w:val="0"/>
      <w:divBdr>
        <w:top w:val="none" w:sz="0" w:space="0" w:color="auto"/>
        <w:left w:val="none" w:sz="0" w:space="0" w:color="auto"/>
        <w:bottom w:val="none" w:sz="0" w:space="0" w:color="auto"/>
        <w:right w:val="none" w:sz="0" w:space="0" w:color="auto"/>
      </w:divBdr>
      <w:divsChild>
        <w:div w:id="1486165510">
          <w:marLeft w:val="0"/>
          <w:marRight w:val="0"/>
          <w:marTop w:val="0"/>
          <w:marBottom w:val="0"/>
          <w:divBdr>
            <w:top w:val="none" w:sz="0" w:space="0" w:color="auto"/>
            <w:left w:val="none" w:sz="0" w:space="0" w:color="auto"/>
            <w:bottom w:val="none" w:sz="0" w:space="0" w:color="auto"/>
            <w:right w:val="none" w:sz="0" w:space="0" w:color="auto"/>
          </w:divBdr>
          <w:divsChild>
            <w:div w:id="1797672851">
              <w:marLeft w:val="0"/>
              <w:marRight w:val="0"/>
              <w:marTop w:val="0"/>
              <w:marBottom w:val="0"/>
              <w:divBdr>
                <w:top w:val="none" w:sz="0" w:space="0" w:color="auto"/>
                <w:left w:val="none" w:sz="0" w:space="0" w:color="auto"/>
                <w:bottom w:val="none" w:sz="0" w:space="0" w:color="auto"/>
                <w:right w:val="none" w:sz="0" w:space="0" w:color="auto"/>
              </w:divBdr>
              <w:divsChild>
                <w:div w:id="236869100">
                  <w:marLeft w:val="0"/>
                  <w:marRight w:val="0"/>
                  <w:marTop w:val="0"/>
                  <w:marBottom w:val="0"/>
                  <w:divBdr>
                    <w:top w:val="none" w:sz="0" w:space="0" w:color="auto"/>
                    <w:left w:val="none" w:sz="0" w:space="0" w:color="auto"/>
                    <w:bottom w:val="none" w:sz="0" w:space="0" w:color="auto"/>
                    <w:right w:val="none" w:sz="0" w:space="0" w:color="auto"/>
                  </w:divBdr>
                  <w:divsChild>
                    <w:div w:id="1385105152">
                      <w:marLeft w:val="0"/>
                      <w:marRight w:val="0"/>
                      <w:marTop w:val="0"/>
                      <w:marBottom w:val="0"/>
                      <w:divBdr>
                        <w:top w:val="none" w:sz="0" w:space="0" w:color="auto"/>
                        <w:left w:val="none" w:sz="0" w:space="0" w:color="auto"/>
                        <w:bottom w:val="none" w:sz="0" w:space="0" w:color="auto"/>
                        <w:right w:val="none" w:sz="0" w:space="0" w:color="auto"/>
                      </w:divBdr>
                      <w:divsChild>
                        <w:div w:id="162362505">
                          <w:marLeft w:val="0"/>
                          <w:marRight w:val="0"/>
                          <w:marTop w:val="0"/>
                          <w:marBottom w:val="0"/>
                          <w:divBdr>
                            <w:top w:val="none" w:sz="0" w:space="0" w:color="auto"/>
                            <w:left w:val="none" w:sz="0" w:space="0" w:color="auto"/>
                            <w:bottom w:val="none" w:sz="0" w:space="0" w:color="auto"/>
                            <w:right w:val="none" w:sz="0" w:space="0" w:color="auto"/>
                          </w:divBdr>
                          <w:divsChild>
                            <w:div w:id="49349439">
                              <w:marLeft w:val="0"/>
                              <w:marRight w:val="0"/>
                              <w:marTop w:val="0"/>
                              <w:marBottom w:val="0"/>
                              <w:divBdr>
                                <w:top w:val="none" w:sz="0" w:space="0" w:color="auto"/>
                                <w:left w:val="none" w:sz="0" w:space="0" w:color="auto"/>
                                <w:bottom w:val="none" w:sz="0" w:space="0" w:color="auto"/>
                                <w:right w:val="none" w:sz="0" w:space="0" w:color="auto"/>
                              </w:divBdr>
                              <w:divsChild>
                                <w:div w:id="1025137180">
                                  <w:marLeft w:val="0"/>
                                  <w:marRight w:val="0"/>
                                  <w:marTop w:val="0"/>
                                  <w:marBottom w:val="0"/>
                                  <w:divBdr>
                                    <w:top w:val="none" w:sz="0" w:space="0" w:color="auto"/>
                                    <w:left w:val="none" w:sz="0" w:space="0" w:color="auto"/>
                                    <w:bottom w:val="none" w:sz="0" w:space="0" w:color="auto"/>
                                    <w:right w:val="none" w:sz="0" w:space="0" w:color="auto"/>
                                  </w:divBdr>
                                  <w:divsChild>
                                    <w:div w:id="1773430656">
                                      <w:marLeft w:val="0"/>
                                      <w:marRight w:val="0"/>
                                      <w:marTop w:val="0"/>
                                      <w:marBottom w:val="0"/>
                                      <w:divBdr>
                                        <w:top w:val="none" w:sz="0" w:space="0" w:color="auto"/>
                                        <w:left w:val="none" w:sz="0" w:space="0" w:color="auto"/>
                                        <w:bottom w:val="none" w:sz="0" w:space="0" w:color="auto"/>
                                        <w:right w:val="none" w:sz="0" w:space="0" w:color="auto"/>
                                      </w:divBdr>
                                      <w:divsChild>
                                        <w:div w:id="1411543404">
                                          <w:marLeft w:val="0"/>
                                          <w:marRight w:val="0"/>
                                          <w:marTop w:val="0"/>
                                          <w:marBottom w:val="0"/>
                                          <w:divBdr>
                                            <w:top w:val="none" w:sz="0" w:space="0" w:color="auto"/>
                                            <w:left w:val="none" w:sz="0" w:space="0" w:color="auto"/>
                                            <w:bottom w:val="none" w:sz="0" w:space="0" w:color="auto"/>
                                            <w:right w:val="none" w:sz="0" w:space="0" w:color="auto"/>
                                          </w:divBdr>
                                          <w:divsChild>
                                            <w:div w:id="1923105011">
                                              <w:marLeft w:val="0"/>
                                              <w:marRight w:val="0"/>
                                              <w:marTop w:val="0"/>
                                              <w:marBottom w:val="0"/>
                                              <w:divBdr>
                                                <w:top w:val="none" w:sz="0" w:space="0" w:color="auto"/>
                                                <w:left w:val="none" w:sz="0" w:space="0" w:color="auto"/>
                                                <w:bottom w:val="none" w:sz="0" w:space="0" w:color="auto"/>
                                                <w:right w:val="none" w:sz="0" w:space="0" w:color="auto"/>
                                              </w:divBdr>
                                              <w:divsChild>
                                                <w:div w:id="2047753123">
                                                  <w:marLeft w:val="0"/>
                                                  <w:marRight w:val="0"/>
                                                  <w:marTop w:val="0"/>
                                                  <w:marBottom w:val="0"/>
                                                  <w:divBdr>
                                                    <w:top w:val="none" w:sz="0" w:space="0" w:color="auto"/>
                                                    <w:left w:val="none" w:sz="0" w:space="0" w:color="auto"/>
                                                    <w:bottom w:val="none" w:sz="0" w:space="0" w:color="auto"/>
                                                    <w:right w:val="none" w:sz="0" w:space="0" w:color="auto"/>
                                                  </w:divBdr>
                                                  <w:divsChild>
                                                    <w:div w:id="2063748104">
                                                      <w:marLeft w:val="0"/>
                                                      <w:marRight w:val="0"/>
                                                      <w:marTop w:val="0"/>
                                                      <w:marBottom w:val="0"/>
                                                      <w:divBdr>
                                                        <w:top w:val="none" w:sz="0" w:space="0" w:color="auto"/>
                                                        <w:left w:val="none" w:sz="0" w:space="0" w:color="auto"/>
                                                        <w:bottom w:val="none" w:sz="0" w:space="0" w:color="auto"/>
                                                        <w:right w:val="none" w:sz="0" w:space="0" w:color="auto"/>
                                                      </w:divBdr>
                                                      <w:divsChild>
                                                        <w:div w:id="19448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3531131">
      <w:bodyDiv w:val="1"/>
      <w:marLeft w:val="0"/>
      <w:marRight w:val="0"/>
      <w:marTop w:val="0"/>
      <w:marBottom w:val="0"/>
      <w:divBdr>
        <w:top w:val="none" w:sz="0" w:space="0" w:color="auto"/>
        <w:left w:val="none" w:sz="0" w:space="0" w:color="auto"/>
        <w:bottom w:val="none" w:sz="0" w:space="0" w:color="auto"/>
        <w:right w:val="none" w:sz="0" w:space="0" w:color="auto"/>
      </w:divBdr>
    </w:div>
    <w:div w:id="1991402438">
      <w:bodyDiv w:val="1"/>
      <w:marLeft w:val="0"/>
      <w:marRight w:val="0"/>
      <w:marTop w:val="0"/>
      <w:marBottom w:val="0"/>
      <w:divBdr>
        <w:top w:val="none" w:sz="0" w:space="0" w:color="auto"/>
        <w:left w:val="none" w:sz="0" w:space="0" w:color="auto"/>
        <w:bottom w:val="none" w:sz="0" w:space="0" w:color="auto"/>
        <w:right w:val="none" w:sz="0" w:space="0" w:color="auto"/>
      </w:divBdr>
    </w:div>
    <w:div w:id="1992758113">
      <w:bodyDiv w:val="1"/>
      <w:marLeft w:val="0"/>
      <w:marRight w:val="0"/>
      <w:marTop w:val="0"/>
      <w:marBottom w:val="0"/>
      <w:divBdr>
        <w:top w:val="none" w:sz="0" w:space="0" w:color="auto"/>
        <w:left w:val="none" w:sz="0" w:space="0" w:color="auto"/>
        <w:bottom w:val="none" w:sz="0" w:space="0" w:color="auto"/>
        <w:right w:val="none" w:sz="0" w:space="0" w:color="auto"/>
      </w:divBdr>
    </w:div>
    <w:div w:id="2001035351">
      <w:bodyDiv w:val="1"/>
      <w:marLeft w:val="0"/>
      <w:marRight w:val="0"/>
      <w:marTop w:val="0"/>
      <w:marBottom w:val="0"/>
      <w:divBdr>
        <w:top w:val="none" w:sz="0" w:space="0" w:color="auto"/>
        <w:left w:val="none" w:sz="0" w:space="0" w:color="auto"/>
        <w:bottom w:val="none" w:sz="0" w:space="0" w:color="auto"/>
        <w:right w:val="none" w:sz="0" w:space="0" w:color="auto"/>
      </w:divBdr>
      <w:divsChild>
        <w:div w:id="591859179">
          <w:marLeft w:val="0"/>
          <w:marRight w:val="0"/>
          <w:marTop w:val="0"/>
          <w:marBottom w:val="0"/>
          <w:divBdr>
            <w:top w:val="none" w:sz="0" w:space="0" w:color="auto"/>
            <w:left w:val="none" w:sz="0" w:space="0" w:color="auto"/>
            <w:bottom w:val="none" w:sz="0" w:space="0" w:color="auto"/>
            <w:right w:val="none" w:sz="0" w:space="0" w:color="auto"/>
          </w:divBdr>
        </w:div>
      </w:divsChild>
    </w:div>
    <w:div w:id="2001806545">
      <w:bodyDiv w:val="1"/>
      <w:marLeft w:val="0"/>
      <w:marRight w:val="0"/>
      <w:marTop w:val="0"/>
      <w:marBottom w:val="0"/>
      <w:divBdr>
        <w:top w:val="none" w:sz="0" w:space="0" w:color="auto"/>
        <w:left w:val="none" w:sz="0" w:space="0" w:color="auto"/>
        <w:bottom w:val="none" w:sz="0" w:space="0" w:color="auto"/>
        <w:right w:val="none" w:sz="0" w:space="0" w:color="auto"/>
      </w:divBdr>
    </w:div>
    <w:div w:id="2016835488">
      <w:bodyDiv w:val="1"/>
      <w:marLeft w:val="0"/>
      <w:marRight w:val="0"/>
      <w:marTop w:val="0"/>
      <w:marBottom w:val="0"/>
      <w:divBdr>
        <w:top w:val="none" w:sz="0" w:space="0" w:color="auto"/>
        <w:left w:val="none" w:sz="0" w:space="0" w:color="auto"/>
        <w:bottom w:val="none" w:sz="0" w:space="0" w:color="auto"/>
        <w:right w:val="none" w:sz="0" w:space="0" w:color="auto"/>
      </w:divBdr>
    </w:div>
    <w:div w:id="2019504790">
      <w:bodyDiv w:val="1"/>
      <w:marLeft w:val="0"/>
      <w:marRight w:val="0"/>
      <w:marTop w:val="0"/>
      <w:marBottom w:val="0"/>
      <w:divBdr>
        <w:top w:val="none" w:sz="0" w:space="0" w:color="auto"/>
        <w:left w:val="none" w:sz="0" w:space="0" w:color="auto"/>
        <w:bottom w:val="none" w:sz="0" w:space="0" w:color="auto"/>
        <w:right w:val="none" w:sz="0" w:space="0" w:color="auto"/>
      </w:divBdr>
    </w:div>
    <w:div w:id="2020230865">
      <w:bodyDiv w:val="1"/>
      <w:marLeft w:val="0"/>
      <w:marRight w:val="0"/>
      <w:marTop w:val="0"/>
      <w:marBottom w:val="0"/>
      <w:divBdr>
        <w:top w:val="none" w:sz="0" w:space="0" w:color="auto"/>
        <w:left w:val="none" w:sz="0" w:space="0" w:color="auto"/>
        <w:bottom w:val="none" w:sz="0" w:space="0" w:color="auto"/>
        <w:right w:val="none" w:sz="0" w:space="0" w:color="auto"/>
      </w:divBdr>
    </w:div>
    <w:div w:id="2022119445">
      <w:bodyDiv w:val="1"/>
      <w:marLeft w:val="0"/>
      <w:marRight w:val="0"/>
      <w:marTop w:val="0"/>
      <w:marBottom w:val="0"/>
      <w:divBdr>
        <w:top w:val="none" w:sz="0" w:space="0" w:color="auto"/>
        <w:left w:val="none" w:sz="0" w:space="0" w:color="auto"/>
        <w:bottom w:val="none" w:sz="0" w:space="0" w:color="auto"/>
        <w:right w:val="none" w:sz="0" w:space="0" w:color="auto"/>
      </w:divBdr>
    </w:div>
    <w:div w:id="2025784416">
      <w:bodyDiv w:val="1"/>
      <w:marLeft w:val="0"/>
      <w:marRight w:val="0"/>
      <w:marTop w:val="0"/>
      <w:marBottom w:val="0"/>
      <w:divBdr>
        <w:top w:val="none" w:sz="0" w:space="0" w:color="auto"/>
        <w:left w:val="none" w:sz="0" w:space="0" w:color="auto"/>
        <w:bottom w:val="none" w:sz="0" w:space="0" w:color="auto"/>
        <w:right w:val="none" w:sz="0" w:space="0" w:color="auto"/>
      </w:divBdr>
    </w:div>
    <w:div w:id="2044091032">
      <w:bodyDiv w:val="1"/>
      <w:marLeft w:val="0"/>
      <w:marRight w:val="0"/>
      <w:marTop w:val="0"/>
      <w:marBottom w:val="0"/>
      <w:divBdr>
        <w:top w:val="none" w:sz="0" w:space="0" w:color="auto"/>
        <w:left w:val="none" w:sz="0" w:space="0" w:color="auto"/>
        <w:bottom w:val="none" w:sz="0" w:space="0" w:color="auto"/>
        <w:right w:val="none" w:sz="0" w:space="0" w:color="auto"/>
      </w:divBdr>
      <w:divsChild>
        <w:div w:id="1354839397">
          <w:marLeft w:val="-720"/>
          <w:marRight w:val="0"/>
          <w:marTop w:val="0"/>
          <w:marBottom w:val="0"/>
          <w:divBdr>
            <w:top w:val="none" w:sz="0" w:space="0" w:color="auto"/>
            <w:left w:val="none" w:sz="0" w:space="0" w:color="auto"/>
            <w:bottom w:val="none" w:sz="0" w:space="0" w:color="auto"/>
            <w:right w:val="none" w:sz="0" w:space="0" w:color="auto"/>
          </w:divBdr>
        </w:div>
      </w:divsChild>
    </w:div>
    <w:div w:id="2049379381">
      <w:bodyDiv w:val="1"/>
      <w:marLeft w:val="0"/>
      <w:marRight w:val="0"/>
      <w:marTop w:val="0"/>
      <w:marBottom w:val="0"/>
      <w:divBdr>
        <w:top w:val="none" w:sz="0" w:space="0" w:color="auto"/>
        <w:left w:val="none" w:sz="0" w:space="0" w:color="auto"/>
        <w:bottom w:val="none" w:sz="0" w:space="0" w:color="auto"/>
        <w:right w:val="none" w:sz="0" w:space="0" w:color="auto"/>
      </w:divBdr>
    </w:div>
    <w:div w:id="2065181552">
      <w:bodyDiv w:val="1"/>
      <w:marLeft w:val="0"/>
      <w:marRight w:val="0"/>
      <w:marTop w:val="0"/>
      <w:marBottom w:val="0"/>
      <w:divBdr>
        <w:top w:val="none" w:sz="0" w:space="0" w:color="auto"/>
        <w:left w:val="none" w:sz="0" w:space="0" w:color="auto"/>
        <w:bottom w:val="none" w:sz="0" w:space="0" w:color="auto"/>
        <w:right w:val="none" w:sz="0" w:space="0" w:color="auto"/>
      </w:divBdr>
    </w:div>
    <w:div w:id="2074960735">
      <w:bodyDiv w:val="1"/>
      <w:marLeft w:val="0"/>
      <w:marRight w:val="0"/>
      <w:marTop w:val="0"/>
      <w:marBottom w:val="0"/>
      <w:divBdr>
        <w:top w:val="none" w:sz="0" w:space="0" w:color="auto"/>
        <w:left w:val="none" w:sz="0" w:space="0" w:color="auto"/>
        <w:bottom w:val="none" w:sz="0" w:space="0" w:color="auto"/>
        <w:right w:val="none" w:sz="0" w:space="0" w:color="auto"/>
      </w:divBdr>
    </w:div>
    <w:div w:id="2087921079">
      <w:bodyDiv w:val="1"/>
      <w:marLeft w:val="0"/>
      <w:marRight w:val="0"/>
      <w:marTop w:val="0"/>
      <w:marBottom w:val="0"/>
      <w:divBdr>
        <w:top w:val="none" w:sz="0" w:space="0" w:color="auto"/>
        <w:left w:val="none" w:sz="0" w:space="0" w:color="auto"/>
        <w:bottom w:val="none" w:sz="0" w:space="0" w:color="auto"/>
        <w:right w:val="none" w:sz="0" w:space="0" w:color="auto"/>
      </w:divBdr>
    </w:div>
    <w:div w:id="2090493469">
      <w:bodyDiv w:val="1"/>
      <w:marLeft w:val="0"/>
      <w:marRight w:val="0"/>
      <w:marTop w:val="0"/>
      <w:marBottom w:val="0"/>
      <w:divBdr>
        <w:top w:val="none" w:sz="0" w:space="0" w:color="auto"/>
        <w:left w:val="none" w:sz="0" w:space="0" w:color="auto"/>
        <w:bottom w:val="none" w:sz="0" w:space="0" w:color="auto"/>
        <w:right w:val="none" w:sz="0" w:space="0" w:color="auto"/>
      </w:divBdr>
      <w:divsChild>
        <w:div w:id="780880864">
          <w:marLeft w:val="0"/>
          <w:marRight w:val="0"/>
          <w:marTop w:val="0"/>
          <w:marBottom w:val="0"/>
          <w:divBdr>
            <w:top w:val="none" w:sz="0" w:space="0" w:color="auto"/>
            <w:left w:val="none" w:sz="0" w:space="0" w:color="auto"/>
            <w:bottom w:val="none" w:sz="0" w:space="0" w:color="auto"/>
            <w:right w:val="none" w:sz="0" w:space="0" w:color="auto"/>
          </w:divBdr>
          <w:divsChild>
            <w:div w:id="900868323">
              <w:marLeft w:val="0"/>
              <w:marRight w:val="0"/>
              <w:marTop w:val="0"/>
              <w:marBottom w:val="0"/>
              <w:divBdr>
                <w:top w:val="none" w:sz="0" w:space="0" w:color="auto"/>
                <w:left w:val="none" w:sz="0" w:space="0" w:color="auto"/>
                <w:bottom w:val="none" w:sz="0" w:space="0" w:color="auto"/>
                <w:right w:val="none" w:sz="0" w:space="0" w:color="auto"/>
              </w:divBdr>
              <w:divsChild>
                <w:div w:id="1303999307">
                  <w:marLeft w:val="0"/>
                  <w:marRight w:val="0"/>
                  <w:marTop w:val="0"/>
                  <w:marBottom w:val="0"/>
                  <w:divBdr>
                    <w:top w:val="none" w:sz="0" w:space="0" w:color="auto"/>
                    <w:left w:val="none" w:sz="0" w:space="0" w:color="auto"/>
                    <w:bottom w:val="none" w:sz="0" w:space="0" w:color="auto"/>
                    <w:right w:val="none" w:sz="0" w:space="0" w:color="auto"/>
                  </w:divBdr>
                  <w:divsChild>
                    <w:div w:id="1459910052">
                      <w:marLeft w:val="0"/>
                      <w:marRight w:val="0"/>
                      <w:marTop w:val="0"/>
                      <w:marBottom w:val="0"/>
                      <w:divBdr>
                        <w:top w:val="none" w:sz="0" w:space="0" w:color="auto"/>
                        <w:left w:val="none" w:sz="0" w:space="0" w:color="auto"/>
                        <w:bottom w:val="none" w:sz="0" w:space="0" w:color="auto"/>
                        <w:right w:val="none" w:sz="0" w:space="0" w:color="auto"/>
                      </w:divBdr>
                      <w:divsChild>
                        <w:div w:id="721104227">
                          <w:marLeft w:val="0"/>
                          <w:marRight w:val="0"/>
                          <w:marTop w:val="0"/>
                          <w:marBottom w:val="0"/>
                          <w:divBdr>
                            <w:top w:val="none" w:sz="0" w:space="0" w:color="auto"/>
                            <w:left w:val="none" w:sz="0" w:space="0" w:color="auto"/>
                            <w:bottom w:val="none" w:sz="0" w:space="0" w:color="auto"/>
                            <w:right w:val="none" w:sz="0" w:space="0" w:color="auto"/>
                          </w:divBdr>
                          <w:divsChild>
                            <w:div w:id="2051491105">
                              <w:marLeft w:val="0"/>
                              <w:marRight w:val="0"/>
                              <w:marTop w:val="0"/>
                              <w:marBottom w:val="0"/>
                              <w:divBdr>
                                <w:top w:val="none" w:sz="0" w:space="0" w:color="auto"/>
                                <w:left w:val="none" w:sz="0" w:space="0" w:color="auto"/>
                                <w:bottom w:val="none" w:sz="0" w:space="0" w:color="auto"/>
                                <w:right w:val="none" w:sz="0" w:space="0" w:color="auto"/>
                              </w:divBdr>
                              <w:divsChild>
                                <w:div w:id="393938607">
                                  <w:marLeft w:val="0"/>
                                  <w:marRight w:val="0"/>
                                  <w:marTop w:val="0"/>
                                  <w:marBottom w:val="0"/>
                                  <w:divBdr>
                                    <w:top w:val="none" w:sz="0" w:space="0" w:color="auto"/>
                                    <w:left w:val="none" w:sz="0" w:space="0" w:color="auto"/>
                                    <w:bottom w:val="none" w:sz="0" w:space="0" w:color="auto"/>
                                    <w:right w:val="none" w:sz="0" w:space="0" w:color="auto"/>
                                  </w:divBdr>
                                  <w:divsChild>
                                    <w:div w:id="800418774">
                                      <w:marLeft w:val="0"/>
                                      <w:marRight w:val="0"/>
                                      <w:marTop w:val="0"/>
                                      <w:marBottom w:val="0"/>
                                      <w:divBdr>
                                        <w:top w:val="none" w:sz="0" w:space="0" w:color="auto"/>
                                        <w:left w:val="none" w:sz="0" w:space="0" w:color="auto"/>
                                        <w:bottom w:val="none" w:sz="0" w:space="0" w:color="auto"/>
                                        <w:right w:val="none" w:sz="0" w:space="0" w:color="auto"/>
                                      </w:divBdr>
                                      <w:divsChild>
                                        <w:div w:id="1354726877">
                                          <w:marLeft w:val="0"/>
                                          <w:marRight w:val="0"/>
                                          <w:marTop w:val="0"/>
                                          <w:marBottom w:val="0"/>
                                          <w:divBdr>
                                            <w:top w:val="none" w:sz="0" w:space="0" w:color="auto"/>
                                            <w:left w:val="none" w:sz="0" w:space="0" w:color="auto"/>
                                            <w:bottom w:val="none" w:sz="0" w:space="0" w:color="auto"/>
                                            <w:right w:val="none" w:sz="0" w:space="0" w:color="auto"/>
                                          </w:divBdr>
                                          <w:divsChild>
                                            <w:div w:id="144056998">
                                              <w:marLeft w:val="0"/>
                                              <w:marRight w:val="0"/>
                                              <w:marTop w:val="0"/>
                                              <w:marBottom w:val="0"/>
                                              <w:divBdr>
                                                <w:top w:val="none" w:sz="0" w:space="0" w:color="auto"/>
                                                <w:left w:val="none" w:sz="0" w:space="0" w:color="auto"/>
                                                <w:bottom w:val="none" w:sz="0" w:space="0" w:color="auto"/>
                                                <w:right w:val="none" w:sz="0" w:space="0" w:color="auto"/>
                                              </w:divBdr>
                                              <w:divsChild>
                                                <w:div w:id="1051229350">
                                                  <w:marLeft w:val="0"/>
                                                  <w:marRight w:val="0"/>
                                                  <w:marTop w:val="0"/>
                                                  <w:marBottom w:val="0"/>
                                                  <w:divBdr>
                                                    <w:top w:val="none" w:sz="0" w:space="0" w:color="auto"/>
                                                    <w:left w:val="none" w:sz="0" w:space="0" w:color="auto"/>
                                                    <w:bottom w:val="none" w:sz="0" w:space="0" w:color="auto"/>
                                                    <w:right w:val="none" w:sz="0" w:space="0" w:color="auto"/>
                                                  </w:divBdr>
                                                  <w:divsChild>
                                                    <w:div w:id="1766027480">
                                                      <w:marLeft w:val="0"/>
                                                      <w:marRight w:val="0"/>
                                                      <w:marTop w:val="0"/>
                                                      <w:marBottom w:val="0"/>
                                                      <w:divBdr>
                                                        <w:top w:val="none" w:sz="0" w:space="0" w:color="auto"/>
                                                        <w:left w:val="none" w:sz="0" w:space="0" w:color="auto"/>
                                                        <w:bottom w:val="none" w:sz="0" w:space="0" w:color="auto"/>
                                                        <w:right w:val="none" w:sz="0" w:space="0" w:color="auto"/>
                                                      </w:divBdr>
                                                      <w:divsChild>
                                                        <w:div w:id="131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5278839">
      <w:bodyDiv w:val="1"/>
      <w:marLeft w:val="0"/>
      <w:marRight w:val="0"/>
      <w:marTop w:val="0"/>
      <w:marBottom w:val="0"/>
      <w:divBdr>
        <w:top w:val="none" w:sz="0" w:space="0" w:color="auto"/>
        <w:left w:val="none" w:sz="0" w:space="0" w:color="auto"/>
        <w:bottom w:val="none" w:sz="0" w:space="0" w:color="auto"/>
        <w:right w:val="none" w:sz="0" w:space="0" w:color="auto"/>
      </w:divBdr>
    </w:div>
    <w:div w:id="2095978249">
      <w:bodyDiv w:val="1"/>
      <w:marLeft w:val="0"/>
      <w:marRight w:val="0"/>
      <w:marTop w:val="0"/>
      <w:marBottom w:val="0"/>
      <w:divBdr>
        <w:top w:val="none" w:sz="0" w:space="0" w:color="auto"/>
        <w:left w:val="none" w:sz="0" w:space="0" w:color="auto"/>
        <w:bottom w:val="none" w:sz="0" w:space="0" w:color="auto"/>
        <w:right w:val="none" w:sz="0" w:space="0" w:color="auto"/>
      </w:divBdr>
    </w:div>
    <w:div w:id="2104446236">
      <w:bodyDiv w:val="1"/>
      <w:marLeft w:val="0"/>
      <w:marRight w:val="0"/>
      <w:marTop w:val="0"/>
      <w:marBottom w:val="0"/>
      <w:divBdr>
        <w:top w:val="none" w:sz="0" w:space="0" w:color="auto"/>
        <w:left w:val="none" w:sz="0" w:space="0" w:color="auto"/>
        <w:bottom w:val="none" w:sz="0" w:space="0" w:color="auto"/>
        <w:right w:val="none" w:sz="0" w:space="0" w:color="auto"/>
      </w:divBdr>
    </w:div>
    <w:div w:id="2109040697">
      <w:bodyDiv w:val="1"/>
      <w:marLeft w:val="0"/>
      <w:marRight w:val="0"/>
      <w:marTop w:val="0"/>
      <w:marBottom w:val="0"/>
      <w:divBdr>
        <w:top w:val="none" w:sz="0" w:space="0" w:color="auto"/>
        <w:left w:val="none" w:sz="0" w:space="0" w:color="auto"/>
        <w:bottom w:val="none" w:sz="0" w:space="0" w:color="auto"/>
        <w:right w:val="none" w:sz="0" w:space="0" w:color="auto"/>
      </w:divBdr>
    </w:div>
    <w:div w:id="2111390754">
      <w:bodyDiv w:val="1"/>
      <w:marLeft w:val="0"/>
      <w:marRight w:val="0"/>
      <w:marTop w:val="0"/>
      <w:marBottom w:val="0"/>
      <w:divBdr>
        <w:top w:val="none" w:sz="0" w:space="0" w:color="auto"/>
        <w:left w:val="none" w:sz="0" w:space="0" w:color="auto"/>
        <w:bottom w:val="none" w:sz="0" w:space="0" w:color="auto"/>
        <w:right w:val="none" w:sz="0" w:space="0" w:color="auto"/>
      </w:divBdr>
    </w:div>
    <w:div w:id="2132899267">
      <w:bodyDiv w:val="1"/>
      <w:marLeft w:val="0"/>
      <w:marRight w:val="0"/>
      <w:marTop w:val="0"/>
      <w:marBottom w:val="0"/>
      <w:divBdr>
        <w:top w:val="none" w:sz="0" w:space="0" w:color="auto"/>
        <w:left w:val="none" w:sz="0" w:space="0" w:color="auto"/>
        <w:bottom w:val="none" w:sz="0" w:space="0" w:color="auto"/>
        <w:right w:val="none" w:sz="0" w:space="0" w:color="auto"/>
      </w:divBdr>
    </w:div>
    <w:div w:id="2134597458">
      <w:bodyDiv w:val="1"/>
      <w:marLeft w:val="0"/>
      <w:marRight w:val="0"/>
      <w:marTop w:val="0"/>
      <w:marBottom w:val="0"/>
      <w:divBdr>
        <w:top w:val="none" w:sz="0" w:space="0" w:color="auto"/>
        <w:left w:val="none" w:sz="0" w:space="0" w:color="auto"/>
        <w:bottom w:val="none" w:sz="0" w:space="0" w:color="auto"/>
        <w:right w:val="none" w:sz="0" w:space="0" w:color="auto"/>
      </w:divBdr>
    </w:div>
    <w:div w:id="214233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00DF55E438664DA647A9F1C24F11FE" ma:contentTypeVersion="11" ma:contentTypeDescription="Create a new document." ma:contentTypeScope="" ma:versionID="dbca2d135f7995437ee2d4eda04f3bec">
  <xsd:schema xmlns:xsd="http://www.w3.org/2001/XMLSchema" xmlns:xs="http://www.w3.org/2001/XMLSchema" xmlns:p="http://schemas.microsoft.com/office/2006/metadata/properties" xmlns:ns2="7ca3113c-347a-4b6a-b89f-a09e1cac4a63" xmlns:ns3="ab4789de-28e2-402c-a4de-19678b2a5ec6" targetNamespace="http://schemas.microsoft.com/office/2006/metadata/properties" ma:root="true" ma:fieldsID="e4031228a50ebc77bd74d7cef2f52f2b" ns2:_="" ns3:_="">
    <xsd:import namespace="7ca3113c-347a-4b6a-b89f-a09e1cac4a63"/>
    <xsd:import namespace="ab4789de-28e2-402c-a4de-19678b2a5ec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113c-347a-4b6a-b89f-a09e1cac4a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f476608-de7c-404e-abc8-afb03e5b2ea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4789de-28e2-402c-a4de-19678b2a5ec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46c3881-53f7-453a-a42c-078b8d5ee4b8}" ma:internalName="TaxCatchAll" ma:showField="CatchAllData" ma:web="ab4789de-28e2-402c-a4de-19678b2a5ec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ca3113c-347a-4b6a-b89f-a09e1cac4a63">
      <Terms xmlns="http://schemas.microsoft.com/office/infopath/2007/PartnerControls"/>
    </lcf76f155ced4ddcb4097134ff3c332f>
    <TaxCatchAll xmlns="ab4789de-28e2-402c-a4de-19678b2a5ec6" xsi:nil="true"/>
  </documentManagement>
</p:properties>
</file>

<file path=customXml/itemProps1.xml><?xml version="1.0" encoding="utf-8"?>
<ds:datastoreItem xmlns:ds="http://schemas.openxmlformats.org/officeDocument/2006/customXml" ds:itemID="{EC73D188-17F5-41A4-9E26-2E4C2A07FF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113c-347a-4b6a-b89f-a09e1cac4a63"/>
    <ds:schemaRef ds:uri="ab4789de-28e2-402c-a4de-19678b2a5e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699EA0-D82E-294B-8C87-94E89EDF9A14}">
  <ds:schemaRefs>
    <ds:schemaRef ds:uri="http://schemas.openxmlformats.org/officeDocument/2006/bibliography"/>
  </ds:schemaRefs>
</ds:datastoreItem>
</file>

<file path=customXml/itemProps3.xml><?xml version="1.0" encoding="utf-8"?>
<ds:datastoreItem xmlns:ds="http://schemas.openxmlformats.org/officeDocument/2006/customXml" ds:itemID="{C6E7FA8F-C208-4B21-A324-0E1984CF874B}">
  <ds:schemaRefs>
    <ds:schemaRef ds:uri="http://schemas.microsoft.com/sharepoint/v3/contenttype/forms"/>
  </ds:schemaRefs>
</ds:datastoreItem>
</file>

<file path=customXml/itemProps4.xml><?xml version="1.0" encoding="utf-8"?>
<ds:datastoreItem xmlns:ds="http://schemas.openxmlformats.org/officeDocument/2006/customXml" ds:itemID="{2716C885-EBDD-4137-8DA6-5D8D834DDFA0}">
  <ds:schemaRefs>
    <ds:schemaRef ds:uri="http://schemas.microsoft.com/office/2006/metadata/properties"/>
    <ds:schemaRef ds:uri="http://schemas.microsoft.com/office/infopath/2007/PartnerControls"/>
    <ds:schemaRef ds:uri="7ca3113c-347a-4b6a-b89f-a09e1cac4a63"/>
    <ds:schemaRef ds:uri="ab4789de-28e2-402c-a4de-19678b2a5ec6"/>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24</Pages>
  <Words>4940</Words>
  <Characters>27174</Characters>
  <Application>Microsoft Office Word</Application>
  <DocSecurity>0</DocSecurity>
  <Lines>226</Lines>
  <Paragraphs>64</Paragraphs>
  <ScaleCrop>false</ScaleCrop>
  <Company/>
  <LinksUpToDate>false</LinksUpToDate>
  <CharactersWithSpaces>32050</CharactersWithSpaces>
  <SharedDoc>false</SharedDoc>
  <HLinks>
    <vt:vector size="384" baseType="variant">
      <vt:variant>
        <vt:i4>655376</vt:i4>
      </vt:variant>
      <vt:variant>
        <vt:i4>474</vt:i4>
      </vt:variant>
      <vt:variant>
        <vt:i4>0</vt:i4>
      </vt:variant>
      <vt:variant>
        <vt:i4>5</vt:i4>
      </vt:variant>
      <vt:variant>
        <vt:lpwstr>https://www.polyfinances.ca/</vt:lpwstr>
      </vt:variant>
      <vt:variant>
        <vt:lpwstr/>
      </vt:variant>
      <vt:variant>
        <vt:i4>196615</vt:i4>
      </vt:variant>
      <vt:variant>
        <vt:i4>471</vt:i4>
      </vt:variant>
      <vt:variant>
        <vt:i4>0</vt:i4>
      </vt:variant>
      <vt:variant>
        <vt:i4>5</vt:i4>
      </vt:variant>
      <vt:variant>
        <vt:lpwstr>https://ca.finance.yahoo.com/</vt:lpwstr>
      </vt:variant>
      <vt:variant>
        <vt:lpwstr/>
      </vt:variant>
      <vt:variant>
        <vt:i4>1507381</vt:i4>
      </vt:variant>
      <vt:variant>
        <vt:i4>374</vt:i4>
      </vt:variant>
      <vt:variant>
        <vt:i4>0</vt:i4>
      </vt:variant>
      <vt:variant>
        <vt:i4>5</vt:i4>
      </vt:variant>
      <vt:variant>
        <vt:lpwstr/>
      </vt:variant>
      <vt:variant>
        <vt:lpwstr>_Toc196919390</vt:lpwstr>
      </vt:variant>
      <vt:variant>
        <vt:i4>1376308</vt:i4>
      </vt:variant>
      <vt:variant>
        <vt:i4>365</vt:i4>
      </vt:variant>
      <vt:variant>
        <vt:i4>0</vt:i4>
      </vt:variant>
      <vt:variant>
        <vt:i4>5</vt:i4>
      </vt:variant>
      <vt:variant>
        <vt:lpwstr/>
      </vt:variant>
      <vt:variant>
        <vt:lpwstr>_Toc196950625</vt:lpwstr>
      </vt:variant>
      <vt:variant>
        <vt:i4>1376308</vt:i4>
      </vt:variant>
      <vt:variant>
        <vt:i4>359</vt:i4>
      </vt:variant>
      <vt:variant>
        <vt:i4>0</vt:i4>
      </vt:variant>
      <vt:variant>
        <vt:i4>5</vt:i4>
      </vt:variant>
      <vt:variant>
        <vt:lpwstr/>
      </vt:variant>
      <vt:variant>
        <vt:lpwstr>_Toc196950624</vt:lpwstr>
      </vt:variant>
      <vt:variant>
        <vt:i4>1376308</vt:i4>
      </vt:variant>
      <vt:variant>
        <vt:i4>353</vt:i4>
      </vt:variant>
      <vt:variant>
        <vt:i4>0</vt:i4>
      </vt:variant>
      <vt:variant>
        <vt:i4>5</vt:i4>
      </vt:variant>
      <vt:variant>
        <vt:lpwstr/>
      </vt:variant>
      <vt:variant>
        <vt:lpwstr>_Toc196950623</vt:lpwstr>
      </vt:variant>
      <vt:variant>
        <vt:i4>1376308</vt:i4>
      </vt:variant>
      <vt:variant>
        <vt:i4>347</vt:i4>
      </vt:variant>
      <vt:variant>
        <vt:i4>0</vt:i4>
      </vt:variant>
      <vt:variant>
        <vt:i4>5</vt:i4>
      </vt:variant>
      <vt:variant>
        <vt:lpwstr/>
      </vt:variant>
      <vt:variant>
        <vt:lpwstr>_Toc196950622</vt:lpwstr>
      </vt:variant>
      <vt:variant>
        <vt:i4>1376308</vt:i4>
      </vt:variant>
      <vt:variant>
        <vt:i4>341</vt:i4>
      </vt:variant>
      <vt:variant>
        <vt:i4>0</vt:i4>
      </vt:variant>
      <vt:variant>
        <vt:i4>5</vt:i4>
      </vt:variant>
      <vt:variant>
        <vt:lpwstr/>
      </vt:variant>
      <vt:variant>
        <vt:lpwstr>_Toc196950621</vt:lpwstr>
      </vt:variant>
      <vt:variant>
        <vt:i4>1376308</vt:i4>
      </vt:variant>
      <vt:variant>
        <vt:i4>335</vt:i4>
      </vt:variant>
      <vt:variant>
        <vt:i4>0</vt:i4>
      </vt:variant>
      <vt:variant>
        <vt:i4>5</vt:i4>
      </vt:variant>
      <vt:variant>
        <vt:lpwstr/>
      </vt:variant>
      <vt:variant>
        <vt:lpwstr>_Toc196950620</vt:lpwstr>
      </vt:variant>
      <vt:variant>
        <vt:i4>1441844</vt:i4>
      </vt:variant>
      <vt:variant>
        <vt:i4>329</vt:i4>
      </vt:variant>
      <vt:variant>
        <vt:i4>0</vt:i4>
      </vt:variant>
      <vt:variant>
        <vt:i4>5</vt:i4>
      </vt:variant>
      <vt:variant>
        <vt:lpwstr/>
      </vt:variant>
      <vt:variant>
        <vt:lpwstr>_Toc196950619</vt:lpwstr>
      </vt:variant>
      <vt:variant>
        <vt:i4>1441844</vt:i4>
      </vt:variant>
      <vt:variant>
        <vt:i4>323</vt:i4>
      </vt:variant>
      <vt:variant>
        <vt:i4>0</vt:i4>
      </vt:variant>
      <vt:variant>
        <vt:i4>5</vt:i4>
      </vt:variant>
      <vt:variant>
        <vt:lpwstr/>
      </vt:variant>
      <vt:variant>
        <vt:lpwstr>_Toc196950618</vt:lpwstr>
      </vt:variant>
      <vt:variant>
        <vt:i4>1441844</vt:i4>
      </vt:variant>
      <vt:variant>
        <vt:i4>317</vt:i4>
      </vt:variant>
      <vt:variant>
        <vt:i4>0</vt:i4>
      </vt:variant>
      <vt:variant>
        <vt:i4>5</vt:i4>
      </vt:variant>
      <vt:variant>
        <vt:lpwstr/>
      </vt:variant>
      <vt:variant>
        <vt:lpwstr>_Toc196950617</vt:lpwstr>
      </vt:variant>
      <vt:variant>
        <vt:i4>1441844</vt:i4>
      </vt:variant>
      <vt:variant>
        <vt:i4>311</vt:i4>
      </vt:variant>
      <vt:variant>
        <vt:i4>0</vt:i4>
      </vt:variant>
      <vt:variant>
        <vt:i4>5</vt:i4>
      </vt:variant>
      <vt:variant>
        <vt:lpwstr/>
      </vt:variant>
      <vt:variant>
        <vt:lpwstr>_Toc196950616</vt:lpwstr>
      </vt:variant>
      <vt:variant>
        <vt:i4>1441844</vt:i4>
      </vt:variant>
      <vt:variant>
        <vt:i4>305</vt:i4>
      </vt:variant>
      <vt:variant>
        <vt:i4>0</vt:i4>
      </vt:variant>
      <vt:variant>
        <vt:i4>5</vt:i4>
      </vt:variant>
      <vt:variant>
        <vt:lpwstr/>
      </vt:variant>
      <vt:variant>
        <vt:lpwstr>_Toc196950615</vt:lpwstr>
      </vt:variant>
      <vt:variant>
        <vt:i4>1441844</vt:i4>
      </vt:variant>
      <vt:variant>
        <vt:i4>299</vt:i4>
      </vt:variant>
      <vt:variant>
        <vt:i4>0</vt:i4>
      </vt:variant>
      <vt:variant>
        <vt:i4>5</vt:i4>
      </vt:variant>
      <vt:variant>
        <vt:lpwstr/>
      </vt:variant>
      <vt:variant>
        <vt:lpwstr>_Toc196950614</vt:lpwstr>
      </vt:variant>
      <vt:variant>
        <vt:i4>1441844</vt:i4>
      </vt:variant>
      <vt:variant>
        <vt:i4>293</vt:i4>
      </vt:variant>
      <vt:variant>
        <vt:i4>0</vt:i4>
      </vt:variant>
      <vt:variant>
        <vt:i4>5</vt:i4>
      </vt:variant>
      <vt:variant>
        <vt:lpwstr/>
      </vt:variant>
      <vt:variant>
        <vt:lpwstr>_Toc196950613</vt:lpwstr>
      </vt:variant>
      <vt:variant>
        <vt:i4>1441844</vt:i4>
      </vt:variant>
      <vt:variant>
        <vt:i4>287</vt:i4>
      </vt:variant>
      <vt:variant>
        <vt:i4>0</vt:i4>
      </vt:variant>
      <vt:variant>
        <vt:i4>5</vt:i4>
      </vt:variant>
      <vt:variant>
        <vt:lpwstr/>
      </vt:variant>
      <vt:variant>
        <vt:lpwstr>_Toc196950612</vt:lpwstr>
      </vt:variant>
      <vt:variant>
        <vt:i4>1441844</vt:i4>
      </vt:variant>
      <vt:variant>
        <vt:i4>281</vt:i4>
      </vt:variant>
      <vt:variant>
        <vt:i4>0</vt:i4>
      </vt:variant>
      <vt:variant>
        <vt:i4>5</vt:i4>
      </vt:variant>
      <vt:variant>
        <vt:lpwstr/>
      </vt:variant>
      <vt:variant>
        <vt:lpwstr>_Toc196950611</vt:lpwstr>
      </vt:variant>
      <vt:variant>
        <vt:i4>1441844</vt:i4>
      </vt:variant>
      <vt:variant>
        <vt:i4>275</vt:i4>
      </vt:variant>
      <vt:variant>
        <vt:i4>0</vt:i4>
      </vt:variant>
      <vt:variant>
        <vt:i4>5</vt:i4>
      </vt:variant>
      <vt:variant>
        <vt:lpwstr/>
      </vt:variant>
      <vt:variant>
        <vt:lpwstr>_Toc196950610</vt:lpwstr>
      </vt:variant>
      <vt:variant>
        <vt:i4>1507380</vt:i4>
      </vt:variant>
      <vt:variant>
        <vt:i4>269</vt:i4>
      </vt:variant>
      <vt:variant>
        <vt:i4>0</vt:i4>
      </vt:variant>
      <vt:variant>
        <vt:i4>5</vt:i4>
      </vt:variant>
      <vt:variant>
        <vt:lpwstr/>
      </vt:variant>
      <vt:variant>
        <vt:lpwstr>_Toc196950609</vt:lpwstr>
      </vt:variant>
      <vt:variant>
        <vt:i4>1507380</vt:i4>
      </vt:variant>
      <vt:variant>
        <vt:i4>263</vt:i4>
      </vt:variant>
      <vt:variant>
        <vt:i4>0</vt:i4>
      </vt:variant>
      <vt:variant>
        <vt:i4>5</vt:i4>
      </vt:variant>
      <vt:variant>
        <vt:lpwstr/>
      </vt:variant>
      <vt:variant>
        <vt:lpwstr>_Toc196950608</vt:lpwstr>
      </vt:variant>
      <vt:variant>
        <vt:i4>1507380</vt:i4>
      </vt:variant>
      <vt:variant>
        <vt:i4>257</vt:i4>
      </vt:variant>
      <vt:variant>
        <vt:i4>0</vt:i4>
      </vt:variant>
      <vt:variant>
        <vt:i4>5</vt:i4>
      </vt:variant>
      <vt:variant>
        <vt:lpwstr/>
      </vt:variant>
      <vt:variant>
        <vt:lpwstr>_Toc196950607</vt:lpwstr>
      </vt:variant>
      <vt:variant>
        <vt:i4>1507380</vt:i4>
      </vt:variant>
      <vt:variant>
        <vt:i4>251</vt:i4>
      </vt:variant>
      <vt:variant>
        <vt:i4>0</vt:i4>
      </vt:variant>
      <vt:variant>
        <vt:i4>5</vt:i4>
      </vt:variant>
      <vt:variant>
        <vt:lpwstr/>
      </vt:variant>
      <vt:variant>
        <vt:lpwstr>_Toc196950606</vt:lpwstr>
      </vt:variant>
      <vt:variant>
        <vt:i4>1507380</vt:i4>
      </vt:variant>
      <vt:variant>
        <vt:i4>245</vt:i4>
      </vt:variant>
      <vt:variant>
        <vt:i4>0</vt:i4>
      </vt:variant>
      <vt:variant>
        <vt:i4>5</vt:i4>
      </vt:variant>
      <vt:variant>
        <vt:lpwstr/>
      </vt:variant>
      <vt:variant>
        <vt:lpwstr>_Toc196950605</vt:lpwstr>
      </vt:variant>
      <vt:variant>
        <vt:i4>1507380</vt:i4>
      </vt:variant>
      <vt:variant>
        <vt:i4>239</vt:i4>
      </vt:variant>
      <vt:variant>
        <vt:i4>0</vt:i4>
      </vt:variant>
      <vt:variant>
        <vt:i4>5</vt:i4>
      </vt:variant>
      <vt:variant>
        <vt:lpwstr/>
      </vt:variant>
      <vt:variant>
        <vt:lpwstr>_Toc196950604</vt:lpwstr>
      </vt:variant>
      <vt:variant>
        <vt:i4>1507380</vt:i4>
      </vt:variant>
      <vt:variant>
        <vt:i4>233</vt:i4>
      </vt:variant>
      <vt:variant>
        <vt:i4>0</vt:i4>
      </vt:variant>
      <vt:variant>
        <vt:i4>5</vt:i4>
      </vt:variant>
      <vt:variant>
        <vt:lpwstr/>
      </vt:variant>
      <vt:variant>
        <vt:lpwstr>_Toc196950603</vt:lpwstr>
      </vt:variant>
      <vt:variant>
        <vt:i4>1507380</vt:i4>
      </vt:variant>
      <vt:variant>
        <vt:i4>227</vt:i4>
      </vt:variant>
      <vt:variant>
        <vt:i4>0</vt:i4>
      </vt:variant>
      <vt:variant>
        <vt:i4>5</vt:i4>
      </vt:variant>
      <vt:variant>
        <vt:lpwstr/>
      </vt:variant>
      <vt:variant>
        <vt:lpwstr>_Toc196950602</vt:lpwstr>
      </vt:variant>
      <vt:variant>
        <vt:i4>1507380</vt:i4>
      </vt:variant>
      <vt:variant>
        <vt:i4>221</vt:i4>
      </vt:variant>
      <vt:variant>
        <vt:i4>0</vt:i4>
      </vt:variant>
      <vt:variant>
        <vt:i4>5</vt:i4>
      </vt:variant>
      <vt:variant>
        <vt:lpwstr/>
      </vt:variant>
      <vt:variant>
        <vt:lpwstr>_Toc196950601</vt:lpwstr>
      </vt:variant>
      <vt:variant>
        <vt:i4>1507380</vt:i4>
      </vt:variant>
      <vt:variant>
        <vt:i4>215</vt:i4>
      </vt:variant>
      <vt:variant>
        <vt:i4>0</vt:i4>
      </vt:variant>
      <vt:variant>
        <vt:i4>5</vt:i4>
      </vt:variant>
      <vt:variant>
        <vt:lpwstr/>
      </vt:variant>
      <vt:variant>
        <vt:lpwstr>_Toc196950600</vt:lpwstr>
      </vt:variant>
      <vt:variant>
        <vt:i4>1966135</vt:i4>
      </vt:variant>
      <vt:variant>
        <vt:i4>209</vt:i4>
      </vt:variant>
      <vt:variant>
        <vt:i4>0</vt:i4>
      </vt:variant>
      <vt:variant>
        <vt:i4>5</vt:i4>
      </vt:variant>
      <vt:variant>
        <vt:lpwstr/>
      </vt:variant>
      <vt:variant>
        <vt:lpwstr>_Toc196950599</vt:lpwstr>
      </vt:variant>
      <vt:variant>
        <vt:i4>1966135</vt:i4>
      </vt:variant>
      <vt:variant>
        <vt:i4>203</vt:i4>
      </vt:variant>
      <vt:variant>
        <vt:i4>0</vt:i4>
      </vt:variant>
      <vt:variant>
        <vt:i4>5</vt:i4>
      </vt:variant>
      <vt:variant>
        <vt:lpwstr/>
      </vt:variant>
      <vt:variant>
        <vt:lpwstr>_Toc196950598</vt:lpwstr>
      </vt:variant>
      <vt:variant>
        <vt:i4>1966135</vt:i4>
      </vt:variant>
      <vt:variant>
        <vt:i4>197</vt:i4>
      </vt:variant>
      <vt:variant>
        <vt:i4>0</vt:i4>
      </vt:variant>
      <vt:variant>
        <vt:i4>5</vt:i4>
      </vt:variant>
      <vt:variant>
        <vt:lpwstr/>
      </vt:variant>
      <vt:variant>
        <vt:lpwstr>_Toc196950597</vt:lpwstr>
      </vt:variant>
      <vt:variant>
        <vt:i4>1703995</vt:i4>
      </vt:variant>
      <vt:variant>
        <vt:i4>188</vt:i4>
      </vt:variant>
      <vt:variant>
        <vt:i4>0</vt:i4>
      </vt:variant>
      <vt:variant>
        <vt:i4>5</vt:i4>
      </vt:variant>
      <vt:variant>
        <vt:lpwstr/>
      </vt:variant>
      <vt:variant>
        <vt:lpwstr>_Toc196949841</vt:lpwstr>
      </vt:variant>
      <vt:variant>
        <vt:i4>1703995</vt:i4>
      </vt:variant>
      <vt:variant>
        <vt:i4>182</vt:i4>
      </vt:variant>
      <vt:variant>
        <vt:i4>0</vt:i4>
      </vt:variant>
      <vt:variant>
        <vt:i4>5</vt:i4>
      </vt:variant>
      <vt:variant>
        <vt:lpwstr/>
      </vt:variant>
      <vt:variant>
        <vt:lpwstr>_Toc196949840</vt:lpwstr>
      </vt:variant>
      <vt:variant>
        <vt:i4>1900603</vt:i4>
      </vt:variant>
      <vt:variant>
        <vt:i4>176</vt:i4>
      </vt:variant>
      <vt:variant>
        <vt:i4>0</vt:i4>
      </vt:variant>
      <vt:variant>
        <vt:i4>5</vt:i4>
      </vt:variant>
      <vt:variant>
        <vt:lpwstr/>
      </vt:variant>
      <vt:variant>
        <vt:lpwstr>_Toc196949839</vt:lpwstr>
      </vt:variant>
      <vt:variant>
        <vt:i4>1900603</vt:i4>
      </vt:variant>
      <vt:variant>
        <vt:i4>170</vt:i4>
      </vt:variant>
      <vt:variant>
        <vt:i4>0</vt:i4>
      </vt:variant>
      <vt:variant>
        <vt:i4>5</vt:i4>
      </vt:variant>
      <vt:variant>
        <vt:lpwstr/>
      </vt:variant>
      <vt:variant>
        <vt:lpwstr>_Toc196949838</vt:lpwstr>
      </vt:variant>
      <vt:variant>
        <vt:i4>1900603</vt:i4>
      </vt:variant>
      <vt:variant>
        <vt:i4>164</vt:i4>
      </vt:variant>
      <vt:variant>
        <vt:i4>0</vt:i4>
      </vt:variant>
      <vt:variant>
        <vt:i4>5</vt:i4>
      </vt:variant>
      <vt:variant>
        <vt:lpwstr/>
      </vt:variant>
      <vt:variant>
        <vt:lpwstr>_Toc196949837</vt:lpwstr>
      </vt:variant>
      <vt:variant>
        <vt:i4>1900603</vt:i4>
      </vt:variant>
      <vt:variant>
        <vt:i4>158</vt:i4>
      </vt:variant>
      <vt:variant>
        <vt:i4>0</vt:i4>
      </vt:variant>
      <vt:variant>
        <vt:i4>5</vt:i4>
      </vt:variant>
      <vt:variant>
        <vt:lpwstr/>
      </vt:variant>
      <vt:variant>
        <vt:lpwstr>_Toc196949836</vt:lpwstr>
      </vt:variant>
      <vt:variant>
        <vt:i4>1900603</vt:i4>
      </vt:variant>
      <vt:variant>
        <vt:i4>152</vt:i4>
      </vt:variant>
      <vt:variant>
        <vt:i4>0</vt:i4>
      </vt:variant>
      <vt:variant>
        <vt:i4>5</vt:i4>
      </vt:variant>
      <vt:variant>
        <vt:lpwstr/>
      </vt:variant>
      <vt:variant>
        <vt:lpwstr>_Toc196949835</vt:lpwstr>
      </vt:variant>
      <vt:variant>
        <vt:i4>1900603</vt:i4>
      </vt:variant>
      <vt:variant>
        <vt:i4>146</vt:i4>
      </vt:variant>
      <vt:variant>
        <vt:i4>0</vt:i4>
      </vt:variant>
      <vt:variant>
        <vt:i4>5</vt:i4>
      </vt:variant>
      <vt:variant>
        <vt:lpwstr/>
      </vt:variant>
      <vt:variant>
        <vt:lpwstr>_Toc196949834</vt:lpwstr>
      </vt:variant>
      <vt:variant>
        <vt:i4>1900603</vt:i4>
      </vt:variant>
      <vt:variant>
        <vt:i4>140</vt:i4>
      </vt:variant>
      <vt:variant>
        <vt:i4>0</vt:i4>
      </vt:variant>
      <vt:variant>
        <vt:i4>5</vt:i4>
      </vt:variant>
      <vt:variant>
        <vt:lpwstr/>
      </vt:variant>
      <vt:variant>
        <vt:lpwstr>_Toc196949833</vt:lpwstr>
      </vt:variant>
      <vt:variant>
        <vt:i4>1900603</vt:i4>
      </vt:variant>
      <vt:variant>
        <vt:i4>134</vt:i4>
      </vt:variant>
      <vt:variant>
        <vt:i4>0</vt:i4>
      </vt:variant>
      <vt:variant>
        <vt:i4>5</vt:i4>
      </vt:variant>
      <vt:variant>
        <vt:lpwstr/>
      </vt:variant>
      <vt:variant>
        <vt:lpwstr>_Toc196949832</vt:lpwstr>
      </vt:variant>
      <vt:variant>
        <vt:i4>1900603</vt:i4>
      </vt:variant>
      <vt:variant>
        <vt:i4>128</vt:i4>
      </vt:variant>
      <vt:variant>
        <vt:i4>0</vt:i4>
      </vt:variant>
      <vt:variant>
        <vt:i4>5</vt:i4>
      </vt:variant>
      <vt:variant>
        <vt:lpwstr/>
      </vt:variant>
      <vt:variant>
        <vt:lpwstr>_Toc196949831</vt:lpwstr>
      </vt:variant>
      <vt:variant>
        <vt:i4>1900603</vt:i4>
      </vt:variant>
      <vt:variant>
        <vt:i4>122</vt:i4>
      </vt:variant>
      <vt:variant>
        <vt:i4>0</vt:i4>
      </vt:variant>
      <vt:variant>
        <vt:i4>5</vt:i4>
      </vt:variant>
      <vt:variant>
        <vt:lpwstr/>
      </vt:variant>
      <vt:variant>
        <vt:lpwstr>_Toc196949830</vt:lpwstr>
      </vt:variant>
      <vt:variant>
        <vt:i4>1835067</vt:i4>
      </vt:variant>
      <vt:variant>
        <vt:i4>116</vt:i4>
      </vt:variant>
      <vt:variant>
        <vt:i4>0</vt:i4>
      </vt:variant>
      <vt:variant>
        <vt:i4>5</vt:i4>
      </vt:variant>
      <vt:variant>
        <vt:lpwstr/>
      </vt:variant>
      <vt:variant>
        <vt:lpwstr>_Toc196949829</vt:lpwstr>
      </vt:variant>
      <vt:variant>
        <vt:i4>1835067</vt:i4>
      </vt:variant>
      <vt:variant>
        <vt:i4>110</vt:i4>
      </vt:variant>
      <vt:variant>
        <vt:i4>0</vt:i4>
      </vt:variant>
      <vt:variant>
        <vt:i4>5</vt:i4>
      </vt:variant>
      <vt:variant>
        <vt:lpwstr/>
      </vt:variant>
      <vt:variant>
        <vt:lpwstr>_Toc196949828</vt:lpwstr>
      </vt:variant>
      <vt:variant>
        <vt:i4>1835067</vt:i4>
      </vt:variant>
      <vt:variant>
        <vt:i4>104</vt:i4>
      </vt:variant>
      <vt:variant>
        <vt:i4>0</vt:i4>
      </vt:variant>
      <vt:variant>
        <vt:i4>5</vt:i4>
      </vt:variant>
      <vt:variant>
        <vt:lpwstr/>
      </vt:variant>
      <vt:variant>
        <vt:lpwstr>_Toc196949827</vt:lpwstr>
      </vt:variant>
      <vt:variant>
        <vt:i4>1835067</vt:i4>
      </vt:variant>
      <vt:variant>
        <vt:i4>98</vt:i4>
      </vt:variant>
      <vt:variant>
        <vt:i4>0</vt:i4>
      </vt:variant>
      <vt:variant>
        <vt:i4>5</vt:i4>
      </vt:variant>
      <vt:variant>
        <vt:lpwstr/>
      </vt:variant>
      <vt:variant>
        <vt:lpwstr>_Toc196949826</vt:lpwstr>
      </vt:variant>
      <vt:variant>
        <vt:i4>1835067</vt:i4>
      </vt:variant>
      <vt:variant>
        <vt:i4>92</vt:i4>
      </vt:variant>
      <vt:variant>
        <vt:i4>0</vt:i4>
      </vt:variant>
      <vt:variant>
        <vt:i4>5</vt:i4>
      </vt:variant>
      <vt:variant>
        <vt:lpwstr/>
      </vt:variant>
      <vt:variant>
        <vt:lpwstr>_Toc196949825</vt:lpwstr>
      </vt:variant>
      <vt:variant>
        <vt:i4>1835067</vt:i4>
      </vt:variant>
      <vt:variant>
        <vt:i4>86</vt:i4>
      </vt:variant>
      <vt:variant>
        <vt:i4>0</vt:i4>
      </vt:variant>
      <vt:variant>
        <vt:i4>5</vt:i4>
      </vt:variant>
      <vt:variant>
        <vt:lpwstr/>
      </vt:variant>
      <vt:variant>
        <vt:lpwstr>_Toc196949824</vt:lpwstr>
      </vt:variant>
      <vt:variant>
        <vt:i4>1835067</vt:i4>
      </vt:variant>
      <vt:variant>
        <vt:i4>80</vt:i4>
      </vt:variant>
      <vt:variant>
        <vt:i4>0</vt:i4>
      </vt:variant>
      <vt:variant>
        <vt:i4>5</vt:i4>
      </vt:variant>
      <vt:variant>
        <vt:lpwstr/>
      </vt:variant>
      <vt:variant>
        <vt:lpwstr>_Toc196949823</vt:lpwstr>
      </vt:variant>
      <vt:variant>
        <vt:i4>1835067</vt:i4>
      </vt:variant>
      <vt:variant>
        <vt:i4>74</vt:i4>
      </vt:variant>
      <vt:variant>
        <vt:i4>0</vt:i4>
      </vt:variant>
      <vt:variant>
        <vt:i4>5</vt:i4>
      </vt:variant>
      <vt:variant>
        <vt:lpwstr/>
      </vt:variant>
      <vt:variant>
        <vt:lpwstr>_Toc196949822</vt:lpwstr>
      </vt:variant>
      <vt:variant>
        <vt:i4>1835067</vt:i4>
      </vt:variant>
      <vt:variant>
        <vt:i4>68</vt:i4>
      </vt:variant>
      <vt:variant>
        <vt:i4>0</vt:i4>
      </vt:variant>
      <vt:variant>
        <vt:i4>5</vt:i4>
      </vt:variant>
      <vt:variant>
        <vt:lpwstr/>
      </vt:variant>
      <vt:variant>
        <vt:lpwstr>_Toc196949821</vt:lpwstr>
      </vt:variant>
      <vt:variant>
        <vt:i4>1835067</vt:i4>
      </vt:variant>
      <vt:variant>
        <vt:i4>62</vt:i4>
      </vt:variant>
      <vt:variant>
        <vt:i4>0</vt:i4>
      </vt:variant>
      <vt:variant>
        <vt:i4>5</vt:i4>
      </vt:variant>
      <vt:variant>
        <vt:lpwstr/>
      </vt:variant>
      <vt:variant>
        <vt:lpwstr>_Toc196949820</vt:lpwstr>
      </vt:variant>
      <vt:variant>
        <vt:i4>2031675</vt:i4>
      </vt:variant>
      <vt:variant>
        <vt:i4>56</vt:i4>
      </vt:variant>
      <vt:variant>
        <vt:i4>0</vt:i4>
      </vt:variant>
      <vt:variant>
        <vt:i4>5</vt:i4>
      </vt:variant>
      <vt:variant>
        <vt:lpwstr/>
      </vt:variant>
      <vt:variant>
        <vt:lpwstr>_Toc196949819</vt:lpwstr>
      </vt:variant>
      <vt:variant>
        <vt:i4>2031675</vt:i4>
      </vt:variant>
      <vt:variant>
        <vt:i4>50</vt:i4>
      </vt:variant>
      <vt:variant>
        <vt:i4>0</vt:i4>
      </vt:variant>
      <vt:variant>
        <vt:i4>5</vt:i4>
      </vt:variant>
      <vt:variant>
        <vt:lpwstr/>
      </vt:variant>
      <vt:variant>
        <vt:lpwstr>_Toc196949818</vt:lpwstr>
      </vt:variant>
      <vt:variant>
        <vt:i4>2031675</vt:i4>
      </vt:variant>
      <vt:variant>
        <vt:i4>44</vt:i4>
      </vt:variant>
      <vt:variant>
        <vt:i4>0</vt:i4>
      </vt:variant>
      <vt:variant>
        <vt:i4>5</vt:i4>
      </vt:variant>
      <vt:variant>
        <vt:lpwstr/>
      </vt:variant>
      <vt:variant>
        <vt:lpwstr>_Toc196949817</vt:lpwstr>
      </vt:variant>
      <vt:variant>
        <vt:i4>2031675</vt:i4>
      </vt:variant>
      <vt:variant>
        <vt:i4>38</vt:i4>
      </vt:variant>
      <vt:variant>
        <vt:i4>0</vt:i4>
      </vt:variant>
      <vt:variant>
        <vt:i4>5</vt:i4>
      </vt:variant>
      <vt:variant>
        <vt:lpwstr/>
      </vt:variant>
      <vt:variant>
        <vt:lpwstr>_Toc196949816</vt:lpwstr>
      </vt:variant>
      <vt:variant>
        <vt:i4>2031675</vt:i4>
      </vt:variant>
      <vt:variant>
        <vt:i4>32</vt:i4>
      </vt:variant>
      <vt:variant>
        <vt:i4>0</vt:i4>
      </vt:variant>
      <vt:variant>
        <vt:i4>5</vt:i4>
      </vt:variant>
      <vt:variant>
        <vt:lpwstr/>
      </vt:variant>
      <vt:variant>
        <vt:lpwstr>_Toc196949815</vt:lpwstr>
      </vt:variant>
      <vt:variant>
        <vt:i4>2031675</vt:i4>
      </vt:variant>
      <vt:variant>
        <vt:i4>26</vt:i4>
      </vt:variant>
      <vt:variant>
        <vt:i4>0</vt:i4>
      </vt:variant>
      <vt:variant>
        <vt:i4>5</vt:i4>
      </vt:variant>
      <vt:variant>
        <vt:lpwstr/>
      </vt:variant>
      <vt:variant>
        <vt:lpwstr>_Toc196949814</vt:lpwstr>
      </vt:variant>
      <vt:variant>
        <vt:i4>2031675</vt:i4>
      </vt:variant>
      <vt:variant>
        <vt:i4>20</vt:i4>
      </vt:variant>
      <vt:variant>
        <vt:i4>0</vt:i4>
      </vt:variant>
      <vt:variant>
        <vt:i4>5</vt:i4>
      </vt:variant>
      <vt:variant>
        <vt:lpwstr/>
      </vt:variant>
      <vt:variant>
        <vt:lpwstr>_Toc196949813</vt:lpwstr>
      </vt:variant>
      <vt:variant>
        <vt:i4>2031675</vt:i4>
      </vt:variant>
      <vt:variant>
        <vt:i4>14</vt:i4>
      </vt:variant>
      <vt:variant>
        <vt:i4>0</vt:i4>
      </vt:variant>
      <vt:variant>
        <vt:i4>5</vt:i4>
      </vt:variant>
      <vt:variant>
        <vt:lpwstr/>
      </vt:variant>
      <vt:variant>
        <vt:lpwstr>_Toc196949812</vt:lpwstr>
      </vt:variant>
      <vt:variant>
        <vt:i4>2031675</vt:i4>
      </vt:variant>
      <vt:variant>
        <vt:i4>8</vt:i4>
      </vt:variant>
      <vt:variant>
        <vt:i4>0</vt:i4>
      </vt:variant>
      <vt:variant>
        <vt:i4>5</vt:i4>
      </vt:variant>
      <vt:variant>
        <vt:lpwstr/>
      </vt:variant>
      <vt:variant>
        <vt:lpwstr>_Toc196949811</vt:lpwstr>
      </vt:variant>
      <vt:variant>
        <vt:i4>2031675</vt:i4>
      </vt:variant>
      <vt:variant>
        <vt:i4>2</vt:i4>
      </vt:variant>
      <vt:variant>
        <vt:i4>0</vt:i4>
      </vt:variant>
      <vt:variant>
        <vt:i4>5</vt:i4>
      </vt:variant>
      <vt:variant>
        <vt:lpwstr/>
      </vt:variant>
      <vt:variant>
        <vt:lpwstr>_Toc196949810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Minh Khai Nguyen</dc:creator>
  <cp:keywords/>
  <dc:description/>
  <cp:lastModifiedBy>Rayan Ajakane</cp:lastModifiedBy>
  <cp:revision>1018</cp:revision>
  <dcterms:created xsi:type="dcterms:W3CDTF">2024-11-17T08:11:00Z</dcterms:created>
  <dcterms:modified xsi:type="dcterms:W3CDTF">2025-05-31T18:43:00Z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0x010100C900DF55E438664DA647A9F1C24F11FE</vt:lpwstr>
  </property>
  <property fmtid="{D5CDD505-2E9C-101B-9397-08002B2CF9AE}" pid="3" name="MediaServiceImageTags">
    <vt:lpwstr/>
  </property>
</Properties>
</file>