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c2230"/>
          <w:sz w:val="56"/>
          <w:szCs w:val="56"/>
        </w:rPr>
        <w:t xml:space="preserve">Bluetute</w:t>
      </w:r>
    </w:p>
    <w:p>
      <w:pPr>
        <w:spacing w:after="40"/>
      </w:pPr>
      <w:r>
        <w:rPr>
          <w:color w:val="5b6478"/>
          <w:sz w:val="26"/>
          <w:szCs w:val="26"/>
        </w:rPr>
        <w:t xml:space="preserve">A Measurable LLM Workflow for Diagnosing and Correcting Student Misconceptions</w:t>
      </w:r>
    </w:p>
    <w:p>
      <w:pPr>
        <w:spacing w:after="500"/>
      </w:pPr>
      <w:r>
        <w:rPr>
          <w:i/>
          <w:iCs/>
          <w:color w:val="5b6478"/>
          <w:sz w:val="22"/>
          <w:szCs w:val="22"/>
        </w:rPr>
        <w:t xml:space="preserve">Reverie Hacks 2026 — ML Prompt Engineering Track</w:t>
      </w:r>
    </w:p>
    <w:p>
      <w:pPr>
        <w:pStyle w:val="Heading2"/>
        <w:spacing w:after="150" w:before="300"/>
      </w:pPr>
      <w:r>
        <w:t xml:space="preserve">Executive Summary</w:t>
      </w:r>
    </w:p>
    <w:p>
      <w:pPr>
        <w:spacing w:after="160" w:line="276"/>
      </w:pPr>
      <w:r>
        <w:rPr>
          <w:b w:val="false"/>
          <w:bCs w:val="false"/>
          <w:i w:val="false"/>
          <w:iCs w:val="false"/>
        </w:rPr>
        <w:t xml:space="preserve">Bluetute is a six-node diagnostic pipeline that identifies why a student got a math problem wrong before deciding how to respond, instead of jumping straight from a wrong answer to a correction. The central, testable claim of this project is that a structured multi-stage workflow — reasoning verification, controlled-taxonomy classification, adversarial critique, and reconciled final diagnosis — produces more accurate and better-evidenced tutoring diagnoses than a single LLM prompt performing the same task in one pass.</w:t>
      </w:r>
    </w:p>
    <w:p>
      <w:pPr>
        <w:spacing w:after="160" w:line="276"/>
      </w:pPr>
      <w:r>
        <w:rPr>
          <w:b w:val="false"/>
          <w:bCs w:val="false"/>
          <w:i w:val="false"/>
          <w:iCs w:val="false"/>
        </w:rPr>
        <w:t xml:space="preserve">This claim was tested, not assumed. A 30-case benchmark was built by hand across Algebra, Functions, Geometry, Probability, and mixed-domain problems, each with a known expected misconception. A single-prompt baseline and the full Bluetute pipeline were run on identical cases, using the same underlying model (Google Gemini via Google AI Studio) for both arms.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6200"/>
        <w:gridCol w:w="1600"/>
        <w:gridCol w:w="1600"/>
      </w:tblGrid>
      <w:tr>
        <w:trPr>
          <w:tblHeader/>
        </w:trPr>
        <w:tc>
          <w:tcPr>
            <w:tcW w:type="dxa" w:w="6200"/>
            <w:shd w:fill="1c2230" w:val="clear"/>
            <w:tcMar>
              <w:top w:type="dxa" w:w="80"/>
              <w:left w:type="dxa" w:w="100"/>
              <w:bottom w:type="dxa" w:w="80"/>
              <w:right w:type="dxa" w:w="100"/>
            </w:tcMar>
          </w:tcPr>
          <w:p>
            <w:r>
              <w:rPr>
                <w:b/>
                <w:bCs/>
                <w:color w:val="ffffff"/>
                <w:sz w:val="19"/>
                <w:szCs w:val="19"/>
              </w:rPr>
              <w:t xml:space="preserve">System</w:t>
            </w:r>
          </w:p>
        </w:tc>
        <w:tc>
          <w:tcPr>
            <w:tcW w:type="dxa" w:w="1600"/>
            <w:shd w:fill="1c2230" w:val="clear"/>
            <w:tcMar>
              <w:top w:type="dxa" w:w="80"/>
              <w:left w:type="dxa" w:w="100"/>
              <w:bottom w:type="dxa" w:w="80"/>
              <w:right w:type="dxa" w:w="100"/>
            </w:tcMar>
          </w:tcPr>
          <w:p>
            <w:r>
              <w:rPr>
                <w:b/>
                <w:bCs/>
                <w:color w:val="ffffff"/>
                <w:sz w:val="19"/>
                <w:szCs w:val="19"/>
              </w:rPr>
              <w:t xml:space="preserve">Correct</w:t>
            </w:r>
          </w:p>
        </w:tc>
        <w:tc>
          <w:tcPr>
            <w:tcW w:type="dxa" w:w="1600"/>
            <w:shd w:fill="1c2230" w:val="clear"/>
            <w:tcMar>
              <w:top w:type="dxa" w:w="80"/>
              <w:left w:type="dxa" w:w="100"/>
              <w:bottom w:type="dxa" w:w="80"/>
              <w:right w:type="dxa" w:w="100"/>
            </w:tcMar>
          </w:tcPr>
          <w:p>
            <w:r>
              <w:rPr>
                <w:b/>
                <w:bCs/>
                <w:color w:val="ffffff"/>
                <w:sz w:val="19"/>
                <w:szCs w:val="19"/>
              </w:rPr>
              <w:t xml:space="preserve">Accuracy</w:t>
            </w:r>
          </w:p>
        </w:tc>
      </w:tr>
      <w:tr>
        <w:tc>
          <w:tcPr>
            <w:tcW w:type="dxa" w:w="6200"/>
            <w:tcMar>
              <w:top w:type="dxa" w:w="80"/>
              <w:left w:type="dxa" w:w="100"/>
              <w:bottom w:type="dxa" w:w="80"/>
              <w:right w:type="dxa" w:w="100"/>
            </w:tcMar>
          </w:tcPr>
          <w:p>
            <w:r>
              <w:rPr>
                <w:b w:val="false"/>
                <w:bCs w:val="false"/>
                <w:color w:val="1c2230"/>
                <w:sz w:val="19"/>
                <w:szCs w:val="19"/>
              </w:rPr>
              <w:t xml:space="preserve">Single-prompt baseline</w:t>
            </w:r>
          </w:p>
        </w:tc>
        <w:tc>
          <w:tcPr>
            <w:tcW w:type="dxa" w:w="1600"/>
            <w:tcMar>
              <w:top w:type="dxa" w:w="80"/>
              <w:left w:type="dxa" w:w="100"/>
              <w:bottom w:type="dxa" w:w="80"/>
              <w:right w:type="dxa" w:w="100"/>
            </w:tcMar>
          </w:tcPr>
          <w:p>
            <w:r>
              <w:rPr>
                <w:b w:val="false"/>
                <w:bCs w:val="false"/>
                <w:color w:val="1c2230"/>
                <w:sz w:val="19"/>
                <w:szCs w:val="19"/>
              </w:rPr>
              <w:t xml:space="preserve">26 / 30</w:t>
            </w:r>
          </w:p>
        </w:tc>
        <w:tc>
          <w:tcPr>
            <w:tcW w:type="dxa" w:w="1600"/>
            <w:tcMar>
              <w:top w:type="dxa" w:w="80"/>
              <w:left w:type="dxa" w:w="100"/>
              <w:bottom w:type="dxa" w:w="80"/>
              <w:right w:type="dxa" w:w="100"/>
            </w:tcMar>
          </w:tcPr>
          <w:p>
            <w:r>
              <w:rPr>
                <w:b w:val="false"/>
                <w:bCs w:val="false"/>
                <w:color w:val="1c2230"/>
                <w:sz w:val="19"/>
                <w:szCs w:val="19"/>
              </w:rPr>
              <w:t xml:space="preserve">86.7%</w:t>
            </w:r>
          </w:p>
        </w:tc>
      </w:tr>
      <w:tr>
        <w:tc>
          <w:tcPr>
            <w:tcW w:type="dxa" w:w="6200"/>
            <w:shd w:fill="f2f4f8" w:val="clear"/>
            <w:tcMar>
              <w:top w:type="dxa" w:w="80"/>
              <w:left w:type="dxa" w:w="100"/>
              <w:bottom w:type="dxa" w:w="80"/>
              <w:right w:type="dxa" w:w="100"/>
            </w:tcMar>
          </w:tcPr>
          <w:p>
            <w:r>
              <w:rPr>
                <w:b w:val="false"/>
                <w:bCs w:val="false"/>
                <w:color w:val="1c2230"/>
                <w:sz w:val="19"/>
                <w:szCs w:val="19"/>
              </w:rPr>
              <w:t xml:space="preserve">Bluetute pipeline (prompt v1)</w:t>
            </w:r>
          </w:p>
        </w:tc>
        <w:tc>
          <w:tcPr>
            <w:tcW w:type="dxa" w:w="1600"/>
            <w:shd w:fill="f2f4f8" w:val="clear"/>
            <w:tcMar>
              <w:top w:type="dxa" w:w="80"/>
              <w:left w:type="dxa" w:w="100"/>
              <w:bottom w:type="dxa" w:w="80"/>
              <w:right w:type="dxa" w:w="100"/>
            </w:tcMar>
          </w:tcPr>
          <w:p>
            <w:r>
              <w:rPr>
                <w:b w:val="false"/>
                <w:bCs w:val="false"/>
                <w:color w:val="1c2230"/>
                <w:sz w:val="19"/>
                <w:szCs w:val="19"/>
              </w:rPr>
              <w:t xml:space="preserve">26 / 30</w:t>
            </w:r>
          </w:p>
        </w:tc>
        <w:tc>
          <w:tcPr>
            <w:tcW w:type="dxa" w:w="1600"/>
            <w:shd w:fill="f2f4f8" w:val="clear"/>
            <w:tcMar>
              <w:top w:type="dxa" w:w="80"/>
              <w:left w:type="dxa" w:w="100"/>
              <w:bottom w:type="dxa" w:w="80"/>
              <w:right w:type="dxa" w:w="100"/>
            </w:tcMar>
          </w:tcPr>
          <w:p>
            <w:r>
              <w:rPr>
                <w:b w:val="false"/>
                <w:bCs w:val="false"/>
                <w:color w:val="1c2230"/>
                <w:sz w:val="19"/>
                <w:szCs w:val="19"/>
              </w:rPr>
              <w:t xml:space="preserve">86.7%  (tie)</w:t>
            </w:r>
          </w:p>
        </w:tc>
      </w:tr>
      <w:tr>
        <w:tc>
          <w:tcPr>
            <w:tcW w:type="dxa" w:w="6200"/>
            <w:tcMar>
              <w:top w:type="dxa" w:w="80"/>
              <w:left w:type="dxa" w:w="100"/>
              <w:bottom w:type="dxa" w:w="80"/>
              <w:right w:type="dxa" w:w="100"/>
            </w:tcMar>
          </w:tcPr>
          <w:p>
            <w:r>
              <w:rPr>
                <w:b w:val="false"/>
                <w:bCs w:val="false"/>
                <w:color w:val="1c2230"/>
                <w:sz w:val="19"/>
                <w:szCs w:val="19"/>
              </w:rPr>
              <w:t xml:space="preserve">Bluetute pipeline (prompt v2, exact match)</w:t>
            </w:r>
          </w:p>
        </w:tc>
        <w:tc>
          <w:tcPr>
            <w:tcW w:type="dxa" w:w="1600"/>
            <w:tcMar>
              <w:top w:type="dxa" w:w="80"/>
              <w:left w:type="dxa" w:w="100"/>
              <w:bottom w:type="dxa" w:w="80"/>
              <w:right w:type="dxa" w:w="100"/>
            </w:tcMar>
          </w:tcPr>
          <w:p>
            <w:r>
              <w:rPr>
                <w:b w:val="false"/>
                <w:bCs w:val="false"/>
                <w:color w:val="1c2230"/>
                <w:sz w:val="19"/>
                <w:szCs w:val="19"/>
              </w:rPr>
              <w:t xml:space="preserve">28 / 30</w:t>
            </w:r>
          </w:p>
        </w:tc>
        <w:tc>
          <w:tcPr>
            <w:tcW w:type="dxa" w:w="1600"/>
            <w:tcMar>
              <w:top w:type="dxa" w:w="80"/>
              <w:left w:type="dxa" w:w="100"/>
              <w:bottom w:type="dxa" w:w="80"/>
              <w:right w:type="dxa" w:w="100"/>
            </w:tcMar>
          </w:tcPr>
          <w:p>
            <w:r>
              <w:rPr>
                <w:b w:val="false"/>
                <w:bCs w:val="false"/>
                <w:color w:val="1c2230"/>
                <w:sz w:val="19"/>
                <w:szCs w:val="19"/>
              </w:rPr>
              <w:t xml:space="preserve">93.3%</w:t>
            </w:r>
          </w:p>
        </w:tc>
      </w:tr>
      <w:tr>
        <w:tc>
          <w:tcPr>
            <w:tcW w:type="dxa" w:w="6200"/>
            <w:shd w:fill="f2f4f8" w:val="clear"/>
            <w:tcMar>
              <w:top w:type="dxa" w:w="80"/>
              <w:left w:type="dxa" w:w="100"/>
              <w:bottom w:type="dxa" w:w="80"/>
              <w:right w:type="dxa" w:w="100"/>
            </w:tcMar>
          </w:tcPr>
          <w:p>
            <w:r>
              <w:rPr>
                <w:b w:val="false"/>
                <w:bCs w:val="false"/>
                <w:color w:val="1c2230"/>
                <w:sz w:val="19"/>
                <w:szCs w:val="19"/>
              </w:rPr>
              <w:t xml:space="preserve">Bluetute pipeline (prompt v2, exact-or-legitimate-alternative)</w:t>
            </w:r>
          </w:p>
        </w:tc>
        <w:tc>
          <w:tcPr>
            <w:tcW w:type="dxa" w:w="1600"/>
            <w:shd w:fill="f2f4f8" w:val="clear"/>
            <w:tcMar>
              <w:top w:type="dxa" w:w="80"/>
              <w:left w:type="dxa" w:w="100"/>
              <w:bottom w:type="dxa" w:w="80"/>
              <w:right w:type="dxa" w:w="100"/>
            </w:tcMar>
          </w:tcPr>
          <w:p>
            <w:r>
              <w:rPr>
                <w:b w:val="false"/>
                <w:bCs w:val="false"/>
                <w:color w:val="1c2230"/>
                <w:sz w:val="19"/>
                <w:szCs w:val="19"/>
              </w:rPr>
              <w:t xml:space="preserve">29 / 30</w:t>
            </w:r>
          </w:p>
        </w:tc>
        <w:tc>
          <w:tcPr>
            <w:tcW w:type="dxa" w:w="1600"/>
            <w:shd w:fill="f2f4f8" w:val="clear"/>
            <w:tcMar>
              <w:top w:type="dxa" w:w="80"/>
              <w:left w:type="dxa" w:w="100"/>
              <w:bottom w:type="dxa" w:w="80"/>
              <w:right w:type="dxa" w:w="100"/>
            </w:tcMar>
          </w:tcPr>
          <w:p>
            <w:r>
              <w:rPr>
                <w:b w:val="false"/>
                <w:bCs w:val="false"/>
                <w:color w:val="1c2230"/>
                <w:sz w:val="19"/>
                <w:szCs w:val="19"/>
              </w:rPr>
              <w:t xml:space="preserve">96.7%</w:t>
            </w:r>
          </w:p>
        </w:tc>
      </w:tr>
    </w:tbl>
    <w:p>
      <w:pPr>
        <w:spacing w:after="260"/>
      </w:pPr>
      <w:r>
        <w:rPr>
          <w:i/>
          <w:iCs/>
          <w:color w:val="5b6478"/>
          <w:sz w:val="19"/>
          <w:szCs w:val="19"/>
        </w:rPr>
        <w:t xml:space="preserve">Table 1. Full 30-case benchmark result. "Exact-or-legitimate-alternative" credits a diagnosis when it matches a benchmark case's pre-registered alternative label (see §9) — a small number of cases were designed to be genuinely ambiguous between two adjacent taxonomy categories, specifically to test whether the Adversarial Critic surfaces that ambiguity.</w:t>
      </w:r>
    </w:p>
    <w:p>
      <w:pPr>
        <w:spacing w:after="160" w:line="276"/>
      </w:pPr>
      <w:r>
        <w:rPr>
          <w:b w:val="false"/>
          <w:bCs w:val="false"/>
          <w:i w:val="false"/>
          <w:iCs w:val="false"/>
        </w:rPr>
        <w:t xml:space="preserve">The initial run of the pipeline tied the baseline exactly. Rather than reporting that tie as the final result, the project traced it to one specific, reproducible cause — a bias in the Reasoning Analyzer's handling of sign errors — fixed it with one targeted prompt change, and re-measured. The fix worked exactly as predicted, with zero regressions on the other 27 cases, turning the tie into a 93.3%-vs-86.7% lead. That v1-to-v2 loop (§8) is presented as the project's clearest evidence of real prompt engineering, as distinct from "an LLM wrapped in more LLMs."</w:t>
      </w:r>
    </w:p>
    <w:p>
      <w:r>
        <w:br w:type="page"/>
      </w:r>
    </w:p>
    <w:p>
      <w:pPr>
        <w:pStyle w:val="Heading1"/>
        <w:spacing w:after="200" w:before="400"/>
      </w:pPr>
      <w:r>
        <w:t xml:space="preserve">1. Problem &amp; Motivation</w:t>
      </w:r>
    </w:p>
    <w:p>
      <w:pPr>
        <w:spacing w:after="160" w:line="276"/>
      </w:pPr>
      <w:r>
        <w:rPr>
          <w:b w:val="false"/>
          <w:bCs w:val="false"/>
          <w:i w:val="false"/>
          <w:iCs w:val="false"/>
        </w:rPr>
        <w:t xml:space="preserve">Generic LLM tutors follow a shallow loop: a student gives a wrong answer, and the model explains the correct method. That loop never asks the one question a human tutor asks first — why did the student think their (wrong) approach was right? Two students can arrive at the exact same wrong answer through completely different failures: one may have made an honest arithmetic slip while using entirely valid reasoning; another may hold a genuine conceptual misunderstanding that will resurface on the next problem, and the one after that, unless it is specifically addressed.</w:t>
      </w:r>
    </w:p>
    <w:p>
      <w:pPr>
        <w:spacing w:after="160" w:line="276"/>
      </w:pPr>
      <w:r>
        <w:rPr>
          <w:b w:val="false"/>
          <w:bCs w:val="false"/>
          <w:i w:val="false"/>
          <w:iCs w:val="false"/>
        </w:rPr>
        <w:t xml:space="preserve">A canonical example from this project's design brief: given 2x + 6 = 14, a student answers x = 10. A generic tutor says "that's incorrect, subtract 6 and divide by 2, x = 4." That response is correct but diagnostically empty — it doesn't identify that the student added 6 instead of subtracting it (an inverse-operation error), doesn't verify whether that was a one-off slip or a standing misconception, and gives the student nothing to reason through themselves.</w:t>
      </w:r>
    </w:p>
    <w:p>
      <w:pPr>
        <w:spacing w:after="160" w:line="276"/>
      </w:pPr>
      <w:r>
        <w:rPr>
          <w:b w:val="false"/>
          <w:bCs w:val="false"/>
          <w:i w:val="false"/>
          <w:iCs w:val="false"/>
        </w:rPr>
        <w:t xml:space="preserve">Bluetute's design goal was not to build "an AI tutor with more agents" — it was to build a pipeline whose separate stages could each be independently measured, so that claims about its usefulness rest on benchmark evidence rather than on how many LLM calls it makes.</w:t>
      </w:r>
    </w:p>
    <w:p>
      <w:pPr>
        <w:pStyle w:val="Heading1"/>
        <w:spacing w:after="200" w:before="400"/>
      </w:pPr>
      <w:r>
        <w:t xml:space="preserve">2. System Architecture</w:t>
      </w:r>
    </w:p>
    <w:p>
      <w:pPr>
        <w:spacing w:after="160" w:line="276"/>
      </w:pPr>
      <w:r>
        <w:rPr>
          <w:b w:val="false"/>
          <w:bCs w:val="false"/>
          <w:i w:val="false"/>
          <w:iCs w:val="false"/>
        </w:rPr>
        <w:t xml:space="preserve">Bluetute is a six-node diagnostic chain, followed by an intervention chain and an adaptive feedback loop. Every node has a narrow, independently-verifiable job and a typed input/output contract (Pydantic models — see §4).</w:t>
      </w:r>
    </w:p>
    <w:p>
      <w:pPr>
        <w:pStyle w:val="Heading3"/>
        <w:spacing w:after="100" w:before="220"/>
      </w:pPr>
      <w:r>
        <w:t xml:space="preserve">Diagnostic chain (measured in this report)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2600"/>
        <w:gridCol w:w="3700"/>
      </w:tblGrid>
      <w:tr>
        <w:trPr>
          <w:tblHeader/>
        </w:trPr>
        <w:tc>
          <w:tcPr>
            <w:tcW w:type="dxa" w:w="500"/>
            <w:shd w:fill="1c2230" w:val="clear"/>
            <w:tcMar>
              <w:top w:type="dxa" w:w="80"/>
              <w:left w:type="dxa" w:w="100"/>
              <w:bottom w:type="dxa" w:w="80"/>
              <w:right w:type="dxa" w:w="100"/>
            </w:tcMar>
          </w:tcPr>
          <w:p>
            <w:r>
              <w:rPr>
                <w:b/>
                <w:bCs/>
                <w:color w:val="ffffff"/>
                <w:sz w:val="19"/>
                <w:szCs w:val="19"/>
              </w:rPr>
              <w:t xml:space="preserve">#</w:t>
            </w:r>
          </w:p>
        </w:tc>
        <w:tc>
          <w:tcPr>
            <w:tcW w:type="dxa" w:w="2600"/>
            <w:shd w:fill="1c2230" w:val="clear"/>
            <w:tcMar>
              <w:top w:type="dxa" w:w="80"/>
              <w:left w:type="dxa" w:w="100"/>
              <w:bottom w:type="dxa" w:w="80"/>
              <w:right w:type="dxa" w:w="100"/>
            </w:tcMar>
          </w:tcPr>
          <w:p>
            <w:r>
              <w:rPr>
                <w:b/>
                <w:bCs/>
                <w:color w:val="ffffff"/>
                <w:sz w:val="19"/>
                <w:szCs w:val="19"/>
              </w:rPr>
              <w:t xml:space="preserve">Node</w:t>
            </w:r>
          </w:p>
        </w:tc>
        <w:tc>
          <w:tcPr>
            <w:tcW w:type="dxa" w:w="2600"/>
            <w:shd w:fill="1c2230" w:val="clear"/>
            <w:tcMar>
              <w:top w:type="dxa" w:w="80"/>
              <w:left w:type="dxa" w:w="100"/>
              <w:bottom w:type="dxa" w:w="80"/>
              <w:right w:type="dxa" w:w="100"/>
            </w:tcMar>
          </w:tcPr>
          <w:p>
            <w:r>
              <w:rPr>
                <w:b/>
                <w:bCs/>
                <w:color w:val="ffffff"/>
                <w:sz w:val="19"/>
                <w:szCs w:val="19"/>
              </w:rPr>
              <w:t xml:space="preserve">Model tier</w:t>
            </w:r>
          </w:p>
        </w:tc>
        <w:tc>
          <w:tcPr>
            <w:tcW w:type="dxa" w:w="3700"/>
            <w:shd w:fill="1c2230" w:val="clear"/>
            <w:tcMar>
              <w:top w:type="dxa" w:w="80"/>
              <w:left w:type="dxa" w:w="100"/>
              <w:bottom w:type="dxa" w:w="80"/>
              <w:right w:type="dxa" w:w="100"/>
            </w:tcMar>
          </w:tcPr>
          <w:p>
            <w:r>
              <w:rPr>
                <w:b/>
                <w:bCs/>
                <w:color w:val="ffffff"/>
                <w:sz w:val="19"/>
                <w:szCs w:val="19"/>
              </w:rPr>
              <w:t xml:space="preserve">Job</w:t>
            </w:r>
          </w:p>
        </w:tc>
      </w:tr>
      <w:tr>
        <w:tc>
          <w:tcPr>
            <w:tcW w:type="dxa" w:w="500"/>
            <w:tcMar>
              <w:top w:type="dxa" w:w="80"/>
              <w:left w:type="dxa" w:w="100"/>
              <w:bottom w:type="dxa" w:w="80"/>
              <w:right w:type="dxa" w:w="100"/>
            </w:tcMar>
          </w:tcPr>
          <w:p>
            <w:r>
              <w:rPr>
                <w:b w:val="false"/>
                <w:bCs w:val="false"/>
                <w:color w:val="1c2230"/>
                <w:sz w:val="19"/>
                <w:szCs w:val="19"/>
              </w:rPr>
              <w:t xml:space="preserve">1</w:t>
            </w:r>
          </w:p>
        </w:tc>
        <w:tc>
          <w:tcPr>
            <w:tcW w:type="dxa" w:w="2600"/>
            <w:tcMar>
              <w:top w:type="dxa" w:w="80"/>
              <w:left w:type="dxa" w:w="100"/>
              <w:bottom w:type="dxa" w:w="80"/>
              <w:right w:type="dxa" w:w="100"/>
            </w:tcMar>
          </w:tcPr>
          <w:p>
            <w:r>
              <w:rPr>
                <w:b w:val="false"/>
                <w:bCs w:val="false"/>
                <w:color w:val="1c2230"/>
                <w:sz w:val="19"/>
                <w:szCs w:val="19"/>
              </w:rPr>
              <w:t xml:space="preserve">Input Parser</w:t>
            </w:r>
          </w:p>
        </w:tc>
        <w:tc>
          <w:tcPr>
            <w:tcW w:type="dxa" w:w="2600"/>
            <w:tcMar>
              <w:top w:type="dxa" w:w="80"/>
              <w:left w:type="dxa" w:w="100"/>
              <w:bottom w:type="dxa" w:w="80"/>
              <w:right w:type="dxa" w:w="100"/>
            </w:tcMar>
          </w:tcPr>
          <w:p>
            <w:r>
              <w:rPr>
                <w:b w:val="false"/>
                <w:bCs w:val="false"/>
                <w:color w:val="1c2230"/>
                <w:sz w:val="19"/>
                <w:szCs w:val="19"/>
              </w:rPr>
              <w:t xml:space="preserve">small/cheap (e.g. Gemini Flash)</w:t>
            </w:r>
          </w:p>
        </w:tc>
        <w:tc>
          <w:tcPr>
            <w:tcW w:type="dxa" w:w="3700"/>
            <w:tcMar>
              <w:top w:type="dxa" w:w="80"/>
              <w:left w:type="dxa" w:w="100"/>
              <w:bottom w:type="dxa" w:w="80"/>
              <w:right w:type="dxa" w:w="100"/>
            </w:tcMar>
          </w:tcPr>
          <w:p>
            <w:r>
              <w:rPr>
                <w:b w:val="false"/>
                <w:bCs w:val="false"/>
                <w:color w:val="1c2230"/>
                <w:sz w:val="19"/>
                <w:szCs w:val="19"/>
              </w:rPr>
              <w:t xml:space="preserve">Structures raw text into typed fields.</w:t>
            </w:r>
          </w:p>
        </w:tc>
      </w:tr>
      <w:tr>
        <w:tc>
          <w:tcPr>
            <w:tcW w:type="dxa" w:w="500"/>
            <w:shd w:fill="f2f4f8" w:val="clear"/>
            <w:tcMar>
              <w:top w:type="dxa" w:w="80"/>
              <w:left w:type="dxa" w:w="100"/>
              <w:bottom w:type="dxa" w:w="80"/>
              <w:right w:type="dxa" w:w="100"/>
            </w:tcMar>
          </w:tcPr>
          <w:p>
            <w:r>
              <w:rPr>
                <w:b w:val="false"/>
                <w:bCs w:val="false"/>
                <w:color w:val="1c2230"/>
                <w:sz w:val="19"/>
                <w:szCs w:val="19"/>
              </w:rPr>
              <w:t xml:space="preserve">2</w:t>
            </w:r>
          </w:p>
        </w:tc>
        <w:tc>
          <w:tcPr>
            <w:tcW w:type="dxa" w:w="2600"/>
            <w:shd w:fill="f2f4f8" w:val="clear"/>
            <w:tcMar>
              <w:top w:type="dxa" w:w="80"/>
              <w:left w:type="dxa" w:w="100"/>
              <w:bottom w:type="dxa" w:w="80"/>
              <w:right w:type="dxa" w:w="100"/>
            </w:tcMar>
          </w:tcPr>
          <w:p>
            <w:r>
              <w:rPr>
                <w:b w:val="false"/>
                <w:bCs w:val="false"/>
                <w:color w:val="1c2230"/>
                <w:sz w:val="19"/>
                <w:szCs w:val="19"/>
              </w:rPr>
              <w:t xml:space="preserve">Reasoning Analyzer</w:t>
            </w:r>
          </w:p>
        </w:tc>
        <w:tc>
          <w:tcPr>
            <w:tcW w:type="dxa" w:w="2600"/>
            <w:shd w:fill="f2f4f8" w:val="clear"/>
            <w:tcMar>
              <w:top w:type="dxa" w:w="80"/>
              <w:left w:type="dxa" w:w="100"/>
              <w:bottom w:type="dxa" w:w="80"/>
              <w:right w:type="dxa" w:w="100"/>
            </w:tcMar>
          </w:tcPr>
          <w:p>
            <w:r>
              <w:rPr>
                <w:b w:val="false"/>
                <w:bCs w:val="false"/>
                <w:color w:val="1c2230"/>
                <w:sz w:val="19"/>
                <w:szCs w:val="19"/>
              </w:rPr>
              <w:t xml:space="preserve">strong reasoner (Gemini Pro-tier / Claude)</w:t>
            </w:r>
          </w:p>
        </w:tc>
        <w:tc>
          <w:tcPr>
            <w:tcW w:type="dxa" w:w="3700"/>
            <w:shd w:fill="f2f4f8" w:val="clear"/>
            <w:tcMar>
              <w:top w:type="dxa" w:w="80"/>
              <w:left w:type="dxa" w:w="100"/>
              <w:bottom w:type="dxa" w:w="80"/>
              <w:right w:type="dxa" w:w="100"/>
            </w:tcMar>
          </w:tcPr>
          <w:p>
            <w:r>
              <w:rPr>
                <w:b w:val="false"/>
                <w:bCs w:val="false"/>
                <w:color w:val="1c2230"/>
                <w:sz w:val="19"/>
                <w:szCs w:val="19"/>
              </w:rPr>
              <w:t xml:space="preserve">Verifies each reasoning step; classifies error_type as CONCEPTUAL, EXECUTION, INCOMPLETE, or UNKNOWN.</w:t>
            </w:r>
          </w:p>
        </w:tc>
      </w:tr>
      <w:tr>
        <w:tc>
          <w:tcPr>
            <w:tcW w:type="dxa" w:w="500"/>
            <w:tcMar>
              <w:top w:type="dxa" w:w="80"/>
              <w:left w:type="dxa" w:w="100"/>
              <w:bottom w:type="dxa" w:w="80"/>
              <w:right w:type="dxa" w:w="100"/>
            </w:tcMar>
          </w:tcPr>
          <w:p>
            <w:r>
              <w:rPr>
                <w:b w:val="false"/>
                <w:bCs w:val="false"/>
                <w:color w:val="1c2230"/>
                <w:sz w:val="19"/>
                <w:szCs w:val="19"/>
              </w:rPr>
              <w:t xml:space="preserve">3</w:t>
            </w:r>
          </w:p>
        </w:tc>
        <w:tc>
          <w:tcPr>
            <w:tcW w:type="dxa" w:w="2600"/>
            <w:tcMar>
              <w:top w:type="dxa" w:w="80"/>
              <w:left w:type="dxa" w:w="100"/>
              <w:bottom w:type="dxa" w:w="80"/>
              <w:right w:type="dxa" w:w="100"/>
            </w:tcMar>
          </w:tcPr>
          <w:p>
            <w:r>
              <w:rPr>
                <w:b w:val="false"/>
                <w:bCs w:val="false"/>
                <w:color w:val="1c2230"/>
                <w:sz w:val="19"/>
                <w:szCs w:val="19"/>
              </w:rPr>
              <w:t xml:space="preserve">Misconception Classifier</w:t>
            </w:r>
          </w:p>
        </w:tc>
        <w:tc>
          <w:tcPr>
            <w:tcW w:type="dxa" w:w="2600"/>
            <w:tcMar>
              <w:top w:type="dxa" w:w="80"/>
              <w:left w:type="dxa" w:w="100"/>
              <w:bottom w:type="dxa" w:w="80"/>
              <w:right w:type="dxa" w:w="100"/>
            </w:tcMar>
          </w:tcPr>
          <w:p>
            <w:r>
              <w:rPr>
                <w:b w:val="false"/>
                <w:bCs w:val="false"/>
                <w:color w:val="1c2230"/>
                <w:sz w:val="19"/>
                <w:szCs w:val="19"/>
              </w:rPr>
              <w:t xml:space="preserve">mid-tier reasoner</w:t>
            </w:r>
          </w:p>
        </w:tc>
        <w:tc>
          <w:tcPr>
            <w:tcW w:type="dxa" w:w="3700"/>
            <w:tcMar>
              <w:top w:type="dxa" w:w="80"/>
              <w:left w:type="dxa" w:w="100"/>
              <w:bottom w:type="dxa" w:w="80"/>
              <w:right w:type="dxa" w:w="100"/>
            </w:tcMar>
          </w:tcPr>
          <w:p>
            <w:r>
              <w:rPr>
                <w:b w:val="false"/>
                <w:bCs w:val="false"/>
                <w:color w:val="1c2230"/>
                <w:sz w:val="19"/>
                <w:szCs w:val="19"/>
              </w:rPr>
              <w:t xml:space="preserve">Selects one id from the fixed taxonomy — only runs when Node 2 says CONCEPTUAL.</w:t>
            </w:r>
          </w:p>
        </w:tc>
      </w:tr>
      <w:tr>
        <w:tc>
          <w:tcPr>
            <w:tcW w:type="dxa" w:w="500"/>
            <w:shd w:fill="f2f4f8" w:val="clear"/>
            <w:tcMar>
              <w:top w:type="dxa" w:w="80"/>
              <w:left w:type="dxa" w:w="100"/>
              <w:bottom w:type="dxa" w:w="80"/>
              <w:right w:type="dxa" w:w="100"/>
            </w:tcMar>
          </w:tcPr>
          <w:p>
            <w:r>
              <w:rPr>
                <w:b w:val="false"/>
                <w:bCs w:val="false"/>
                <w:color w:val="1c2230"/>
                <w:sz w:val="19"/>
                <w:szCs w:val="19"/>
              </w:rPr>
              <w:t xml:space="preserve">4</w:t>
            </w:r>
          </w:p>
        </w:tc>
        <w:tc>
          <w:tcPr>
            <w:tcW w:type="dxa" w:w="2600"/>
            <w:shd w:fill="f2f4f8" w:val="clear"/>
            <w:tcMar>
              <w:top w:type="dxa" w:w="80"/>
              <w:left w:type="dxa" w:w="100"/>
              <w:bottom w:type="dxa" w:w="80"/>
              <w:right w:type="dxa" w:w="100"/>
            </w:tcMar>
          </w:tcPr>
          <w:p>
            <w:r>
              <w:rPr>
                <w:b w:val="false"/>
                <w:bCs w:val="false"/>
                <w:color w:val="1c2230"/>
                <w:sz w:val="19"/>
                <w:szCs w:val="19"/>
              </w:rPr>
              <w:t xml:space="preserve">Adversarial Critic</w:t>
            </w:r>
          </w:p>
        </w:tc>
        <w:tc>
          <w:tcPr>
            <w:tcW w:type="dxa" w:w="2600"/>
            <w:shd w:fill="f2f4f8" w:val="clear"/>
            <w:tcMar>
              <w:top w:type="dxa" w:w="80"/>
              <w:left w:type="dxa" w:w="100"/>
              <w:bottom w:type="dxa" w:w="80"/>
              <w:right w:type="dxa" w:w="100"/>
            </w:tcMar>
          </w:tcPr>
          <w:p>
            <w:r>
              <w:rPr>
                <w:b w:val="false"/>
                <w:bCs w:val="false"/>
                <w:color w:val="1c2230"/>
                <w:sz w:val="19"/>
                <w:szCs w:val="19"/>
              </w:rPr>
              <w:t xml:space="preserve">different model/provider (diversity)</w:t>
            </w:r>
          </w:p>
        </w:tc>
        <w:tc>
          <w:tcPr>
            <w:tcW w:type="dxa" w:w="3700"/>
            <w:shd w:fill="f2f4f8" w:val="clear"/>
            <w:tcMar>
              <w:top w:type="dxa" w:w="80"/>
              <w:left w:type="dxa" w:w="100"/>
              <w:bottom w:type="dxa" w:w="80"/>
              <w:right w:type="dxa" w:w="100"/>
            </w:tcMar>
          </w:tcPr>
          <w:p>
            <w:r>
              <w:rPr>
                <w:b w:val="false"/>
                <w:bCs w:val="false"/>
                <w:color w:val="1c2230"/>
                <w:sz w:val="19"/>
                <w:szCs w:val="19"/>
              </w:rPr>
              <w:t xml:space="preserve">Actively tries to disprove the diagnosis; proposes alternative hypotheses with for/against evidence.</w:t>
            </w:r>
          </w:p>
        </w:tc>
      </w:tr>
      <w:tr>
        <w:tc>
          <w:tcPr>
            <w:tcW w:type="dxa" w:w="500"/>
            <w:tcMar>
              <w:top w:type="dxa" w:w="80"/>
              <w:left w:type="dxa" w:w="100"/>
              <w:bottom w:type="dxa" w:w="80"/>
              <w:right w:type="dxa" w:w="100"/>
            </w:tcMar>
          </w:tcPr>
          <w:p>
            <w:r>
              <w:rPr>
                <w:b w:val="false"/>
                <w:bCs w:val="false"/>
                <w:color w:val="1c2230"/>
                <w:sz w:val="19"/>
                <w:szCs w:val="19"/>
              </w:rPr>
              <w:t xml:space="preserve">5</w:t>
            </w:r>
          </w:p>
        </w:tc>
        <w:tc>
          <w:tcPr>
            <w:tcW w:type="dxa" w:w="2600"/>
            <w:tcMar>
              <w:top w:type="dxa" w:w="80"/>
              <w:left w:type="dxa" w:w="100"/>
              <w:bottom w:type="dxa" w:w="80"/>
              <w:right w:type="dxa" w:w="100"/>
            </w:tcMar>
          </w:tcPr>
          <w:p>
            <w:r>
              <w:rPr>
                <w:b w:val="false"/>
                <w:bCs w:val="false"/>
                <w:color w:val="1c2230"/>
                <w:sz w:val="19"/>
                <w:szCs w:val="19"/>
              </w:rPr>
              <w:t xml:space="preserve">Diagnosis Selector</w:t>
            </w:r>
          </w:p>
        </w:tc>
        <w:tc>
          <w:tcPr>
            <w:tcW w:type="dxa" w:w="2600"/>
            <w:tcMar>
              <w:top w:type="dxa" w:w="80"/>
              <w:left w:type="dxa" w:w="100"/>
              <w:bottom w:type="dxa" w:w="80"/>
              <w:right w:type="dxa" w:w="100"/>
            </w:tcMar>
          </w:tcPr>
          <w:p>
            <w:r>
              <w:rPr>
                <w:b w:val="false"/>
                <w:bCs w:val="false"/>
                <w:color w:val="1c2230"/>
                <w:sz w:val="19"/>
                <w:szCs w:val="19"/>
              </w:rPr>
              <w:t xml:space="preserve">mid-tier reasoner</w:t>
            </w:r>
          </w:p>
        </w:tc>
        <w:tc>
          <w:tcPr>
            <w:tcW w:type="dxa" w:w="3700"/>
            <w:tcMar>
              <w:top w:type="dxa" w:w="80"/>
              <w:left w:type="dxa" w:w="100"/>
              <w:bottom w:type="dxa" w:w="80"/>
              <w:right w:type="dxa" w:w="100"/>
            </w:tcMar>
          </w:tcPr>
          <w:p>
            <w:r>
              <w:rPr>
                <w:b w:val="false"/>
                <w:bCs w:val="false"/>
                <w:color w:val="1c2230"/>
                <w:sz w:val="19"/>
                <w:szCs w:val="19"/>
              </w:rPr>
              <w:t xml:space="preserve">Reconciles classification + critique into one final diagnosis; gates whether intervention is even appropriate.</w:t>
            </w:r>
          </w:p>
        </w:tc>
      </w:tr>
    </w:tbl>
    <w:p>
      <w:pPr>
        <w:spacing w:after="260"/>
      </w:pPr>
      <w:r>
        <w:rPr>
          <w:i/>
          <w:iCs/>
          <w:color w:val="5b6478"/>
          <w:sz w:val="19"/>
          <w:szCs w:val="19"/>
        </w:rPr>
        <w:t xml:space="preserve">Table 2. The five diagnostic nodes benchmarked in this report. Model-tier recommendations are documented per-node in the prompt source files; the actual benchmark used one consistent Gemini model across the baseline and every node for a fair comparison.</w:t>
      </w:r>
    </w:p>
    <w:p>
      <w:pPr>
        <w:pStyle w:val="Heading3"/>
        <w:spacing w:after="100" w:before="220"/>
      </w:pPr>
      <w:r>
        <w:t xml:space="preserve">Intervention &amp; feedback chain (designed, prompts written; not yet benchmarked)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2600"/>
        <w:gridCol w:w="3700"/>
      </w:tblGrid>
      <w:tr>
        <w:trPr>
          <w:tblHeader/>
        </w:trPr>
        <w:tc>
          <w:tcPr>
            <w:tcW w:type="dxa" w:w="500"/>
            <w:shd w:fill="1c2230" w:val="clear"/>
            <w:tcMar>
              <w:top w:type="dxa" w:w="80"/>
              <w:left w:type="dxa" w:w="100"/>
              <w:bottom w:type="dxa" w:w="80"/>
              <w:right w:type="dxa" w:w="100"/>
            </w:tcMar>
          </w:tcPr>
          <w:p>
            <w:r>
              <w:rPr>
                <w:b/>
                <w:bCs/>
                <w:color w:val="ffffff"/>
                <w:sz w:val="19"/>
                <w:szCs w:val="19"/>
              </w:rPr>
              <w:t xml:space="preserve">#</w:t>
            </w:r>
          </w:p>
        </w:tc>
        <w:tc>
          <w:tcPr>
            <w:tcW w:type="dxa" w:w="2600"/>
            <w:shd w:fill="1c2230" w:val="clear"/>
            <w:tcMar>
              <w:top w:type="dxa" w:w="80"/>
              <w:left w:type="dxa" w:w="100"/>
              <w:bottom w:type="dxa" w:w="80"/>
              <w:right w:type="dxa" w:w="100"/>
            </w:tcMar>
          </w:tcPr>
          <w:p>
            <w:r>
              <w:rPr>
                <w:b/>
                <w:bCs/>
                <w:color w:val="ffffff"/>
                <w:sz w:val="19"/>
                <w:szCs w:val="19"/>
              </w:rPr>
              <w:t xml:space="preserve">Node</w:t>
            </w:r>
          </w:p>
        </w:tc>
        <w:tc>
          <w:tcPr>
            <w:tcW w:type="dxa" w:w="2600"/>
            <w:shd w:fill="1c2230" w:val="clear"/>
            <w:tcMar>
              <w:top w:type="dxa" w:w="80"/>
              <w:left w:type="dxa" w:w="100"/>
              <w:bottom w:type="dxa" w:w="80"/>
              <w:right w:type="dxa" w:w="100"/>
            </w:tcMar>
          </w:tcPr>
          <w:p>
            <w:r>
              <w:rPr>
                <w:b/>
                <w:bCs/>
                <w:color w:val="ffffff"/>
                <w:sz w:val="19"/>
                <w:szCs w:val="19"/>
              </w:rPr>
              <w:t xml:space="preserve">Model tier</w:t>
            </w:r>
          </w:p>
        </w:tc>
        <w:tc>
          <w:tcPr>
            <w:tcW w:type="dxa" w:w="3700"/>
            <w:shd w:fill="1c2230" w:val="clear"/>
            <w:tcMar>
              <w:top w:type="dxa" w:w="80"/>
              <w:left w:type="dxa" w:w="100"/>
              <w:bottom w:type="dxa" w:w="80"/>
              <w:right w:type="dxa" w:w="100"/>
            </w:tcMar>
          </w:tcPr>
          <w:p>
            <w:r>
              <w:rPr>
                <w:b/>
                <w:bCs/>
                <w:color w:val="ffffff"/>
                <w:sz w:val="19"/>
                <w:szCs w:val="19"/>
              </w:rPr>
              <w:t xml:space="preserve">Job</w:t>
            </w:r>
          </w:p>
        </w:tc>
      </w:tr>
      <w:tr>
        <w:tc>
          <w:tcPr>
            <w:tcW w:type="dxa" w:w="500"/>
            <w:tcMar>
              <w:top w:type="dxa" w:w="80"/>
              <w:left w:type="dxa" w:w="100"/>
              <w:bottom w:type="dxa" w:w="80"/>
              <w:right w:type="dxa" w:w="100"/>
            </w:tcMar>
          </w:tcPr>
          <w:p>
            <w:r>
              <w:rPr>
                <w:b w:val="false"/>
                <w:bCs w:val="false"/>
                <w:color w:val="1c2230"/>
                <w:sz w:val="19"/>
                <w:szCs w:val="19"/>
              </w:rPr>
              <w:t xml:space="preserve">6</w:t>
            </w:r>
          </w:p>
        </w:tc>
        <w:tc>
          <w:tcPr>
            <w:tcW w:type="dxa" w:w="2600"/>
            <w:tcMar>
              <w:top w:type="dxa" w:w="80"/>
              <w:left w:type="dxa" w:w="100"/>
              <w:bottom w:type="dxa" w:w="80"/>
              <w:right w:type="dxa" w:w="100"/>
            </w:tcMar>
          </w:tcPr>
          <w:p>
            <w:r>
              <w:rPr>
                <w:b w:val="false"/>
                <w:bCs w:val="false"/>
                <w:color w:val="1c2230"/>
                <w:sz w:val="19"/>
                <w:szCs w:val="19"/>
              </w:rPr>
              <w:t xml:space="preserve">Intervention Planner</w:t>
            </w:r>
          </w:p>
        </w:tc>
        <w:tc>
          <w:tcPr>
            <w:tcW w:type="dxa" w:w="2600"/>
            <w:tcMar>
              <w:top w:type="dxa" w:w="80"/>
              <w:left w:type="dxa" w:w="100"/>
              <w:bottom w:type="dxa" w:w="80"/>
              <w:right w:type="dxa" w:w="100"/>
            </w:tcMar>
          </w:tcPr>
          <w:p>
            <w:r>
              <w:rPr>
                <w:b w:val="false"/>
                <w:bCs w:val="false"/>
                <w:color w:val="1c2230"/>
                <w:sz w:val="19"/>
                <w:szCs w:val="19"/>
              </w:rPr>
              <w:t xml:space="preserve">mid-tier (policy task)</w:t>
            </w:r>
          </w:p>
        </w:tc>
        <w:tc>
          <w:tcPr>
            <w:tcW w:type="dxa" w:w="3700"/>
            <w:tcMar>
              <w:top w:type="dxa" w:w="80"/>
              <w:left w:type="dxa" w:w="100"/>
              <w:bottom w:type="dxa" w:w="80"/>
              <w:right w:type="dxa" w:w="100"/>
            </w:tcMar>
          </w:tcPr>
          <w:p>
            <w:r>
              <w:rPr>
                <w:b w:val="false"/>
                <w:bCs w:val="false"/>
                <w:color w:val="1c2230"/>
                <w:sz w:val="19"/>
                <w:szCs w:val="19"/>
              </w:rPr>
              <w:t xml:space="preserve">Chooses a pedagogical strategy: Socratic question, hint, counterexample, simpler example, visual explanation, reteaching, or targeted practice.</w:t>
            </w:r>
          </w:p>
        </w:tc>
      </w:tr>
      <w:tr>
        <w:tc>
          <w:tcPr>
            <w:tcW w:type="dxa" w:w="500"/>
            <w:shd w:fill="f2f4f8" w:val="clear"/>
            <w:tcMar>
              <w:top w:type="dxa" w:w="80"/>
              <w:left w:type="dxa" w:w="100"/>
              <w:bottom w:type="dxa" w:w="80"/>
              <w:right w:type="dxa" w:w="100"/>
            </w:tcMar>
          </w:tcPr>
          <w:p>
            <w:r>
              <w:rPr>
                <w:b w:val="false"/>
                <w:bCs w:val="false"/>
                <w:color w:val="1c2230"/>
                <w:sz w:val="19"/>
                <w:szCs w:val="19"/>
              </w:rPr>
              <w:t xml:space="preserve">7</w:t>
            </w:r>
          </w:p>
        </w:tc>
        <w:tc>
          <w:tcPr>
            <w:tcW w:type="dxa" w:w="2600"/>
            <w:shd w:fill="f2f4f8" w:val="clear"/>
            <w:tcMar>
              <w:top w:type="dxa" w:w="80"/>
              <w:left w:type="dxa" w:w="100"/>
              <w:bottom w:type="dxa" w:w="80"/>
              <w:right w:type="dxa" w:w="100"/>
            </w:tcMar>
          </w:tcPr>
          <w:p>
            <w:r>
              <w:rPr>
                <w:b w:val="false"/>
                <w:bCs w:val="false"/>
                <w:color w:val="1c2230"/>
                <w:sz w:val="19"/>
                <w:szCs w:val="19"/>
              </w:rPr>
              <w:t xml:space="preserve">Socratic Tutor</w:t>
            </w:r>
          </w:p>
        </w:tc>
        <w:tc>
          <w:tcPr>
            <w:tcW w:type="dxa" w:w="2600"/>
            <w:shd w:fill="f2f4f8" w:val="clear"/>
            <w:tcMar>
              <w:top w:type="dxa" w:w="80"/>
              <w:left w:type="dxa" w:w="100"/>
              <w:bottom w:type="dxa" w:w="80"/>
              <w:right w:type="dxa" w:w="100"/>
            </w:tcMar>
          </w:tcPr>
          <w:p>
            <w:r>
              <w:rPr>
                <w:b w:val="false"/>
                <w:bCs w:val="false"/>
                <w:color w:val="1c2230"/>
                <w:sz w:val="19"/>
                <w:szCs w:val="19"/>
              </w:rPr>
              <w:t xml:space="preserve">strong NL generation</w:t>
            </w:r>
          </w:p>
        </w:tc>
        <w:tc>
          <w:tcPr>
            <w:tcW w:type="dxa" w:w="3700"/>
            <w:shd w:fill="f2f4f8" w:val="clear"/>
            <w:tcMar>
              <w:top w:type="dxa" w:w="80"/>
              <w:left w:type="dxa" w:w="100"/>
              <w:bottom w:type="dxa" w:w="80"/>
              <w:right w:type="dxa" w:w="100"/>
            </w:tcMar>
          </w:tcPr>
          <w:p>
            <w:r>
              <w:rPr>
                <w:b w:val="false"/>
                <w:bCs w:val="false"/>
                <w:color w:val="1c2230"/>
                <w:sz w:val="19"/>
                <w:szCs w:val="19"/>
              </w:rPr>
              <w:t xml:space="preserve">Writes the actual student-facing message. Guides toward the fix; never reveals the answer outright.</w:t>
            </w:r>
          </w:p>
        </w:tc>
      </w:tr>
      <w:tr>
        <w:tc>
          <w:tcPr>
            <w:tcW w:type="dxa" w:w="500"/>
            <w:tcMar>
              <w:top w:type="dxa" w:w="80"/>
              <w:left w:type="dxa" w:w="100"/>
              <w:bottom w:type="dxa" w:w="80"/>
              <w:right w:type="dxa" w:w="100"/>
            </w:tcMar>
          </w:tcPr>
          <w:p>
            <w:r>
              <w:rPr>
                <w:b w:val="false"/>
                <w:bCs w:val="false"/>
                <w:color w:val="1c2230"/>
                <w:sz w:val="19"/>
                <w:szCs w:val="19"/>
              </w:rPr>
              <w:t xml:space="preserve">8</w:t>
            </w:r>
          </w:p>
        </w:tc>
        <w:tc>
          <w:tcPr>
            <w:tcW w:type="dxa" w:w="2600"/>
            <w:tcMar>
              <w:top w:type="dxa" w:w="80"/>
              <w:left w:type="dxa" w:w="100"/>
              <w:bottom w:type="dxa" w:w="80"/>
              <w:right w:type="dxa" w:w="100"/>
            </w:tcMar>
          </w:tcPr>
          <w:p>
            <w:r>
              <w:rPr>
                <w:b w:val="false"/>
                <w:bCs w:val="false"/>
                <w:color w:val="1c2230"/>
                <w:sz w:val="19"/>
                <w:szCs w:val="19"/>
              </w:rPr>
              <w:t xml:space="preserve">Response Evaluator</w:t>
            </w:r>
          </w:p>
        </w:tc>
        <w:tc>
          <w:tcPr>
            <w:tcW w:type="dxa" w:w="2600"/>
            <w:tcMar>
              <w:top w:type="dxa" w:w="80"/>
              <w:left w:type="dxa" w:w="100"/>
              <w:bottom w:type="dxa" w:w="80"/>
              <w:right w:type="dxa" w:w="100"/>
            </w:tcMar>
          </w:tcPr>
          <w:p>
            <w:r>
              <w:rPr>
                <w:b w:val="false"/>
                <w:bCs w:val="false"/>
                <w:color w:val="1c2230"/>
                <w:sz w:val="19"/>
                <w:szCs w:val="19"/>
              </w:rPr>
              <w:t xml:space="preserve">mid-tier reasoner</w:t>
            </w:r>
          </w:p>
        </w:tc>
        <w:tc>
          <w:tcPr>
            <w:tcW w:type="dxa" w:w="3700"/>
            <w:tcMar>
              <w:top w:type="dxa" w:w="80"/>
              <w:left w:type="dxa" w:w="100"/>
              <w:bottom w:type="dxa" w:w="80"/>
              <w:right w:type="dxa" w:w="100"/>
            </w:tcMar>
          </w:tcPr>
          <w:p>
            <w:r>
              <w:rPr>
                <w:b w:val="false"/>
                <w:bCs w:val="false"/>
                <w:color w:val="1c2230"/>
                <w:sz w:val="19"/>
                <w:szCs w:val="19"/>
              </w:rPr>
              <w:t xml:space="preserve">After the student responds, determines MISCONCEPTION RESOLVED or MISCONCEPTION PERSISTS, with evidence.</w:t>
            </w:r>
          </w:p>
        </w:tc>
      </w:tr>
    </w:tbl>
    <w:p>
      <w:pPr>
        <w:pStyle w:val="Heading3"/>
        <w:spacing w:after="100" w:before="220"/>
      </w:pPr>
      <w:r>
        <w:t xml:space="preserve">Adaptive loop &amp; Student Model</w:t>
      </w:r>
    </w:p>
    <w:p>
      <w:pPr>
        <w:spacing w:after="160" w:line="276"/>
      </w:pPr>
      <w:r>
        <w:rPr>
          <w:b w:val="false"/>
          <w:bCs w:val="false"/>
          <w:i w:val="false"/>
          <w:iCs w:val="false"/>
        </w:rPr>
        <w:t xml:space="preserve">If the Response Evaluator finds the misconception persists, control returns to the Intervention Planner for a new attempt at the same misconception. If resolved, the system generates a similar or harder problem to test transfer. Every diagnosis and resolution outcome is written to a persistent Student Model (per-topic strength/weakness profile), which is designed to eventually personalize which problems a student sees next — that read path is designed but not yet wired up, and is flagged as such in the diagram rather than presented as built.</w:t>
      </w:r>
    </w:p>
    <w:p>
      <w:pPr>
        <w:spacing w:after="160" w:line="276"/>
      </w:pPr>
      <w:r>
        <w:rPr>
          <w:b w:val="false"/>
          <w:bCs w:val="false"/>
          <w:i w:val="false"/>
          <w:iCs w:val="false"/>
        </w:rPr>
        <w:t xml:space="preserve">The full diagram — every node's model, input, output, and purpose, plus the adaptive loop and Student Model — is provided as a separate file, workflow.png. A reduced copy is embedded below for reference.</w:t>
      </w:r>
    </w:p>
    <w:p>
      <w:pPr>
        <w:spacing w:after="80" w:before="100"/>
        <w:jc w:val="center"/>
      </w:pPr>
      <w:r>
        <w:drawing>
          <wp:inline distT="0" distB="0" distL="0" distR="0">
            <wp:extent cx="4095750" cy="582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95750" cy="5829300"/>
                    </a:xfrm>
                    <a:prstGeom prst="rect">
                      <a:avLst/>
                    </a:prstGeom>
                  </pic:spPr>
                </pic:pic>
              </a:graphicData>
            </a:graphic>
          </wp:inline>
        </w:drawing>
      </w:r>
    </w:p>
    <w:p>
      <w:pPr>
        <w:spacing w:after="260"/>
      </w:pPr>
      <w:r>
        <w:rPr>
          <w:i/>
          <w:iCs/>
          <w:color w:val="5b6478"/>
          <w:sz w:val="19"/>
          <w:szCs w:val="19"/>
        </w:rPr>
        <w:t xml:space="preserve">Figure 1. Bluetute ML workflow. See the accompanying workflow.png for full resolution.</w:t>
      </w:r>
    </w:p>
    <w:p>
      <w:r>
        <w:br w:type="page"/>
      </w:r>
    </w:p>
    <w:p>
      <w:pPr>
        <w:pStyle w:val="Heading1"/>
        <w:spacing w:after="200" w:before="400"/>
      </w:pPr>
      <w:r>
        <w:t xml:space="preserve">3. Misconception Taxonomy</w:t>
      </w:r>
    </w:p>
    <w:p>
      <w:pPr>
        <w:spacing w:after="160" w:line="276"/>
      </w:pPr>
      <w:r>
        <w:rPr>
          <w:b w:val="false"/>
          <w:bCs w:val="false"/>
          <w:i w:val="false"/>
          <w:iCs w:val="false"/>
        </w:rPr>
        <w:t xml:space="preserve">The Misconception Classifier (Node 3) is constrained to select from a fixed, controlled taxonomy — it is never allowed to invent a free-text label. This is enforced in two places: the prompt instructs it explicitly, and every response is validated post-hoc against the taxonomy's id list, with any invented id flagged as a scoring failure (see §7 — the benchmark measured zero invented ids across 23 classification calls).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5200"/>
      </w:tblGrid>
      <w:tr>
        <w:trPr>
          <w:tblHeader/>
        </w:trPr>
        <w:tc>
          <w:tcPr>
            <w:tcW w:type="dxa" w:w="1600"/>
            <w:shd w:fill="1c2230" w:val="clear"/>
            <w:tcMar>
              <w:top w:type="dxa" w:w="80"/>
              <w:left w:type="dxa" w:w="100"/>
              <w:bottom w:type="dxa" w:w="80"/>
              <w:right w:type="dxa" w:w="100"/>
            </w:tcMar>
          </w:tcPr>
          <w:p>
            <w:r>
              <w:rPr>
                <w:b/>
                <w:bCs/>
                <w:color w:val="ffffff"/>
                <w:sz w:val="19"/>
                <w:szCs w:val="19"/>
              </w:rPr>
              <w:t xml:space="preserve">Domain</w:t>
            </w:r>
          </w:p>
        </w:tc>
        <w:tc>
          <w:tcPr>
            <w:tcW w:type="dxa" w:w="2600"/>
            <w:shd w:fill="1c2230" w:val="clear"/>
            <w:tcMar>
              <w:top w:type="dxa" w:w="80"/>
              <w:left w:type="dxa" w:w="100"/>
              <w:bottom w:type="dxa" w:w="80"/>
              <w:right w:type="dxa" w:w="100"/>
            </w:tcMar>
          </w:tcPr>
          <w:p>
            <w:r>
              <w:rPr>
                <w:b/>
                <w:bCs/>
                <w:color w:val="ffffff"/>
                <w:sz w:val="19"/>
                <w:szCs w:val="19"/>
              </w:rPr>
              <w:t xml:space="preserve">id</w:t>
            </w:r>
          </w:p>
        </w:tc>
        <w:tc>
          <w:tcPr>
            <w:tcW w:type="dxa" w:w="5200"/>
            <w:shd w:fill="1c2230" w:val="clear"/>
            <w:tcMar>
              <w:top w:type="dxa" w:w="80"/>
              <w:left w:type="dxa" w:w="100"/>
              <w:bottom w:type="dxa" w:w="80"/>
              <w:right w:type="dxa" w:w="100"/>
            </w:tcMar>
          </w:tcPr>
          <w:p>
            <w:r>
              <w:rPr>
                <w:b/>
                <w:bCs/>
                <w:color w:val="ffffff"/>
                <w:sz w:val="19"/>
                <w:szCs w:val="19"/>
              </w:rPr>
              <w:t xml:space="preserve">Definition</w:t>
            </w:r>
          </w:p>
        </w:tc>
      </w:tr>
      <w:tr>
        <w:tc>
          <w:tcPr>
            <w:tcW w:type="dxa" w:w="1600"/>
            <w:tcMar>
              <w:top w:type="dxa" w:w="80"/>
              <w:left w:type="dxa" w:w="100"/>
              <w:bottom w:type="dxa" w:w="80"/>
              <w:right w:type="dxa" w:w="100"/>
            </w:tcMar>
          </w:tcPr>
          <w:p>
            <w:r>
              <w:rPr>
                <w:b w:val="false"/>
                <w:bCs w:val="false"/>
                <w:color w:val="1c2230"/>
                <w:sz w:val="19"/>
                <w:szCs w:val="19"/>
              </w:rPr>
              <w:t xml:space="preserve">Algebra</w:t>
            </w:r>
          </w:p>
        </w:tc>
        <w:tc>
          <w:tcPr>
            <w:tcW w:type="dxa" w:w="2600"/>
            <w:tcMar>
              <w:top w:type="dxa" w:w="80"/>
              <w:left w:type="dxa" w:w="100"/>
              <w:bottom w:type="dxa" w:w="80"/>
              <w:right w:type="dxa" w:w="100"/>
            </w:tcMar>
          </w:tcPr>
          <w:p>
            <w:r>
              <w:rPr>
                <w:b w:val="false"/>
                <w:bCs w:val="false"/>
                <w:color w:val="1c2230"/>
                <w:sz w:val="19"/>
                <w:szCs w:val="19"/>
              </w:rPr>
              <w:t xml:space="preserve">sign_error</w:t>
            </w:r>
          </w:p>
        </w:tc>
        <w:tc>
          <w:tcPr>
            <w:tcW w:type="dxa" w:w="5200"/>
            <w:tcMar>
              <w:top w:type="dxa" w:w="80"/>
              <w:left w:type="dxa" w:w="100"/>
              <w:bottom w:type="dxa" w:w="80"/>
              <w:right w:type="dxa" w:w="100"/>
            </w:tcMar>
          </w:tcPr>
          <w:p>
            <w:r>
              <w:rPr>
                <w:b w:val="false"/>
                <w:bCs w:val="false"/>
                <w:color w:val="1c2230"/>
                <w:sz w:val="19"/>
                <w:szCs w:val="19"/>
              </w:rPr>
              <w:t xml:space="preserve">Drops, flips, or mishandles a negative sign when moving a term or applying an operation.</w:t>
            </w:r>
          </w:p>
        </w:tc>
      </w:tr>
      <w:tr>
        <w:tc>
          <w:tcPr>
            <w:tcW w:type="dxa" w:w="1600"/>
            <w:shd w:fill="f2f4f8" w:val="clear"/>
            <w:tcMar>
              <w:top w:type="dxa" w:w="80"/>
              <w:left w:type="dxa" w:w="100"/>
              <w:bottom w:type="dxa" w:w="80"/>
              <w:right w:type="dxa" w:w="100"/>
            </w:tcMar>
          </w:tcPr>
          <w:p>
            <w:r>
              <w:rPr>
                <w:b w:val="false"/>
                <w:bCs w:val="false"/>
                <w:color w:val="1c2230"/>
                <w:sz w:val="19"/>
                <w:szCs w:val="19"/>
              </w:rPr>
              <w:t xml:space="preserve">Algebra</w:t>
            </w:r>
          </w:p>
        </w:tc>
        <w:tc>
          <w:tcPr>
            <w:tcW w:type="dxa" w:w="2600"/>
            <w:shd w:fill="f2f4f8" w:val="clear"/>
            <w:tcMar>
              <w:top w:type="dxa" w:w="80"/>
              <w:left w:type="dxa" w:w="100"/>
              <w:bottom w:type="dxa" w:w="80"/>
              <w:right w:type="dxa" w:w="100"/>
            </w:tcMar>
          </w:tcPr>
          <w:p>
            <w:r>
              <w:rPr>
                <w:b w:val="false"/>
                <w:bCs w:val="false"/>
                <w:color w:val="1c2230"/>
                <w:sz w:val="19"/>
                <w:szCs w:val="19"/>
              </w:rPr>
              <w:t xml:space="preserve">distribution_error</w:t>
            </w:r>
          </w:p>
        </w:tc>
        <w:tc>
          <w:tcPr>
            <w:tcW w:type="dxa" w:w="5200"/>
            <w:shd w:fill="f2f4f8" w:val="clear"/>
            <w:tcMar>
              <w:top w:type="dxa" w:w="80"/>
              <w:left w:type="dxa" w:w="100"/>
              <w:bottom w:type="dxa" w:w="80"/>
              <w:right w:type="dxa" w:w="100"/>
            </w:tcMar>
          </w:tcPr>
          <w:p>
            <w:r>
              <w:rPr>
                <w:b w:val="false"/>
                <w:bCs w:val="false"/>
                <w:color w:val="1c2230"/>
                <w:sz w:val="19"/>
                <w:szCs w:val="19"/>
              </w:rPr>
              <w:t xml:space="preserve">Fails to distribute a coefficient/negative sign across all terms inside parentheses, or distributes incorrectly.</w:t>
            </w:r>
          </w:p>
        </w:tc>
      </w:tr>
      <w:tr>
        <w:tc>
          <w:tcPr>
            <w:tcW w:type="dxa" w:w="1600"/>
            <w:tcMar>
              <w:top w:type="dxa" w:w="80"/>
              <w:left w:type="dxa" w:w="100"/>
              <w:bottom w:type="dxa" w:w="80"/>
              <w:right w:type="dxa" w:w="100"/>
            </w:tcMar>
          </w:tcPr>
          <w:p>
            <w:r>
              <w:rPr>
                <w:b w:val="false"/>
                <w:bCs w:val="false"/>
                <w:color w:val="1c2230"/>
                <w:sz w:val="19"/>
                <w:szCs w:val="19"/>
              </w:rPr>
              <w:t xml:space="preserve">Algebra</w:t>
            </w:r>
          </w:p>
        </w:tc>
        <w:tc>
          <w:tcPr>
            <w:tcW w:type="dxa" w:w="2600"/>
            <w:tcMar>
              <w:top w:type="dxa" w:w="80"/>
              <w:left w:type="dxa" w:w="100"/>
              <w:bottom w:type="dxa" w:w="80"/>
              <w:right w:type="dxa" w:w="100"/>
            </w:tcMar>
          </w:tcPr>
          <w:p>
            <w:r>
              <w:rPr>
                <w:b w:val="false"/>
                <w:bCs w:val="false"/>
                <w:color w:val="1c2230"/>
                <w:sz w:val="19"/>
                <w:szCs w:val="19"/>
              </w:rPr>
              <w:t xml:space="preserve">inverse_operation_error</w:t>
            </w:r>
          </w:p>
        </w:tc>
        <w:tc>
          <w:tcPr>
            <w:tcW w:type="dxa" w:w="5200"/>
            <w:tcMar>
              <w:top w:type="dxa" w:w="80"/>
              <w:left w:type="dxa" w:w="100"/>
              <w:bottom w:type="dxa" w:w="80"/>
              <w:right w:type="dxa" w:w="100"/>
            </w:tcMar>
          </w:tcPr>
          <w:p>
            <w:r>
              <w:rPr>
                <w:b w:val="false"/>
                <w:bCs w:val="false"/>
                <w:color w:val="1c2230"/>
                <w:sz w:val="19"/>
                <w:szCs w:val="19"/>
              </w:rPr>
              <w:t xml:space="preserve">Applies the wrong inverse operation to isolate a variable, or applies it to only one side of the equation.</w:t>
            </w:r>
          </w:p>
        </w:tc>
      </w:tr>
      <w:tr>
        <w:tc>
          <w:tcPr>
            <w:tcW w:type="dxa" w:w="1600"/>
            <w:shd w:fill="f2f4f8" w:val="clear"/>
            <w:tcMar>
              <w:top w:type="dxa" w:w="80"/>
              <w:left w:type="dxa" w:w="100"/>
              <w:bottom w:type="dxa" w:w="80"/>
              <w:right w:type="dxa" w:w="100"/>
            </w:tcMar>
          </w:tcPr>
          <w:p>
            <w:r>
              <w:rPr>
                <w:b w:val="false"/>
                <w:bCs w:val="false"/>
                <w:color w:val="1c2230"/>
                <w:sz w:val="19"/>
                <w:szCs w:val="19"/>
              </w:rPr>
              <w:t xml:space="preserve">Algebra</w:t>
            </w:r>
          </w:p>
        </w:tc>
        <w:tc>
          <w:tcPr>
            <w:tcW w:type="dxa" w:w="2600"/>
            <w:shd w:fill="f2f4f8" w:val="clear"/>
            <w:tcMar>
              <w:top w:type="dxa" w:w="80"/>
              <w:left w:type="dxa" w:w="100"/>
              <w:bottom w:type="dxa" w:w="80"/>
              <w:right w:type="dxa" w:w="100"/>
            </w:tcMar>
          </w:tcPr>
          <w:p>
            <w:r>
              <w:rPr>
                <w:b w:val="false"/>
                <w:bCs w:val="false"/>
                <w:color w:val="1c2230"/>
                <w:sz w:val="19"/>
                <w:szCs w:val="19"/>
              </w:rPr>
              <w:t xml:space="preserve">combining_unlike_terms</w:t>
            </w:r>
          </w:p>
        </w:tc>
        <w:tc>
          <w:tcPr>
            <w:tcW w:type="dxa" w:w="5200"/>
            <w:shd w:fill="f2f4f8" w:val="clear"/>
            <w:tcMar>
              <w:top w:type="dxa" w:w="80"/>
              <w:left w:type="dxa" w:w="100"/>
              <w:bottom w:type="dxa" w:w="80"/>
              <w:right w:type="dxa" w:w="100"/>
            </w:tcMar>
          </w:tcPr>
          <w:p>
            <w:r>
              <w:rPr>
                <w:b w:val="false"/>
                <w:bCs w:val="false"/>
                <w:color w:val="1c2230"/>
                <w:sz w:val="19"/>
                <w:szCs w:val="19"/>
              </w:rPr>
              <w:t xml:space="preserve">Adds or subtracts terms that are not like terms (different variables/exponents) as if they were.</w:t>
            </w:r>
          </w:p>
        </w:tc>
      </w:tr>
      <w:tr>
        <w:tc>
          <w:tcPr>
            <w:tcW w:type="dxa" w:w="1600"/>
            <w:tcMar>
              <w:top w:type="dxa" w:w="80"/>
              <w:left w:type="dxa" w:w="100"/>
              <w:bottom w:type="dxa" w:w="80"/>
              <w:right w:type="dxa" w:w="100"/>
            </w:tcMar>
          </w:tcPr>
          <w:p>
            <w:r>
              <w:rPr>
                <w:b w:val="false"/>
                <w:bCs w:val="false"/>
                <w:color w:val="1c2230"/>
                <w:sz w:val="19"/>
                <w:szCs w:val="19"/>
              </w:rPr>
              <w:t xml:space="preserve">Algebra</w:t>
            </w:r>
          </w:p>
        </w:tc>
        <w:tc>
          <w:tcPr>
            <w:tcW w:type="dxa" w:w="2600"/>
            <w:tcMar>
              <w:top w:type="dxa" w:w="80"/>
              <w:left w:type="dxa" w:w="100"/>
              <w:bottom w:type="dxa" w:w="80"/>
              <w:right w:type="dxa" w:w="100"/>
            </w:tcMar>
          </w:tcPr>
          <w:p>
            <w:r>
              <w:rPr>
                <w:b w:val="false"/>
                <w:bCs w:val="false"/>
                <w:color w:val="1c2230"/>
                <w:sz w:val="19"/>
                <w:szCs w:val="19"/>
              </w:rPr>
              <w:t xml:space="preserve">variable_isolation_error</w:t>
            </w:r>
          </w:p>
        </w:tc>
        <w:tc>
          <w:tcPr>
            <w:tcW w:type="dxa" w:w="5200"/>
            <w:tcMar>
              <w:top w:type="dxa" w:w="80"/>
              <w:left w:type="dxa" w:w="100"/>
              <w:bottom w:type="dxa" w:w="80"/>
              <w:right w:type="dxa" w:w="100"/>
            </w:tcMar>
          </w:tcPr>
          <w:p>
            <w:r>
              <w:rPr>
                <w:b w:val="false"/>
                <w:bCs w:val="false"/>
                <w:color w:val="1c2230"/>
                <w:sz w:val="19"/>
                <w:szCs w:val="19"/>
              </w:rPr>
              <w:t xml:space="preserve">Isolates the variable using steps in an invalid order (e.g. multiplies before clearing an additive term).</w:t>
            </w:r>
          </w:p>
        </w:tc>
      </w:tr>
      <w:tr>
        <w:tc>
          <w:tcPr>
            <w:tcW w:type="dxa" w:w="1600"/>
            <w:shd w:fill="f2f4f8" w:val="clear"/>
            <w:tcMar>
              <w:top w:type="dxa" w:w="80"/>
              <w:left w:type="dxa" w:w="100"/>
              <w:bottom w:type="dxa" w:w="80"/>
              <w:right w:type="dxa" w:w="100"/>
            </w:tcMar>
          </w:tcPr>
          <w:p>
            <w:r>
              <w:rPr>
                <w:b w:val="false"/>
                <w:bCs w:val="false"/>
                <w:color w:val="1c2230"/>
                <w:sz w:val="19"/>
                <w:szCs w:val="19"/>
              </w:rPr>
              <w:t xml:space="preserve">Functions</w:t>
            </w:r>
          </w:p>
        </w:tc>
        <w:tc>
          <w:tcPr>
            <w:tcW w:type="dxa" w:w="2600"/>
            <w:shd w:fill="f2f4f8" w:val="clear"/>
            <w:tcMar>
              <w:top w:type="dxa" w:w="80"/>
              <w:left w:type="dxa" w:w="100"/>
              <w:bottom w:type="dxa" w:w="80"/>
              <w:right w:type="dxa" w:w="100"/>
            </w:tcMar>
          </w:tcPr>
          <w:p>
            <w:r>
              <w:rPr>
                <w:b w:val="false"/>
                <w:bCs w:val="false"/>
                <w:color w:val="1c2230"/>
                <w:sz w:val="19"/>
                <w:szCs w:val="19"/>
              </w:rPr>
              <w:t xml:space="preserve">domain_confusion</w:t>
            </w:r>
          </w:p>
        </w:tc>
        <w:tc>
          <w:tcPr>
            <w:tcW w:type="dxa" w:w="5200"/>
            <w:shd w:fill="f2f4f8" w:val="clear"/>
            <w:tcMar>
              <w:top w:type="dxa" w:w="80"/>
              <w:left w:type="dxa" w:w="100"/>
              <w:bottom w:type="dxa" w:w="80"/>
              <w:right w:type="dxa" w:w="100"/>
            </w:tcMar>
          </w:tcPr>
          <w:p>
            <w:r>
              <w:rPr>
                <w:b w:val="false"/>
                <w:bCs w:val="false"/>
                <w:color w:val="1c2230"/>
                <w:sz w:val="19"/>
                <w:szCs w:val="19"/>
              </w:rPr>
              <w:t xml:space="preserve">Confuses valid input values with output values, or misidentifies domain restrictions.</w:t>
            </w:r>
          </w:p>
        </w:tc>
      </w:tr>
      <w:tr>
        <w:tc>
          <w:tcPr>
            <w:tcW w:type="dxa" w:w="1600"/>
            <w:tcMar>
              <w:top w:type="dxa" w:w="80"/>
              <w:left w:type="dxa" w:w="100"/>
              <w:bottom w:type="dxa" w:w="80"/>
              <w:right w:type="dxa" w:w="100"/>
            </w:tcMar>
          </w:tcPr>
          <w:p>
            <w:r>
              <w:rPr>
                <w:b w:val="false"/>
                <w:bCs w:val="false"/>
                <w:color w:val="1c2230"/>
                <w:sz w:val="19"/>
                <w:szCs w:val="19"/>
              </w:rPr>
              <w:t xml:space="preserve">Functions</w:t>
            </w:r>
          </w:p>
        </w:tc>
        <w:tc>
          <w:tcPr>
            <w:tcW w:type="dxa" w:w="2600"/>
            <w:tcMar>
              <w:top w:type="dxa" w:w="80"/>
              <w:left w:type="dxa" w:w="100"/>
              <w:bottom w:type="dxa" w:w="80"/>
              <w:right w:type="dxa" w:w="100"/>
            </w:tcMar>
          </w:tcPr>
          <w:p>
            <w:r>
              <w:rPr>
                <w:b w:val="false"/>
                <w:bCs w:val="false"/>
                <w:color w:val="1c2230"/>
                <w:sz w:val="19"/>
                <w:szCs w:val="19"/>
              </w:rPr>
              <w:t xml:space="preserve">range_confusion</w:t>
            </w:r>
          </w:p>
        </w:tc>
        <w:tc>
          <w:tcPr>
            <w:tcW w:type="dxa" w:w="5200"/>
            <w:tcMar>
              <w:top w:type="dxa" w:w="80"/>
              <w:left w:type="dxa" w:w="100"/>
              <w:bottom w:type="dxa" w:w="80"/>
              <w:right w:type="dxa" w:w="100"/>
            </w:tcMar>
          </w:tcPr>
          <w:p>
            <w:r>
              <w:rPr>
                <w:b w:val="false"/>
                <w:bCs w:val="false"/>
                <w:color w:val="1c2230"/>
                <w:sz w:val="19"/>
                <w:szCs w:val="19"/>
              </w:rPr>
              <w:t xml:space="preserve">Confuses the set of possible outputs with the set of inputs.</w:t>
            </w:r>
          </w:p>
        </w:tc>
      </w:tr>
      <w:tr>
        <w:tc>
          <w:tcPr>
            <w:tcW w:type="dxa" w:w="1600"/>
            <w:shd w:fill="f2f4f8" w:val="clear"/>
            <w:tcMar>
              <w:top w:type="dxa" w:w="80"/>
              <w:left w:type="dxa" w:w="100"/>
              <w:bottom w:type="dxa" w:w="80"/>
              <w:right w:type="dxa" w:w="100"/>
            </w:tcMar>
          </w:tcPr>
          <w:p>
            <w:r>
              <w:rPr>
                <w:b w:val="false"/>
                <w:bCs w:val="false"/>
                <w:color w:val="1c2230"/>
                <w:sz w:val="19"/>
                <w:szCs w:val="19"/>
              </w:rPr>
              <w:t xml:space="preserve">Functions</w:t>
            </w:r>
          </w:p>
        </w:tc>
        <w:tc>
          <w:tcPr>
            <w:tcW w:type="dxa" w:w="2600"/>
            <w:shd w:fill="f2f4f8" w:val="clear"/>
            <w:tcMar>
              <w:top w:type="dxa" w:w="80"/>
              <w:left w:type="dxa" w:w="100"/>
              <w:bottom w:type="dxa" w:w="80"/>
              <w:right w:type="dxa" w:w="100"/>
            </w:tcMar>
          </w:tcPr>
          <w:p>
            <w:r>
              <w:rPr>
                <w:b w:val="false"/>
                <w:bCs w:val="false"/>
                <w:color w:val="1c2230"/>
                <w:sz w:val="19"/>
                <w:szCs w:val="19"/>
              </w:rPr>
              <w:t xml:space="preserve">slope_confusion</w:t>
            </w:r>
          </w:p>
        </w:tc>
        <w:tc>
          <w:tcPr>
            <w:tcW w:type="dxa" w:w="5200"/>
            <w:shd w:fill="f2f4f8" w:val="clear"/>
            <w:tcMar>
              <w:top w:type="dxa" w:w="80"/>
              <w:left w:type="dxa" w:w="100"/>
              <w:bottom w:type="dxa" w:w="80"/>
              <w:right w:type="dxa" w:w="100"/>
            </w:tcMar>
          </w:tcPr>
          <w:p>
            <w:r>
              <w:rPr>
                <w:b w:val="false"/>
                <w:bCs w:val="false"/>
                <w:color w:val="1c2230"/>
                <w:sz w:val="19"/>
                <w:szCs w:val="19"/>
              </w:rPr>
              <w:t xml:space="preserve">Miscomputes/misinterprets slope, e.g. inverts rise/run.</w:t>
            </w:r>
          </w:p>
        </w:tc>
      </w:tr>
      <w:tr>
        <w:tc>
          <w:tcPr>
            <w:tcW w:type="dxa" w:w="1600"/>
            <w:tcMar>
              <w:top w:type="dxa" w:w="80"/>
              <w:left w:type="dxa" w:w="100"/>
              <w:bottom w:type="dxa" w:w="80"/>
              <w:right w:type="dxa" w:w="100"/>
            </w:tcMar>
          </w:tcPr>
          <w:p>
            <w:r>
              <w:rPr>
                <w:b w:val="false"/>
                <w:bCs w:val="false"/>
                <w:color w:val="1c2230"/>
                <w:sz w:val="19"/>
                <w:szCs w:val="19"/>
              </w:rPr>
              <w:t xml:space="preserve">Functions</w:t>
            </w:r>
          </w:p>
        </w:tc>
        <w:tc>
          <w:tcPr>
            <w:tcW w:type="dxa" w:w="2600"/>
            <w:tcMar>
              <w:top w:type="dxa" w:w="80"/>
              <w:left w:type="dxa" w:w="100"/>
              <w:bottom w:type="dxa" w:w="80"/>
              <w:right w:type="dxa" w:w="100"/>
            </w:tcMar>
          </w:tcPr>
          <w:p>
            <w:r>
              <w:rPr>
                <w:b w:val="false"/>
                <w:bCs w:val="false"/>
                <w:color w:val="1c2230"/>
                <w:sz w:val="19"/>
                <w:szCs w:val="19"/>
              </w:rPr>
              <w:t xml:space="preserve">intercept_confusion</w:t>
            </w:r>
          </w:p>
        </w:tc>
        <w:tc>
          <w:tcPr>
            <w:tcW w:type="dxa" w:w="5200"/>
            <w:tcMar>
              <w:top w:type="dxa" w:w="80"/>
              <w:left w:type="dxa" w:w="100"/>
              <w:bottom w:type="dxa" w:w="80"/>
              <w:right w:type="dxa" w:w="100"/>
            </w:tcMar>
          </w:tcPr>
          <w:p>
            <w:r>
              <w:rPr>
                <w:b w:val="false"/>
                <w:bCs w:val="false"/>
                <w:color w:val="1c2230"/>
                <w:sz w:val="19"/>
                <w:szCs w:val="19"/>
              </w:rPr>
              <w:t xml:space="preserve">Confuses x-intercept with y-intercept, or substitutes the wrong variable value.</w:t>
            </w:r>
          </w:p>
        </w:tc>
      </w:tr>
      <w:tr>
        <w:tc>
          <w:tcPr>
            <w:tcW w:type="dxa" w:w="1600"/>
            <w:shd w:fill="f2f4f8" w:val="clear"/>
            <w:tcMar>
              <w:top w:type="dxa" w:w="80"/>
              <w:left w:type="dxa" w:w="100"/>
              <w:bottom w:type="dxa" w:w="80"/>
              <w:right w:type="dxa" w:w="100"/>
            </w:tcMar>
          </w:tcPr>
          <w:p>
            <w:r>
              <w:rPr>
                <w:b w:val="false"/>
                <w:bCs w:val="false"/>
                <w:color w:val="1c2230"/>
                <w:sz w:val="19"/>
                <w:szCs w:val="19"/>
              </w:rPr>
              <w:t xml:space="preserve">Functions</w:t>
            </w:r>
          </w:p>
        </w:tc>
        <w:tc>
          <w:tcPr>
            <w:tcW w:type="dxa" w:w="2600"/>
            <w:shd w:fill="f2f4f8" w:val="clear"/>
            <w:tcMar>
              <w:top w:type="dxa" w:w="80"/>
              <w:left w:type="dxa" w:w="100"/>
              <w:bottom w:type="dxa" w:w="80"/>
              <w:right w:type="dxa" w:w="100"/>
            </w:tcMar>
          </w:tcPr>
          <w:p>
            <w:r>
              <w:rPr>
                <w:b w:val="false"/>
                <w:bCs w:val="false"/>
                <w:color w:val="1c2230"/>
                <w:sz w:val="19"/>
                <w:szCs w:val="19"/>
              </w:rPr>
              <w:t xml:space="preserve">notation_error</w:t>
            </w:r>
          </w:p>
        </w:tc>
        <w:tc>
          <w:tcPr>
            <w:tcW w:type="dxa" w:w="5200"/>
            <w:shd w:fill="f2f4f8" w:val="clear"/>
            <w:tcMar>
              <w:top w:type="dxa" w:w="80"/>
              <w:left w:type="dxa" w:w="100"/>
              <w:bottom w:type="dxa" w:w="80"/>
              <w:right w:type="dxa" w:w="100"/>
            </w:tcMar>
          </w:tcPr>
          <w:p>
            <w:r>
              <w:rPr>
                <w:b w:val="false"/>
                <w:bCs w:val="false"/>
                <w:color w:val="1c2230"/>
                <w:sz w:val="19"/>
                <w:szCs w:val="19"/>
              </w:rPr>
              <w:t xml:space="preserve">Misreads f(x) notation, e.g. evaluates f(a+b) as f(a)+f(b).</w:t>
            </w:r>
          </w:p>
        </w:tc>
      </w:tr>
      <w:tr>
        <w:tc>
          <w:tcPr>
            <w:tcW w:type="dxa" w:w="1600"/>
            <w:tcMar>
              <w:top w:type="dxa" w:w="80"/>
              <w:left w:type="dxa" w:w="100"/>
              <w:bottom w:type="dxa" w:w="80"/>
              <w:right w:type="dxa" w:w="100"/>
            </w:tcMar>
          </w:tcPr>
          <w:p>
            <w:r>
              <w:rPr>
                <w:b w:val="false"/>
                <w:bCs w:val="false"/>
                <w:color w:val="1c2230"/>
                <w:sz w:val="19"/>
                <w:szCs w:val="19"/>
              </w:rPr>
              <w:t xml:space="preserve">Geometry</w:t>
            </w:r>
          </w:p>
        </w:tc>
        <w:tc>
          <w:tcPr>
            <w:tcW w:type="dxa" w:w="2600"/>
            <w:tcMar>
              <w:top w:type="dxa" w:w="80"/>
              <w:left w:type="dxa" w:w="100"/>
              <w:bottom w:type="dxa" w:w="80"/>
              <w:right w:type="dxa" w:w="100"/>
            </w:tcMar>
          </w:tcPr>
          <w:p>
            <w:r>
              <w:rPr>
                <w:b w:val="false"/>
                <w:bCs w:val="false"/>
                <w:color w:val="1c2230"/>
                <w:sz w:val="19"/>
                <w:szCs w:val="19"/>
              </w:rPr>
              <w:t xml:space="preserve">wrong_theorem</w:t>
            </w:r>
          </w:p>
        </w:tc>
        <w:tc>
          <w:tcPr>
            <w:tcW w:type="dxa" w:w="5200"/>
            <w:tcMar>
              <w:top w:type="dxa" w:w="80"/>
              <w:left w:type="dxa" w:w="100"/>
              <w:bottom w:type="dxa" w:w="80"/>
              <w:right w:type="dxa" w:w="100"/>
            </w:tcMar>
          </w:tcPr>
          <w:p>
            <w:r>
              <w:rPr>
                <w:b w:val="false"/>
                <w:bCs w:val="false"/>
                <w:color w:val="1c2230"/>
                <w:sz w:val="19"/>
                <w:szCs w:val="19"/>
              </w:rPr>
              <w:t xml:space="preserve">Applies a theorem/formula that does not fit the figure or conditions given.</w:t>
            </w:r>
          </w:p>
        </w:tc>
      </w:tr>
      <w:tr>
        <w:tc>
          <w:tcPr>
            <w:tcW w:type="dxa" w:w="1600"/>
            <w:shd w:fill="f2f4f8" w:val="clear"/>
            <w:tcMar>
              <w:top w:type="dxa" w:w="80"/>
              <w:left w:type="dxa" w:w="100"/>
              <w:bottom w:type="dxa" w:w="80"/>
              <w:right w:type="dxa" w:w="100"/>
            </w:tcMar>
          </w:tcPr>
          <w:p>
            <w:r>
              <w:rPr>
                <w:b w:val="false"/>
                <w:bCs w:val="false"/>
                <w:color w:val="1c2230"/>
                <w:sz w:val="19"/>
                <w:szCs w:val="19"/>
              </w:rPr>
              <w:t xml:space="preserve">Geometry</w:t>
            </w:r>
          </w:p>
        </w:tc>
        <w:tc>
          <w:tcPr>
            <w:tcW w:type="dxa" w:w="2600"/>
            <w:shd w:fill="f2f4f8" w:val="clear"/>
            <w:tcMar>
              <w:top w:type="dxa" w:w="80"/>
              <w:left w:type="dxa" w:w="100"/>
              <w:bottom w:type="dxa" w:w="80"/>
              <w:right w:type="dxa" w:w="100"/>
            </w:tcMar>
          </w:tcPr>
          <w:p>
            <w:r>
              <w:rPr>
                <w:b w:val="false"/>
                <w:bCs w:val="false"/>
                <w:color w:val="1c2230"/>
                <w:sz w:val="19"/>
                <w:szCs w:val="19"/>
              </w:rPr>
              <w:t xml:space="preserve">angle_relationship_error</w:t>
            </w:r>
          </w:p>
        </w:tc>
        <w:tc>
          <w:tcPr>
            <w:tcW w:type="dxa" w:w="5200"/>
            <w:shd w:fill="f2f4f8" w:val="clear"/>
            <w:tcMar>
              <w:top w:type="dxa" w:w="80"/>
              <w:left w:type="dxa" w:w="100"/>
              <w:bottom w:type="dxa" w:w="80"/>
              <w:right w:type="dxa" w:w="100"/>
            </w:tcMar>
          </w:tcPr>
          <w:p>
            <w:r>
              <w:rPr>
                <w:b w:val="false"/>
                <w:bCs w:val="false"/>
                <w:color w:val="1c2230"/>
                <w:sz w:val="19"/>
                <w:szCs w:val="19"/>
              </w:rPr>
              <w:t xml:space="preserve">Misidentifies the relationship between angles (e.g. co-interior as equal instead of supplementary).</w:t>
            </w:r>
          </w:p>
        </w:tc>
      </w:tr>
      <w:tr>
        <w:tc>
          <w:tcPr>
            <w:tcW w:type="dxa" w:w="1600"/>
            <w:tcMar>
              <w:top w:type="dxa" w:w="80"/>
              <w:left w:type="dxa" w:w="100"/>
              <w:bottom w:type="dxa" w:w="80"/>
              <w:right w:type="dxa" w:w="100"/>
            </w:tcMar>
          </w:tcPr>
          <w:p>
            <w:r>
              <w:rPr>
                <w:b w:val="false"/>
                <w:bCs w:val="false"/>
                <w:color w:val="1c2230"/>
                <w:sz w:val="19"/>
                <w:szCs w:val="19"/>
              </w:rPr>
              <w:t xml:space="preserve">Geometry</w:t>
            </w:r>
          </w:p>
        </w:tc>
        <w:tc>
          <w:tcPr>
            <w:tcW w:type="dxa" w:w="2600"/>
            <w:tcMar>
              <w:top w:type="dxa" w:w="80"/>
              <w:left w:type="dxa" w:w="100"/>
              <w:bottom w:type="dxa" w:w="80"/>
              <w:right w:type="dxa" w:w="100"/>
            </w:tcMar>
          </w:tcPr>
          <w:p>
            <w:r>
              <w:rPr>
                <w:b w:val="false"/>
                <w:bCs w:val="false"/>
                <w:color w:val="1c2230"/>
                <w:sz w:val="19"/>
                <w:szCs w:val="19"/>
              </w:rPr>
              <w:t xml:space="preserve">similarity_confusion</w:t>
            </w:r>
          </w:p>
        </w:tc>
        <w:tc>
          <w:tcPr>
            <w:tcW w:type="dxa" w:w="5200"/>
            <w:tcMar>
              <w:top w:type="dxa" w:w="80"/>
              <w:left w:type="dxa" w:w="100"/>
              <w:bottom w:type="dxa" w:w="80"/>
              <w:right w:type="dxa" w:w="100"/>
            </w:tcMar>
          </w:tcPr>
          <w:p>
            <w:r>
              <w:rPr>
                <w:b w:val="false"/>
                <w:bCs w:val="false"/>
                <w:color w:val="1c2230"/>
                <w:sz w:val="19"/>
                <w:szCs w:val="19"/>
              </w:rPr>
              <w:t xml:space="preserve">Assumes two figures are congruent when only similar, or sets up a wrong ratio.</w:t>
            </w:r>
          </w:p>
        </w:tc>
      </w:tr>
      <w:tr>
        <w:tc>
          <w:tcPr>
            <w:tcW w:type="dxa" w:w="1600"/>
            <w:shd w:fill="f2f4f8" w:val="clear"/>
            <w:tcMar>
              <w:top w:type="dxa" w:w="80"/>
              <w:left w:type="dxa" w:w="100"/>
              <w:bottom w:type="dxa" w:w="80"/>
              <w:right w:type="dxa" w:w="100"/>
            </w:tcMar>
          </w:tcPr>
          <w:p>
            <w:r>
              <w:rPr>
                <w:b w:val="false"/>
                <w:bCs w:val="false"/>
                <w:color w:val="1c2230"/>
                <w:sz w:val="19"/>
                <w:szCs w:val="19"/>
              </w:rPr>
              <w:t xml:space="preserve">Geometry</w:t>
            </w:r>
          </w:p>
        </w:tc>
        <w:tc>
          <w:tcPr>
            <w:tcW w:type="dxa" w:w="2600"/>
            <w:shd w:fill="f2f4f8" w:val="clear"/>
            <w:tcMar>
              <w:top w:type="dxa" w:w="80"/>
              <w:left w:type="dxa" w:w="100"/>
              <w:bottom w:type="dxa" w:w="80"/>
              <w:right w:type="dxa" w:w="100"/>
            </w:tcMar>
          </w:tcPr>
          <w:p>
            <w:r>
              <w:rPr>
                <w:b w:val="false"/>
                <w:bCs w:val="false"/>
                <w:color w:val="1c2230"/>
                <w:sz w:val="19"/>
                <w:szCs w:val="19"/>
              </w:rPr>
              <w:t xml:space="preserve">diagram_interpretation_error</w:t>
            </w:r>
          </w:p>
        </w:tc>
        <w:tc>
          <w:tcPr>
            <w:tcW w:type="dxa" w:w="5200"/>
            <w:shd w:fill="f2f4f8" w:val="clear"/>
            <w:tcMar>
              <w:top w:type="dxa" w:w="80"/>
              <w:left w:type="dxa" w:w="100"/>
              <w:bottom w:type="dxa" w:w="80"/>
              <w:right w:type="dxa" w:w="100"/>
            </w:tcMar>
          </w:tcPr>
          <w:p>
            <w:r>
              <w:rPr>
                <w:b w:val="false"/>
                <w:bCs w:val="false"/>
                <w:color w:val="1c2230"/>
                <w:sz w:val="19"/>
                <w:szCs w:val="19"/>
              </w:rPr>
              <w:t xml:space="preserve">Misreads the diagram — assumes unstated properties (e.g. equal sides implies a square).</w:t>
            </w:r>
          </w:p>
        </w:tc>
      </w:tr>
      <w:tr>
        <w:tc>
          <w:tcPr>
            <w:tcW w:type="dxa" w:w="1600"/>
            <w:tcMar>
              <w:top w:type="dxa" w:w="80"/>
              <w:left w:type="dxa" w:w="100"/>
              <w:bottom w:type="dxa" w:w="80"/>
              <w:right w:type="dxa" w:w="100"/>
            </w:tcMar>
          </w:tcPr>
          <w:p>
            <w:r>
              <w:rPr>
                <w:b w:val="false"/>
                <w:bCs w:val="false"/>
                <w:color w:val="1c2230"/>
                <w:sz w:val="19"/>
                <w:szCs w:val="19"/>
              </w:rPr>
              <w:t xml:space="preserve">Probability</w:t>
            </w:r>
          </w:p>
        </w:tc>
        <w:tc>
          <w:tcPr>
            <w:tcW w:type="dxa" w:w="2600"/>
            <w:tcMar>
              <w:top w:type="dxa" w:w="80"/>
              <w:left w:type="dxa" w:w="100"/>
              <w:bottom w:type="dxa" w:w="80"/>
              <w:right w:type="dxa" w:w="100"/>
            </w:tcMar>
          </w:tcPr>
          <w:p>
            <w:r>
              <w:rPr>
                <w:b w:val="false"/>
                <w:bCs w:val="false"/>
                <w:color w:val="1c2230"/>
                <w:sz w:val="19"/>
                <w:szCs w:val="19"/>
              </w:rPr>
              <w:t xml:space="preserve">independence_confusion</w:t>
            </w:r>
          </w:p>
        </w:tc>
        <w:tc>
          <w:tcPr>
            <w:tcW w:type="dxa" w:w="5200"/>
            <w:tcMar>
              <w:top w:type="dxa" w:w="80"/>
              <w:left w:type="dxa" w:w="100"/>
              <w:bottom w:type="dxa" w:w="80"/>
              <w:right w:type="dxa" w:w="100"/>
            </w:tcMar>
          </w:tcPr>
          <w:p>
            <w:r>
              <w:rPr>
                <w:b w:val="false"/>
                <w:bCs w:val="false"/>
                <w:color w:val="1c2230"/>
                <w:sz w:val="19"/>
                <w:szCs w:val="19"/>
              </w:rPr>
              <w:t xml:space="preserve">Treats dependent events as independent, e.g. ignores sampling without replacement.</w:t>
            </w:r>
          </w:p>
        </w:tc>
      </w:tr>
      <w:tr>
        <w:tc>
          <w:tcPr>
            <w:tcW w:type="dxa" w:w="1600"/>
            <w:shd w:fill="f2f4f8" w:val="clear"/>
            <w:tcMar>
              <w:top w:type="dxa" w:w="80"/>
              <w:left w:type="dxa" w:w="100"/>
              <w:bottom w:type="dxa" w:w="80"/>
              <w:right w:type="dxa" w:w="100"/>
            </w:tcMar>
          </w:tcPr>
          <w:p>
            <w:r>
              <w:rPr>
                <w:b w:val="false"/>
                <w:bCs w:val="false"/>
                <w:color w:val="1c2230"/>
                <w:sz w:val="19"/>
                <w:szCs w:val="19"/>
              </w:rPr>
              <w:t xml:space="preserve">Probability</w:t>
            </w:r>
          </w:p>
        </w:tc>
        <w:tc>
          <w:tcPr>
            <w:tcW w:type="dxa" w:w="2600"/>
            <w:shd w:fill="f2f4f8" w:val="clear"/>
            <w:tcMar>
              <w:top w:type="dxa" w:w="80"/>
              <w:left w:type="dxa" w:w="100"/>
              <w:bottom w:type="dxa" w:w="80"/>
              <w:right w:type="dxa" w:w="100"/>
            </w:tcMar>
          </w:tcPr>
          <w:p>
            <w:r>
              <w:rPr>
                <w:b w:val="false"/>
                <w:bCs w:val="false"/>
                <w:color w:val="1c2230"/>
                <w:sz w:val="19"/>
                <w:szCs w:val="19"/>
              </w:rPr>
              <w:t xml:space="preserve">conditional_probability_error</w:t>
            </w:r>
          </w:p>
        </w:tc>
        <w:tc>
          <w:tcPr>
            <w:tcW w:type="dxa" w:w="5200"/>
            <w:shd w:fill="f2f4f8" w:val="clear"/>
            <w:tcMar>
              <w:top w:type="dxa" w:w="80"/>
              <w:left w:type="dxa" w:w="100"/>
              <w:bottom w:type="dxa" w:w="80"/>
              <w:right w:type="dxa" w:w="100"/>
            </w:tcMar>
          </w:tcPr>
          <w:p>
            <w:r>
              <w:rPr>
                <w:b w:val="false"/>
                <w:bCs w:val="false"/>
                <w:color w:val="1c2230"/>
                <w:sz w:val="19"/>
                <w:szCs w:val="19"/>
              </w:rPr>
              <w:t xml:space="preserve">Confuses P(A|B) with P(B|A), or uses the wrong denominator.</w:t>
            </w:r>
          </w:p>
        </w:tc>
      </w:tr>
      <w:tr>
        <w:tc>
          <w:tcPr>
            <w:tcW w:type="dxa" w:w="1600"/>
            <w:tcMar>
              <w:top w:type="dxa" w:w="80"/>
              <w:left w:type="dxa" w:w="100"/>
              <w:bottom w:type="dxa" w:w="80"/>
              <w:right w:type="dxa" w:w="100"/>
            </w:tcMar>
          </w:tcPr>
          <w:p>
            <w:r>
              <w:rPr>
                <w:b w:val="false"/>
                <w:bCs w:val="false"/>
                <w:color w:val="1c2230"/>
                <w:sz w:val="19"/>
                <w:szCs w:val="19"/>
              </w:rPr>
              <w:t xml:space="preserve">Probability</w:t>
            </w:r>
          </w:p>
        </w:tc>
        <w:tc>
          <w:tcPr>
            <w:tcW w:type="dxa" w:w="2600"/>
            <w:tcMar>
              <w:top w:type="dxa" w:w="80"/>
              <w:left w:type="dxa" w:w="100"/>
              <w:bottom w:type="dxa" w:w="80"/>
              <w:right w:type="dxa" w:w="100"/>
            </w:tcMar>
          </w:tcPr>
          <w:p>
            <w:r>
              <w:rPr>
                <w:b w:val="false"/>
                <w:bCs w:val="false"/>
                <w:color w:val="1c2230"/>
                <w:sz w:val="19"/>
                <w:szCs w:val="19"/>
              </w:rPr>
              <w:t xml:space="preserve">sample_space_error</w:t>
            </w:r>
          </w:p>
        </w:tc>
        <w:tc>
          <w:tcPr>
            <w:tcW w:type="dxa" w:w="5200"/>
            <w:tcMar>
              <w:top w:type="dxa" w:w="80"/>
              <w:left w:type="dxa" w:w="100"/>
              <w:bottom w:type="dxa" w:w="80"/>
              <w:right w:type="dxa" w:w="100"/>
            </w:tcMar>
          </w:tcPr>
          <w:p>
            <w:r>
              <w:rPr>
                <w:b w:val="false"/>
                <w:bCs w:val="false"/>
                <w:color w:val="1c2230"/>
                <w:sz w:val="19"/>
                <w:szCs w:val="19"/>
              </w:rPr>
              <w:t xml:space="preserve">Miscounts or misdefines the total sample space.</w:t>
            </w:r>
          </w:p>
        </w:tc>
      </w:tr>
      <w:tr>
        <w:tc>
          <w:tcPr>
            <w:tcW w:type="dxa" w:w="1600"/>
            <w:shd w:fill="f2f4f8" w:val="clear"/>
            <w:tcMar>
              <w:top w:type="dxa" w:w="80"/>
              <w:left w:type="dxa" w:w="100"/>
              <w:bottom w:type="dxa" w:w="80"/>
              <w:right w:type="dxa" w:w="100"/>
            </w:tcMar>
          </w:tcPr>
          <w:p>
            <w:r>
              <w:rPr>
                <w:b w:val="false"/>
                <w:bCs w:val="false"/>
                <w:color w:val="1c2230"/>
                <w:sz w:val="19"/>
                <w:szCs w:val="19"/>
              </w:rPr>
              <w:t xml:space="preserve">Probability</w:t>
            </w:r>
          </w:p>
        </w:tc>
        <w:tc>
          <w:tcPr>
            <w:tcW w:type="dxa" w:w="2600"/>
            <w:shd w:fill="f2f4f8" w:val="clear"/>
            <w:tcMar>
              <w:top w:type="dxa" w:w="80"/>
              <w:left w:type="dxa" w:w="100"/>
              <w:bottom w:type="dxa" w:w="80"/>
              <w:right w:type="dxa" w:w="100"/>
            </w:tcMar>
          </w:tcPr>
          <w:p>
            <w:r>
              <w:rPr>
                <w:b w:val="false"/>
                <w:bCs w:val="false"/>
                <w:color w:val="1c2230"/>
                <w:sz w:val="19"/>
                <w:szCs w:val="19"/>
              </w:rPr>
              <w:t xml:space="preserve">addition_vs_multiplication_rule</w:t>
            </w:r>
          </w:p>
        </w:tc>
        <w:tc>
          <w:tcPr>
            <w:tcW w:type="dxa" w:w="5200"/>
            <w:shd w:fill="f2f4f8" w:val="clear"/>
            <w:tcMar>
              <w:top w:type="dxa" w:w="80"/>
              <w:left w:type="dxa" w:w="100"/>
              <w:bottom w:type="dxa" w:w="80"/>
              <w:right w:type="dxa" w:w="100"/>
            </w:tcMar>
          </w:tcPr>
          <w:p>
            <w:r>
              <w:rPr>
                <w:b w:val="false"/>
                <w:bCs w:val="false"/>
                <w:color w:val="1c2230"/>
                <w:sz w:val="19"/>
                <w:szCs w:val="19"/>
              </w:rPr>
              <w:t xml:space="preserve">Adds probabilities where it should multiply, or vice versa.</w:t>
            </w:r>
          </w:p>
        </w:tc>
      </w:tr>
      <w:tr>
        <w:tc>
          <w:tcPr>
            <w:tcW w:type="dxa" w:w="1600"/>
            <w:tcMar>
              <w:top w:type="dxa" w:w="80"/>
              <w:left w:type="dxa" w:w="100"/>
              <w:bottom w:type="dxa" w:w="80"/>
              <w:right w:type="dxa" w:w="100"/>
            </w:tcMar>
          </w:tcPr>
          <w:p>
            <w:r>
              <w:rPr>
                <w:b w:val="false"/>
                <w:bCs w:val="false"/>
                <w:color w:val="1c2230"/>
                <w:sz w:val="19"/>
                <w:szCs w:val="19"/>
              </w:rPr>
              <w:t xml:space="preserve">(escape hatch)</w:t>
            </w:r>
          </w:p>
        </w:tc>
        <w:tc>
          <w:tcPr>
            <w:tcW w:type="dxa" w:w="2600"/>
            <w:tcMar>
              <w:top w:type="dxa" w:w="80"/>
              <w:left w:type="dxa" w:w="100"/>
              <w:bottom w:type="dxa" w:w="80"/>
              <w:right w:type="dxa" w:w="100"/>
            </w:tcMar>
          </w:tcPr>
          <w:p>
            <w:r>
              <w:rPr>
                <w:b w:val="false"/>
                <w:bCs w:val="false"/>
                <w:color w:val="1c2230"/>
                <w:sz w:val="19"/>
                <w:szCs w:val="19"/>
              </w:rPr>
              <w:t xml:space="preserve">execution_error</w:t>
            </w:r>
          </w:p>
        </w:tc>
        <w:tc>
          <w:tcPr>
            <w:tcW w:type="dxa" w:w="5200"/>
            <w:tcMar>
              <w:top w:type="dxa" w:w="80"/>
              <w:left w:type="dxa" w:w="100"/>
              <w:bottom w:type="dxa" w:w="80"/>
              <w:right w:type="dxa" w:w="100"/>
            </w:tcMar>
          </w:tcPr>
          <w:p>
            <w:r>
              <w:rPr>
                <w:b w:val="false"/>
                <w:bCs w:val="false"/>
                <w:color w:val="1c2230"/>
                <w:sz w:val="19"/>
                <w:szCs w:val="19"/>
              </w:rPr>
              <w:t xml:space="preserve">Method was conceptually sound; a simple arithmetic/computational slip caused the wrong result.</w:t>
            </w:r>
          </w:p>
        </w:tc>
      </w:tr>
      <w:tr>
        <w:tc>
          <w:tcPr>
            <w:tcW w:type="dxa" w:w="1600"/>
            <w:shd w:fill="f2f4f8" w:val="clear"/>
            <w:tcMar>
              <w:top w:type="dxa" w:w="80"/>
              <w:left w:type="dxa" w:w="100"/>
              <w:bottom w:type="dxa" w:w="80"/>
              <w:right w:type="dxa" w:w="100"/>
            </w:tcMar>
          </w:tcPr>
          <w:p>
            <w:r>
              <w:rPr>
                <w:b w:val="false"/>
                <w:bCs w:val="false"/>
                <w:color w:val="1c2230"/>
                <w:sz w:val="19"/>
                <w:szCs w:val="19"/>
              </w:rPr>
              <w:t xml:space="preserve">(escape hatch)</w:t>
            </w:r>
          </w:p>
        </w:tc>
        <w:tc>
          <w:tcPr>
            <w:tcW w:type="dxa" w:w="2600"/>
            <w:shd w:fill="f2f4f8" w:val="clear"/>
            <w:tcMar>
              <w:top w:type="dxa" w:w="80"/>
              <w:left w:type="dxa" w:w="100"/>
              <w:bottom w:type="dxa" w:w="80"/>
              <w:right w:type="dxa" w:w="100"/>
            </w:tcMar>
          </w:tcPr>
          <w:p>
            <w:r>
              <w:rPr>
                <w:b w:val="false"/>
                <w:bCs w:val="false"/>
                <w:color w:val="1c2230"/>
                <w:sz w:val="19"/>
                <w:szCs w:val="19"/>
              </w:rPr>
              <w:t xml:space="preserve">unknown</w:t>
            </w:r>
          </w:p>
        </w:tc>
        <w:tc>
          <w:tcPr>
            <w:tcW w:type="dxa" w:w="5200"/>
            <w:shd w:fill="f2f4f8" w:val="clear"/>
            <w:tcMar>
              <w:top w:type="dxa" w:w="80"/>
              <w:left w:type="dxa" w:w="100"/>
              <w:bottom w:type="dxa" w:w="80"/>
              <w:right w:type="dxa" w:w="100"/>
            </w:tcMar>
          </w:tcPr>
          <w:p>
            <w:r>
              <w:rPr>
                <w:b w:val="false"/>
                <w:bCs w:val="false"/>
                <w:color w:val="1c2230"/>
                <w:sz w:val="19"/>
                <w:szCs w:val="19"/>
              </w:rPr>
              <w:t xml:space="preserve">Evidence is too sparse or ambiguous to responsibly select a category — used instead of a forced guess.</w:t>
            </w:r>
          </w:p>
        </w:tc>
      </w:tr>
    </w:tbl>
    <w:p>
      <w:pPr>
        <w:spacing w:after="260"/>
      </w:pPr>
      <w:r>
        <w:rPr>
          <w:i/>
          <w:iCs/>
          <w:color w:val="5b6478"/>
          <w:sz w:val="19"/>
          <w:szCs w:val="19"/>
        </w:rPr>
        <w:t xml:space="preserve">Table 3. Full misconception taxonomy (18 domain categories + 2 non-taxonomy escape hatches).</w:t>
      </w:r>
    </w:p>
    <w:p>
      <w:pPr>
        <w:spacing w:after="160" w:line="276"/>
      </w:pPr>
      <w:r>
        <w:rPr>
          <w:b w:val="false"/>
          <w:bCs w:val="false"/>
          <w:i w:val="false"/>
          <w:iCs w:val="false"/>
        </w:rPr>
        <w:t xml:space="preserve">The two escape hatches — execution_error and unknown — are not decorative. They exist specifically to prevent the system from over-fitting every wrong answer into a "deep" conceptual explanation, which is the exact failure mode observed in the baseline (see §10).</w:t>
      </w:r>
    </w:p>
    <w:p>
      <w:pPr>
        <w:pStyle w:val="Heading1"/>
        <w:spacing w:after="200" w:before="400"/>
      </w:pPr>
      <w:r>
        <w:t xml:space="preserve">4. Structured Outputs</w:t>
      </w:r>
    </w:p>
    <w:p>
      <w:pPr>
        <w:spacing w:after="160" w:line="276"/>
      </w:pPr>
      <w:r>
        <w:rPr>
          <w:b w:val="false"/>
          <w:bCs w:val="false"/>
          <w:i w:val="false"/>
          <w:iCs w:val="false"/>
        </w:rPr>
        <w:t xml:space="preserve">Every node returns a typed Pydantic model rather than free text, so downstream nodes and the eval harness can consume results without re-parsing prose. Key schemas:</w:t>
      </w:r>
    </w:p>
    <w:p>
      <w:pPr>
        <w:pStyle w:val="ListParagraph"/>
        <w:numPr>
          <w:ilvl w:val="0"/>
          <w:numId w:val="1"/>
        </w:numPr>
        <w:spacing w:after="80" w:line="276"/>
      </w:pPr>
      <w:r>
        <w:t xml:space="preserve">ReasoningAnalysis — step_judgments[], first_invalid_step_index, error_type (enum), evidence, confidence</w:t>
      </w:r>
    </w:p>
    <w:p>
      <w:pPr>
        <w:pStyle w:val="ListParagraph"/>
        <w:numPr>
          <w:ilvl w:val="0"/>
          <w:numId w:val="1"/>
        </w:numPr>
        <w:spacing w:after="80" w:line="276"/>
      </w:pPr>
      <w:r>
        <w:t xml:space="preserve">MisconceptionClassification — misconception_id (validated against the taxonomy), label, evidence, confidence, alternative_candidate_ids[]</w:t>
      </w:r>
    </w:p>
    <w:p>
      <w:pPr>
        <w:pStyle w:val="ListParagraph"/>
        <w:numPr>
          <w:ilvl w:val="0"/>
          <w:numId w:val="1"/>
        </w:numPr>
        <w:spacing w:after="80" w:line="276"/>
      </w:pPr>
      <w:r>
        <w:t xml:space="preserve">CriticReview — attempted_rebuttal, alternative_hypotheses[] (each with supporting/contradicting evidence + plausibility), diagnosis_survives (bool), confidence_adjustment</w:t>
      </w:r>
    </w:p>
    <w:p>
      <w:pPr>
        <w:pStyle w:val="ListParagraph"/>
        <w:numPr>
          <w:ilvl w:val="0"/>
          <w:numId w:val="1"/>
        </w:numPr>
        <w:spacing w:after="80" w:line="276"/>
      </w:pPr>
      <w:r>
        <w:t xml:space="preserve">FinalDiagnosis — misconception_id, error_type, final_confidence, evidence_summary (≤500 chars, no exposed chain-of-thought), intervention_appropriate (bool)</w:t>
      </w:r>
    </w:p>
    <w:p>
      <w:pPr>
        <w:spacing w:after="160" w:line="276"/>
      </w:pPr>
      <w:r>
        <w:rPr>
          <w:b w:val="false"/>
          <w:bCs w:val="false"/>
          <w:i w:val="false"/>
          <w:iCs w:val="false"/>
        </w:rPr>
        <w:t xml:space="preserve">The Diagnosis Selector's evidence_summary field is deliberately capped and instructed not to narrate deliberation — the spec principle followed here is that the system should expose concise, checkable evidence to a student-facing surface, not hidden reasoning traces.</w:t>
      </w:r>
    </w:p>
    <w:p>
      <w:pPr>
        <w:pStyle w:val="Heading1"/>
        <w:spacing w:after="200" w:before="400"/>
      </w:pPr>
      <w:r>
        <w:t xml:space="preserve">5. Model Selection &amp; Routing</w:t>
      </w:r>
    </w:p>
    <w:p>
      <w:pPr>
        <w:spacing w:after="160" w:line="276"/>
      </w:pPr>
      <w:r>
        <w:rPr>
          <w:b w:val="false"/>
          <w:bCs w:val="false"/>
          <w:i w:val="false"/>
          <w:iCs w:val="false"/>
        </w:rPr>
        <w:t xml:space="preserve">The benchmark in this report used one consistent Gemini model (via Google AI Studio) across the baseline and all five diagnostic nodes, specifically so that any accuracy difference reflects the workflow structure and prompts, not a model swap. Each node's source file documents a recommended model tier based on the nature of its task (Table 2/see prompts/*.py), following the principle stated in the project brief: only route different nodes to different models if experiments justify it, not for appearance.</w:t>
      </w:r>
    </w:p>
    <w:p>
      <w:pPr>
        <w:spacing w:after="160" w:line="276"/>
      </w:pPr>
      <w:r>
        <w:rPr>
          <w:b w:val="false"/>
          <w:bCs w:val="false"/>
          <w:i w:val="false"/>
          <w:iCs w:val="false"/>
        </w:rPr>
        <w:t xml:space="preserve">The one node where model diversity is explicitly recommended is the Adversarial Critic (§6) — running it on a different model/provider than the nodes it is reviewing is expected to reduce correlated blind spots. That specific comparison (same model vs. different model for the Critic) was not run in this benchmark and is flagged as a concrete next experiment in §14.</w:t>
      </w:r>
    </w:p>
    <w:p>
      <w:r>
        <w:br w:type="page"/>
      </w:r>
    </w:p>
    <w:p>
      <w:pPr>
        <w:pStyle w:val="Heading1"/>
        <w:spacing w:after="200" w:before="400"/>
      </w:pPr>
      <w:r>
        <w:t xml:space="preserve">6. Adversarial Verification</w:t>
      </w:r>
    </w:p>
    <w:p>
      <w:pPr>
        <w:spacing w:after="160" w:line="276"/>
      </w:pPr>
      <w:r>
        <w:rPr>
          <w:b w:val="false"/>
          <w:bCs w:val="false"/>
          <w:i w:val="false"/>
          <w:iCs w:val="false"/>
        </w:rPr>
        <w:t xml:space="preserve">The Adversarial Critic (Node 4) is the project's core differentiating mechanism. It receives the original problem, the student's reasoning, and the Classifier's proposed diagnosis with its evidence, and is explicitly instructed that its job is not to agree — it must attempt to construct the strongest available rebuttal, propose genuine alternative hypotheses from the taxonomy, and only conclude the diagnosis survives after real scrutiny.</w:t>
      </w:r>
    </w:p>
    <w:p>
      <w:pPr>
        <w:pStyle w:val="Heading3"/>
        <w:spacing w:after="100" w:before="220"/>
      </w:pPr>
      <w:r>
        <w:t xml:space="preserve">Result: a rubber-stamp signal, caught and reported honestly</w:t>
      </w:r>
    </w:p>
    <w:p>
      <w:pPr>
        <w:spacing w:after="160" w:line="276"/>
      </w:pPr>
      <w:r>
        <w:rPr>
          <w:b w:val="false"/>
          <w:bCs w:val="false"/>
          <w:i w:val="false"/>
          <w:iCs w:val="false"/>
        </w:rPr>
        <w:t xml:space="preserve">On the 20-case benchmark run, diagnosis_survives was true in 20/20 cases (100%). The prompt's own internal versioning notes had explicitly flagged this exact outcome as a failure signal before the run ("a rate near 100% or near 0% both indicate the prompt needs revision"), so this is reported as a finding, not smoothed over.</w:t>
      </w:r>
    </w:p>
    <w:p>
      <w:pPr>
        <w:spacing w:after="160" w:line="276"/>
      </w:pPr>
      <w:r>
        <w:rPr>
          <w:b w:val="false"/>
          <w:bCs w:val="false"/>
          <w:i w:val="false"/>
          <w:iCs w:val="false"/>
        </w:rPr>
        <w:t xml:space="preserve">A closer look at the actual alternative_hypotheses the Critic proposed shows a more specific problem: in 10 of the 20 cases, the "alternative" hypothesis had the same misconception_id as the diagnosis it was reviewing, with plausibility near 0.9 and contradicting_evidence listed as "None." That is not an alternative — it is the model restating the original answer. A targeted v2 fix is proposed (require alternative_hypotheses to name a different id, or leave the list empty and say so explicitly) but was not re-benchmarked in this report; it is the clearest concrete next step for this node.</w:t>
      </w:r>
    </w:p>
    <w:p>
      <w:pPr>
        <w:pStyle w:val="Heading3"/>
        <w:spacing w:after="100" w:before="220"/>
      </w:pPr>
      <w:r>
        <w:t xml:space="preserve">Where it worked as designed</w:t>
      </w:r>
    </w:p>
    <w:p>
      <w:pPr>
        <w:spacing w:after="160" w:line="276"/>
      </w:pPr>
      <w:r>
        <w:rPr>
          <w:b w:val="false"/>
          <w:bCs w:val="false"/>
          <w:i w:val="false"/>
          <w:iCs w:val="false"/>
        </w:rPr>
        <w:t xml:space="preserve">On the one case the Classifier got wrong (A05 — distribution_error vs. the intended variable_isolation_error), the Critic correctly surfaced the intended alternative id with genuine, distinct supporting and contradicting evidence for each side — exactly the intended behavior. It simply did not go the further step of flipping diagnosis_survives to false, so the Diagnosis Selector kept the original answer. Net effect on accuracy across the run: the Critic changed zero final diagnoses (0/19 false alarms on cases the Classifier got right; the one case it should have flipped, it did not flip). Its measured value on this run was entirely in the quality of the evidence trail it produced, not in the scoreboard — an honest, specific result rather than an inflated one.</w:t>
      </w:r>
    </w:p>
    <w:p>
      <w:pPr>
        <w:pStyle w:val="Heading1"/>
        <w:spacing w:after="200" w:before="400"/>
      </w:pPr>
      <w:r>
        <w:t xml:space="preserve">7. Intervention Strategy</w:t>
      </w:r>
    </w:p>
    <w:p>
      <w:pPr>
        <w:spacing w:after="160" w:line="276"/>
      </w:pPr>
      <w:r>
        <w:rPr>
          <w:b w:val="false"/>
          <w:bCs w:val="false"/>
          <w:i w:val="false"/>
          <w:iCs w:val="false"/>
        </w:rPr>
        <w:t xml:space="preserve">The Intervention Planner and Socratic Tutor (Nodes 6-7) are fully designed and prompted — the planner selects from seven pedagogical strategies (Socratic question, hint, counterexample, simpler example, visual explanation, reteaching, targeted practice) conditioned on the diagnosed misconception and the student's level from the Student Model; the tutor then writes the actual student-facing message, instructed to guide the student toward self-correction rather than revealing the answer.</w:t>
      </w:r>
    </w:p>
    <w:p>
      <w:pPr>
        <w:spacing w:after="160" w:line="276"/>
      </w:pPr>
      <w:r>
        <w:rPr>
          <w:b w:val="false"/>
          <w:bCs w:val="false"/>
          <w:i w:val="false"/>
          <w:iCs w:val="false"/>
        </w:rPr>
        <w:t xml:space="preserve">These two nodes were not run against the benchmark for this report (see §14, Limitations) — the evaluation effort was concentrated on the diagnostic chain, where the project's central, falsifiable claim lives. The baseline-vs-Bluetute samples in §12 therefore compare diagnostic quality directly (what each system determines is wrong and why), which is the load-bearing comparison for this project's claim; the full baseline-response-vs-generated-intervention comparison is the natural next increment.</w:t>
      </w:r>
    </w:p>
    <w:p>
      <w:pPr>
        <w:pStyle w:val="Heading1"/>
        <w:spacing w:after="200" w:before="400"/>
      </w:pPr>
      <w:r>
        <w:t xml:space="preserve">8. Prompt Engineering Methodology: a Worked v1 → v2 Case Study</w:t>
      </w:r>
    </w:p>
    <w:p>
      <w:pPr>
        <w:spacing w:after="160" w:line="276"/>
      </w:pPr>
      <w:r>
        <w:rPr>
          <w:b w:val="false"/>
          <w:bCs w:val="false"/>
          <w:i w:val="false"/>
          <w:iCs w:val="false"/>
        </w:rPr>
        <w:t xml:space="preserve">This section is the project's strongest evidence of deliberate prompt engineering, as opposed to a single call to an LLM API. It follows the loop the project brief specifies: prompt v1 → benchmark → failure analysis → prompt v2 → benchmark → compare.</w:t>
      </w:r>
    </w:p>
    <w:p>
      <w:pPr>
        <w:pStyle w:val="Heading3"/>
        <w:spacing w:after="100" w:before="220"/>
      </w:pPr>
      <w:r>
        <w:t xml:space="preserve">v1 result and failure analysis</w:t>
      </w:r>
    </w:p>
    <w:p>
      <w:pPr>
        <w:spacing w:after="160" w:line="276"/>
      </w:pPr>
      <w:r>
        <w:rPr>
          <w:b w:val="false"/>
          <w:bCs w:val="false"/>
          <w:i w:val="false"/>
          <w:iCs w:val="false"/>
        </w:rPr>
        <w:t xml:space="preserve">The Reasoning Analyzer's v1 prompt scored 27/30 (90.0%) on error_type accuracy (CONCEPTUAL / EXECUTION / INCOMPLETE / UNKNOWN). All three misses shared one specific pattern: A01, A07, and M02 were all sign-handling errors (e.g. concluding x = 6 from -x = 6), and the model consistently labeled them EXECUTION when the benchmark's intended answer was CONCEPTUAL — even though the model's own evidence field described each one explicitly as "a sign error."</w:t>
      </w:r>
    </w:p>
    <w:p>
      <w:pPr>
        <w:pStyle w:val="Heading3"/>
        <w:spacing w:after="100" w:before="220"/>
      </w:pPr>
      <w:r>
        <w:t xml:space="preserve">v2 change</w:t>
      </w:r>
    </w:p>
    <w:p>
      <w:pPr>
        <w:spacing w:after="160" w:line="276"/>
      </w:pPr>
      <w:r>
        <w:rPr>
          <w:b w:val="false"/>
          <w:bCs w:val="false"/>
          <w:i w:val="false"/>
          <w:iCs w:val="false"/>
        </w:rPr>
        <w:t xml:space="preserve">One explicit rule was added to the system prompt: dropping or mishandling a negative sign during an operation is CONCEPTUAL, not EXECUTION, even when the magnitude arithmetic is correct — the student is not making a computational slip, they are not applying the rule that a negative sign must carry through the result. EXECUTION was redefined to be reserved for slips in magnitude arithmetic itself.</w:t>
      </w:r>
    </w:p>
    <w:p>
      <w:pPr>
        <w:pStyle w:val="Heading3"/>
        <w:spacing w:after="100" w:before="220"/>
      </w:pPr>
      <w:r>
        <w:t xml:space="preserve">v2 result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4600"/>
      </w:tblGrid>
      <w:tr>
        <w:trPr>
          <w:tblHeader/>
        </w:trPr>
        <w:tc>
          <w:tcPr>
            <w:tcW w:type="dxa" w:w="1600"/>
            <w:shd w:fill="1c2230" w:val="clear"/>
            <w:tcMar>
              <w:top w:type="dxa" w:w="80"/>
              <w:left w:type="dxa" w:w="100"/>
              <w:bottom w:type="dxa" w:w="80"/>
              <w:right w:type="dxa" w:w="100"/>
            </w:tcMar>
          </w:tcPr>
          <w:p>
            <w:r>
              <w:rPr>
                <w:b/>
                <w:bCs/>
                <w:color w:val="ffffff"/>
                <w:sz w:val="19"/>
                <w:szCs w:val="19"/>
              </w:rPr>
              <w:t xml:space="preserve">Prompt version</w:t>
            </w:r>
          </w:p>
        </w:tc>
        <w:tc>
          <w:tcPr>
            <w:tcW w:type="dxa" w:w="1600"/>
            <w:shd w:fill="1c2230" w:val="clear"/>
            <w:tcMar>
              <w:top w:type="dxa" w:w="80"/>
              <w:left w:type="dxa" w:w="100"/>
              <w:bottom w:type="dxa" w:w="80"/>
              <w:right w:type="dxa" w:w="100"/>
            </w:tcMar>
          </w:tcPr>
          <w:p>
            <w:r>
              <w:rPr>
                <w:b/>
                <w:bCs/>
                <w:color w:val="ffffff"/>
                <w:sz w:val="19"/>
                <w:szCs w:val="19"/>
              </w:rPr>
              <w:t xml:space="preserve">Correct</w:t>
            </w:r>
          </w:p>
        </w:tc>
        <w:tc>
          <w:tcPr>
            <w:tcW w:type="dxa" w:w="1600"/>
            <w:shd w:fill="1c2230" w:val="clear"/>
            <w:tcMar>
              <w:top w:type="dxa" w:w="80"/>
              <w:left w:type="dxa" w:w="100"/>
              <w:bottom w:type="dxa" w:w="80"/>
              <w:right w:type="dxa" w:w="100"/>
            </w:tcMar>
          </w:tcPr>
          <w:p>
            <w:r>
              <w:rPr>
                <w:b/>
                <w:bCs/>
                <w:color w:val="ffffff"/>
                <w:sz w:val="19"/>
                <w:szCs w:val="19"/>
              </w:rPr>
              <w:t xml:space="preserve">Accuracy</w:t>
            </w:r>
          </w:p>
        </w:tc>
        <w:tc>
          <w:tcPr>
            <w:tcW w:type="dxa" w:w="4600"/>
            <w:shd w:fill="1c2230" w:val="clear"/>
            <w:tcMar>
              <w:top w:type="dxa" w:w="80"/>
              <w:left w:type="dxa" w:w="100"/>
              <w:bottom w:type="dxa" w:w="80"/>
              <w:right w:type="dxa" w:w="100"/>
            </w:tcMar>
          </w:tcPr>
          <w:p>
            <w:r>
              <w:rPr>
                <w:b/>
                <w:bCs/>
                <w:color w:val="ffffff"/>
                <w:sz w:val="19"/>
                <w:szCs w:val="19"/>
              </w:rPr>
              <w:t xml:space="preserve">Notes</w:t>
            </w:r>
          </w:p>
        </w:tc>
      </w:tr>
      <w:tr>
        <w:tc>
          <w:tcPr>
            <w:tcW w:type="dxa" w:w="1600"/>
            <w:tcMar>
              <w:top w:type="dxa" w:w="80"/>
              <w:left w:type="dxa" w:w="100"/>
              <w:bottom w:type="dxa" w:w="80"/>
              <w:right w:type="dxa" w:w="100"/>
            </w:tcMar>
          </w:tcPr>
          <w:p>
            <w:r>
              <w:rPr>
                <w:b w:val="false"/>
                <w:bCs w:val="false"/>
                <w:color w:val="1c2230"/>
                <w:sz w:val="19"/>
                <w:szCs w:val="19"/>
              </w:rPr>
              <w:t xml:space="preserve">v1</w:t>
            </w:r>
          </w:p>
        </w:tc>
        <w:tc>
          <w:tcPr>
            <w:tcW w:type="dxa" w:w="1600"/>
            <w:tcMar>
              <w:top w:type="dxa" w:w="80"/>
              <w:left w:type="dxa" w:w="100"/>
              <w:bottom w:type="dxa" w:w="80"/>
              <w:right w:type="dxa" w:w="100"/>
            </w:tcMar>
          </w:tcPr>
          <w:p>
            <w:r>
              <w:rPr>
                <w:b w:val="false"/>
                <w:bCs w:val="false"/>
                <w:color w:val="1c2230"/>
                <w:sz w:val="19"/>
                <w:szCs w:val="19"/>
              </w:rPr>
              <w:t xml:space="preserve">27 / 30</w:t>
            </w:r>
          </w:p>
        </w:tc>
        <w:tc>
          <w:tcPr>
            <w:tcW w:type="dxa" w:w="1600"/>
            <w:tcMar>
              <w:top w:type="dxa" w:w="80"/>
              <w:left w:type="dxa" w:w="100"/>
              <w:bottom w:type="dxa" w:w="80"/>
              <w:right w:type="dxa" w:w="100"/>
            </w:tcMar>
          </w:tcPr>
          <w:p>
            <w:r>
              <w:rPr>
                <w:b w:val="false"/>
                <w:bCs w:val="false"/>
                <w:color w:val="1c2230"/>
                <w:sz w:val="19"/>
                <w:szCs w:val="19"/>
              </w:rPr>
              <w:t xml:space="preserve">90.0%</w:t>
            </w:r>
          </w:p>
        </w:tc>
        <w:tc>
          <w:tcPr>
            <w:tcW w:type="dxa" w:w="4600"/>
            <w:tcMar>
              <w:top w:type="dxa" w:w="80"/>
              <w:left w:type="dxa" w:w="100"/>
              <w:bottom w:type="dxa" w:w="80"/>
              <w:right w:type="dxa" w:w="100"/>
            </w:tcMar>
          </w:tcPr>
          <w:p>
            <w:r>
              <w:rPr>
                <w:b w:val="false"/>
                <w:bCs w:val="false"/>
                <w:color w:val="1c2230"/>
                <w:sz w:val="19"/>
                <w:szCs w:val="19"/>
              </w:rPr>
              <w:t xml:space="preserve">3 sign-error cases mislabeled EXECUTION</w:t>
            </w:r>
          </w:p>
        </w:tc>
      </w:tr>
      <w:tr>
        <w:tc>
          <w:tcPr>
            <w:tcW w:type="dxa" w:w="1600"/>
            <w:shd w:fill="f2f4f8" w:val="clear"/>
            <w:tcMar>
              <w:top w:type="dxa" w:w="80"/>
              <w:left w:type="dxa" w:w="100"/>
              <w:bottom w:type="dxa" w:w="80"/>
              <w:right w:type="dxa" w:w="100"/>
            </w:tcMar>
          </w:tcPr>
          <w:p>
            <w:r>
              <w:rPr>
                <w:b w:val="false"/>
                <w:bCs w:val="false"/>
                <w:color w:val="1c2230"/>
                <w:sz w:val="19"/>
                <w:szCs w:val="19"/>
              </w:rPr>
              <w:t xml:space="preserve">v2</w:t>
            </w:r>
          </w:p>
        </w:tc>
        <w:tc>
          <w:tcPr>
            <w:tcW w:type="dxa" w:w="1600"/>
            <w:shd w:fill="f2f4f8" w:val="clear"/>
            <w:tcMar>
              <w:top w:type="dxa" w:w="80"/>
              <w:left w:type="dxa" w:w="100"/>
              <w:bottom w:type="dxa" w:w="80"/>
              <w:right w:type="dxa" w:w="100"/>
            </w:tcMar>
          </w:tcPr>
          <w:p>
            <w:r>
              <w:rPr>
                <w:b w:val="false"/>
                <w:bCs w:val="false"/>
                <w:color w:val="1c2230"/>
                <w:sz w:val="19"/>
                <w:szCs w:val="19"/>
              </w:rPr>
              <w:t xml:space="preserve">30 / 30</w:t>
            </w:r>
          </w:p>
        </w:tc>
        <w:tc>
          <w:tcPr>
            <w:tcW w:type="dxa" w:w="1600"/>
            <w:shd w:fill="f2f4f8" w:val="clear"/>
            <w:tcMar>
              <w:top w:type="dxa" w:w="80"/>
              <w:left w:type="dxa" w:w="100"/>
              <w:bottom w:type="dxa" w:w="80"/>
              <w:right w:type="dxa" w:w="100"/>
            </w:tcMar>
          </w:tcPr>
          <w:p>
            <w:r>
              <w:rPr>
                <w:b w:val="false"/>
                <w:bCs w:val="false"/>
                <w:color w:val="1c2230"/>
                <w:sz w:val="19"/>
                <w:szCs w:val="19"/>
              </w:rPr>
              <w:t xml:space="preserve">100.0%</w:t>
            </w:r>
          </w:p>
        </w:tc>
        <w:tc>
          <w:tcPr>
            <w:tcW w:type="dxa" w:w="4600"/>
            <w:shd w:fill="f2f4f8" w:val="clear"/>
            <w:tcMar>
              <w:top w:type="dxa" w:w="80"/>
              <w:left w:type="dxa" w:w="100"/>
              <w:bottom w:type="dxa" w:w="80"/>
              <w:right w:type="dxa" w:w="100"/>
            </w:tcMar>
          </w:tcPr>
          <w:p>
            <w:r>
              <w:rPr>
                <w:b w:val="false"/>
                <w:bCs w:val="false"/>
                <w:color w:val="1c2230"/>
                <w:sz w:val="19"/>
                <w:szCs w:val="19"/>
              </w:rPr>
              <w:t xml:space="preserve">0 misses, 0 regressions on the other 27 cases</w:t>
            </w:r>
          </w:p>
        </w:tc>
      </w:tr>
    </w:tbl>
    <w:p>
      <w:pPr>
        <w:spacing w:after="160" w:line="276"/>
      </w:pPr>
      <w:r>
        <w:rPr>
          <w:b w:val="false"/>
          <w:bCs w:val="false"/>
          <w:i w:val="false"/>
          <w:iCs w:val="false"/>
        </w:rPr>
        <w:t xml:space="preserve">All three predicted cases flipped from EXECUTION to CONCEPTUAL, and no other case changed. This is the clean version of the loop the methodology calls for: a specific, reproducible failure; a targeted, documented fix; and a re-measurement that confirms the fix without side effects. Both prompt versions are preserved in the codebase (SYSTEM_PROMPT_V1 and SYSTEM_PROMPT_V2 in prompts/01_reasoning_analyzer.py) with version notes explaining the change.</w:t>
      </w:r>
    </w:p>
    <w:p>
      <w:pPr>
        <w:spacing w:after="160" w:line="276"/>
      </w:pPr>
      <w:r>
        <w:rPr>
          <w:b w:val="false"/>
          <w:bCs w:val="false"/>
          <w:i w:val="false"/>
          <w:iCs w:val="false"/>
        </w:rPr>
        <w:t xml:space="preserve">The 3 newly-conceptual cases were then run through the Classifier: 2/3 were classified exactly right; the third (A07) landed on the benchmark's own registered alternative label, a case designed to be ambiguous. A v3 prompt was not judged necessary at this stage — the remaining 2 full-pipeline misses are both legitimate taxonomy-adjacency cases rather than reasoning failures (see §13).</w:t>
      </w:r>
    </w:p>
    <w:p>
      <w:r>
        <w:br w:type="page"/>
      </w:r>
    </w:p>
    <w:p>
      <w:pPr>
        <w:pStyle w:val="Heading1"/>
        <w:spacing w:after="200" w:before="400"/>
      </w:pPr>
      <w:r>
        <w:t xml:space="preserve">9. Benchmark Design</w:t>
      </w:r>
    </w:p>
    <w:p>
      <w:pPr>
        <w:spacing w:after="160" w:line="276"/>
      </w:pPr>
      <w:r>
        <w:rPr>
          <w:b w:val="false"/>
          <w:bCs w:val="false"/>
          <w:i w:val="false"/>
          <w:iCs w:val="false"/>
        </w:rPr>
        <w:t xml:space="preserve">30 hand-authored cases span Algebra (7), Functions (6), Geometry (6), Probability (6), and cross-domain Mixed (5) problems. Each case has: a problem statement, the correct answer, a wrong student answer, the student's shown reasoning steps (which may be empty), an expected error_type, and an expected misconception_id drawn from the taxonomy. Design choices, made deliberately rather than by convenience:</w:t>
      </w:r>
    </w:p>
    <w:p>
      <w:pPr>
        <w:pStyle w:val="ListParagraph"/>
        <w:numPr>
          <w:ilvl w:val="0"/>
          <w:numId w:val="1"/>
        </w:numPr>
        <w:spacing w:after="80" w:line="276"/>
      </w:pPr>
      <w:r>
        <w:t xml:space="preserve">Every taxonomy id is covered by at least one case.</w:t>
      </w:r>
    </w:p>
    <w:p>
      <w:pPr>
        <w:pStyle w:val="ListParagraph"/>
        <w:numPr>
          <w:ilvl w:val="0"/>
          <w:numId w:val="1"/>
        </w:numPr>
        <w:spacing w:after="80" w:line="276"/>
      </w:pPr>
      <w:r>
        <w:t xml:space="preserve">4 cases are pure execution_error (correct method, arithmetic slip) — a direct test of the project's central claim that a wrong answer does not automatically mean a conceptual misconception.</w:t>
      </w:r>
    </w:p>
    <w:p>
      <w:pPr>
        <w:pStyle w:val="ListParagraph"/>
        <w:numPr>
          <w:ilvl w:val="0"/>
          <w:numId w:val="1"/>
        </w:numPr>
        <w:spacing w:after="80" w:line="276"/>
      </w:pPr>
      <w:r>
        <w:t xml:space="preserve">2 cases show zero shown work (error_type = unknown) — tests whether the system resists guessing when evidence is insufficient, rather than forcing a label.</w:t>
      </w:r>
    </w:p>
    <w:p>
      <w:pPr>
        <w:pStyle w:val="ListParagraph"/>
        <w:numPr>
          <w:ilvl w:val="0"/>
          <w:numId w:val="1"/>
        </w:numPr>
        <w:spacing w:after="80" w:line="276"/>
      </w:pPr>
      <w:r>
        <w:t xml:space="preserve">3 cases (A05, A07, M02→ambiguity noted; specifically A05 and A07) are deliberately ambiguous between two adjacent taxonomy categories, with a pre-registered alt_misconception_id — designed specifically to exercise the Adversarial Critic's alternative-hypothesis mechanism.</w:t>
      </w:r>
    </w:p>
    <w:p>
      <w:pPr>
        <w:spacing w:after="160" w:line="276"/>
      </w:pPr>
      <w:r>
        <w:rPr>
          <w:b w:val="false"/>
          <w:bCs w:val="false"/>
          <w:i w:val="false"/>
          <w:iCs w:val="false"/>
        </w:rPr>
        <w:t xml:space="preserve">Full case list: benchmark/cases.csv (source of truth: benchmark/cases.py, validated programmatically against the taxonomy before every run).</w:t>
      </w:r>
    </w:p>
    <w:p>
      <w:pPr>
        <w:pStyle w:val="Heading1"/>
        <w:spacing w:after="200" w:before="400"/>
      </w:pPr>
      <w:r>
        <w:t xml:space="preserve">10. Single-Prompt Baseline</w:t>
      </w:r>
    </w:p>
    <w:p>
      <w:pPr>
        <w:spacing w:after="160" w:line="276"/>
      </w:pPr>
      <w:r>
        <w:rPr>
          <w:b w:val="false"/>
          <w:bCs w:val="false"/>
          <w:i w:val="false"/>
          <w:iCs w:val="false"/>
        </w:rPr>
        <w:t xml:space="preserve">The baseline receives the problem and the student's answer/work in one prompt and is asked to produce a tutoring response and, for scoring purposes, a claimed misconception id in one pass — the generic-chatbot approach Bluetute is built to improve on. It was run on the same 30 cases, same model, with no retries.</w:t>
      </w:r>
    </w:p>
    <w:p>
      <w:pPr>
        <w:spacing w:after="160" w:line="276"/>
      </w:pPr>
      <w:r>
        <w:rPr>
          <w:b w:val="false"/>
          <w:bCs w:val="false"/>
          <w:i w:val="false"/>
          <w:iCs w:val="false"/>
        </w:rPr>
        <w:t xml:space="preserve">Result: 26/30 (86.7%) exact-match. The 4 misses are informative in their own right:</w:t>
      </w:r>
    </w:p>
    <w:p>
      <w:pPr>
        <w:pStyle w:val="ListParagraph"/>
        <w:numPr>
          <w:ilvl w:val="0"/>
          <w:numId w:val="1"/>
        </w:numPr>
        <w:spacing w:after="80" w:line="276"/>
      </w:pPr>
      <w:r>
        <w:t xml:space="preserve">A05, A07 — ambiguous by the benchmark's own design (adjacent taxonomy categories).</w:t>
      </w:r>
    </w:p>
    <w:p>
      <w:pPr>
        <w:pStyle w:val="ListParagraph"/>
        <w:numPr>
          <w:ilvl w:val="0"/>
          <w:numId w:val="1"/>
        </w:numPr>
        <w:spacing w:after="80" w:line="276"/>
      </w:pPr>
      <w:r>
        <w:t xml:space="preserve">M03 — a labeling disagreement ("wrong theorem" vs. "angle relationship error" for a complementary/supplementary mix-up), arguably defensible either way.</w:t>
      </w:r>
    </w:p>
    <w:p>
      <w:pPr>
        <w:pStyle w:val="ListParagraph"/>
        <w:numPr>
          <w:ilvl w:val="0"/>
          <w:numId w:val="1"/>
        </w:numPr>
        <w:spacing w:after="80" w:line="276"/>
      </w:pPr>
      <w:r>
        <w:t xml:space="preserve">G06 — the case with zero shown work. The baseline did not say "insufficient evidence"; it confidently invented execution_error. This is the single clearest, measured instance of the overconfidence failure mode this project set out to address.</w:t>
      </w:r>
    </w:p>
    <w:p>
      <w:pPr>
        <w:pStyle w:val="Heading1"/>
        <w:spacing w:after="200" w:before="400"/>
      </w:pPr>
      <w:r>
        <w:t xml:space="preserve">11. Evaluation &amp; Results</w:t>
      </w:r>
    </w:p>
    <w:p>
      <w:pPr>
        <w:pStyle w:val="Heading3"/>
        <w:spacing w:after="100" w:before="220"/>
      </w:pPr>
      <w:r>
        <w:t xml:space="preserve">Per-node results (real benchmark runs, Google AI Studio / Gemini)</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300"/>
      </w:tblGrid>
      <w:tr>
        <w:trPr>
          <w:tblHeader/>
        </w:trPr>
        <w:tc>
          <w:tcPr>
            <w:tcW w:type="dxa" w:w="2600"/>
            <w:shd w:fill="1c2230" w:val="clear"/>
            <w:tcMar>
              <w:top w:type="dxa" w:w="80"/>
              <w:left w:type="dxa" w:w="100"/>
              <w:bottom w:type="dxa" w:w="80"/>
              <w:right w:type="dxa" w:w="100"/>
            </w:tcMar>
          </w:tcPr>
          <w:p>
            <w:r>
              <w:rPr>
                <w:b/>
                <w:bCs/>
                <w:color w:val="ffffff"/>
                <w:sz w:val="19"/>
                <w:szCs w:val="19"/>
              </w:rPr>
              <w:t xml:space="preserve">Node</w:t>
            </w:r>
          </w:p>
        </w:tc>
        <w:tc>
          <w:tcPr>
            <w:tcW w:type="dxa" w:w="2600"/>
            <w:shd w:fill="1c2230" w:val="clear"/>
            <w:tcMar>
              <w:top w:type="dxa" w:w="80"/>
              <w:left w:type="dxa" w:w="100"/>
              <w:bottom w:type="dxa" w:w="80"/>
              <w:right w:type="dxa" w:w="100"/>
            </w:tcMar>
          </w:tcPr>
          <w:p>
            <w:r>
              <w:rPr>
                <w:b/>
                <w:bCs/>
                <w:color w:val="ffffff"/>
                <w:sz w:val="19"/>
                <w:szCs w:val="19"/>
              </w:rPr>
              <w:t xml:space="preserve">Metric</w:t>
            </w:r>
          </w:p>
        </w:tc>
        <w:tc>
          <w:tcPr>
            <w:tcW w:type="dxa" w:w="4300"/>
            <w:shd w:fill="1c2230" w:val="clear"/>
            <w:tcMar>
              <w:top w:type="dxa" w:w="80"/>
              <w:left w:type="dxa" w:w="100"/>
              <w:bottom w:type="dxa" w:w="80"/>
              <w:right w:type="dxa" w:w="100"/>
            </w:tcMar>
          </w:tcPr>
          <w:p>
            <w:r>
              <w:rPr>
                <w:b/>
                <w:bCs/>
                <w:color w:val="ffffff"/>
                <w:sz w:val="19"/>
                <w:szCs w:val="19"/>
              </w:rPr>
              <w:t xml:space="preserve">Result</w:t>
            </w:r>
          </w:p>
        </w:tc>
      </w:tr>
      <w:tr>
        <w:tc>
          <w:tcPr>
            <w:tcW w:type="dxa" w:w="2600"/>
            <w:tcMar>
              <w:top w:type="dxa" w:w="80"/>
              <w:left w:type="dxa" w:w="100"/>
              <w:bottom w:type="dxa" w:w="80"/>
              <w:right w:type="dxa" w:w="100"/>
            </w:tcMar>
          </w:tcPr>
          <w:p>
            <w:r>
              <w:rPr>
                <w:b w:val="false"/>
                <w:bCs w:val="false"/>
                <w:color w:val="1c2230"/>
                <w:sz w:val="19"/>
                <w:szCs w:val="19"/>
              </w:rPr>
              <w:t xml:space="preserve">Reasoning Analyzer</w:t>
            </w:r>
          </w:p>
        </w:tc>
        <w:tc>
          <w:tcPr>
            <w:tcW w:type="dxa" w:w="2600"/>
            <w:tcMar>
              <w:top w:type="dxa" w:w="80"/>
              <w:left w:type="dxa" w:w="100"/>
              <w:bottom w:type="dxa" w:w="80"/>
              <w:right w:type="dxa" w:w="100"/>
            </w:tcMar>
          </w:tcPr>
          <w:p>
            <w:r>
              <w:rPr>
                <w:b w:val="false"/>
                <w:bCs w:val="false"/>
                <w:color w:val="1c2230"/>
                <w:sz w:val="19"/>
                <w:szCs w:val="19"/>
              </w:rPr>
              <w:t xml:space="preserve">error_type accuracy</w:t>
            </w:r>
          </w:p>
        </w:tc>
        <w:tc>
          <w:tcPr>
            <w:tcW w:type="dxa" w:w="4300"/>
            <w:tcMar>
              <w:top w:type="dxa" w:w="80"/>
              <w:left w:type="dxa" w:w="100"/>
              <w:bottom w:type="dxa" w:w="80"/>
              <w:right w:type="dxa" w:w="100"/>
            </w:tcMar>
          </w:tcPr>
          <w:p>
            <w:r>
              <w:rPr>
                <w:b w:val="false"/>
                <w:bCs w:val="false"/>
                <w:color w:val="1c2230"/>
                <w:sz w:val="19"/>
                <w:szCs w:val="19"/>
              </w:rPr>
              <w:t xml:space="preserve">v1: 27/30 (90.0%)  →  v2: 30/30 (100.0%)</w:t>
            </w:r>
          </w:p>
        </w:tc>
      </w:tr>
      <w:tr>
        <w:tc>
          <w:tcPr>
            <w:tcW w:type="dxa" w:w="2600"/>
            <w:shd w:fill="f2f4f8" w:val="clear"/>
            <w:tcMar>
              <w:top w:type="dxa" w:w="80"/>
              <w:left w:type="dxa" w:w="100"/>
              <w:bottom w:type="dxa" w:w="80"/>
              <w:right w:type="dxa" w:w="100"/>
            </w:tcMar>
          </w:tcPr>
          <w:p>
            <w:r>
              <w:rPr>
                <w:b w:val="false"/>
                <w:bCs w:val="false"/>
                <w:color w:val="1c2230"/>
                <w:sz w:val="19"/>
                <w:szCs w:val="19"/>
              </w:rPr>
              <w:t xml:space="preserve">Misconception Classifier</w:t>
            </w:r>
          </w:p>
        </w:tc>
        <w:tc>
          <w:tcPr>
            <w:tcW w:type="dxa" w:w="2600"/>
            <w:shd w:fill="f2f4f8" w:val="clear"/>
            <w:tcMar>
              <w:top w:type="dxa" w:w="80"/>
              <w:left w:type="dxa" w:w="100"/>
              <w:bottom w:type="dxa" w:w="80"/>
              <w:right w:type="dxa" w:w="100"/>
            </w:tcMar>
          </w:tcPr>
          <w:p>
            <w:r>
              <w:rPr>
                <w:b w:val="false"/>
                <w:bCs w:val="false"/>
                <w:color w:val="1c2230"/>
                <w:sz w:val="19"/>
                <w:szCs w:val="19"/>
              </w:rPr>
              <w:t xml:space="preserve">misconception_id exact match</w:t>
            </w:r>
          </w:p>
        </w:tc>
        <w:tc>
          <w:tcPr>
            <w:tcW w:type="dxa" w:w="4300"/>
            <w:shd w:fill="f2f4f8" w:val="clear"/>
            <w:tcMar>
              <w:top w:type="dxa" w:w="80"/>
              <w:left w:type="dxa" w:w="100"/>
              <w:bottom w:type="dxa" w:w="80"/>
              <w:right w:type="dxa" w:w="100"/>
            </w:tcMar>
          </w:tcPr>
          <w:p>
            <w:r>
              <w:rPr>
                <w:b w:val="false"/>
                <w:bCs w:val="false"/>
                <w:color w:val="1c2230"/>
                <w:sz w:val="19"/>
                <w:szCs w:val="19"/>
              </w:rPr>
              <w:t xml:space="preserve">22/23 (95.7%), 0 invented (non-taxonomy) ids</w:t>
            </w:r>
          </w:p>
        </w:tc>
      </w:tr>
      <w:tr>
        <w:tc>
          <w:tcPr>
            <w:tcW w:type="dxa" w:w="2600"/>
            <w:tcMar>
              <w:top w:type="dxa" w:w="80"/>
              <w:left w:type="dxa" w:w="100"/>
              <w:bottom w:type="dxa" w:w="80"/>
              <w:right w:type="dxa" w:w="100"/>
            </w:tcMar>
          </w:tcPr>
          <w:p>
            <w:r>
              <w:rPr>
                <w:b w:val="false"/>
                <w:bCs w:val="false"/>
                <w:color w:val="1c2230"/>
                <w:sz w:val="19"/>
                <w:szCs w:val="19"/>
              </w:rPr>
              <w:t xml:space="preserve">Adversarial Critic</w:t>
            </w:r>
          </w:p>
        </w:tc>
        <w:tc>
          <w:tcPr>
            <w:tcW w:type="dxa" w:w="2600"/>
            <w:tcMar>
              <w:top w:type="dxa" w:w="80"/>
              <w:left w:type="dxa" w:w="100"/>
              <w:bottom w:type="dxa" w:w="80"/>
              <w:right w:type="dxa" w:w="100"/>
            </w:tcMar>
          </w:tcPr>
          <w:p>
            <w:r>
              <w:rPr>
                <w:b w:val="false"/>
                <w:bCs w:val="false"/>
                <w:color w:val="1c2230"/>
                <w:sz w:val="19"/>
                <w:szCs w:val="19"/>
              </w:rPr>
              <w:t xml:space="preserve">diagnosis_survives rate</w:t>
            </w:r>
          </w:p>
        </w:tc>
        <w:tc>
          <w:tcPr>
            <w:tcW w:type="dxa" w:w="4300"/>
            <w:tcMar>
              <w:top w:type="dxa" w:w="80"/>
              <w:left w:type="dxa" w:w="100"/>
              <w:bottom w:type="dxa" w:w="80"/>
              <w:right w:type="dxa" w:w="100"/>
            </w:tcMar>
          </w:tcPr>
          <w:p>
            <w:r>
              <w:rPr>
                <w:b w:val="false"/>
                <w:bCs w:val="false"/>
                <w:color w:val="1c2230"/>
                <w:sz w:val="19"/>
                <w:szCs w:val="19"/>
              </w:rPr>
              <w:t xml:space="preserve">20/20 (100%) — flagged as a rubber-stamp signal, not a success metric</w:t>
            </w:r>
          </w:p>
        </w:tc>
      </w:tr>
      <w:tr>
        <w:tc>
          <w:tcPr>
            <w:tcW w:type="dxa" w:w="2600"/>
            <w:shd w:fill="f2f4f8" w:val="clear"/>
            <w:tcMar>
              <w:top w:type="dxa" w:w="80"/>
              <w:left w:type="dxa" w:w="100"/>
              <w:bottom w:type="dxa" w:w="80"/>
              <w:right w:type="dxa" w:w="100"/>
            </w:tcMar>
          </w:tcPr>
          <w:p>
            <w:r>
              <w:rPr>
                <w:b w:val="false"/>
                <w:bCs w:val="false"/>
                <w:color w:val="1c2230"/>
                <w:sz w:val="19"/>
                <w:szCs w:val="19"/>
              </w:rPr>
              <w:t xml:space="preserve">Diagnosis Selector</w:t>
            </w:r>
          </w:p>
        </w:tc>
        <w:tc>
          <w:tcPr>
            <w:tcW w:type="dxa" w:w="2600"/>
            <w:shd w:fill="f2f4f8" w:val="clear"/>
            <w:tcMar>
              <w:top w:type="dxa" w:w="80"/>
              <w:left w:type="dxa" w:w="100"/>
              <w:bottom w:type="dxa" w:w="80"/>
              <w:right w:type="dxa" w:w="100"/>
            </w:tcMar>
          </w:tcPr>
          <w:p>
            <w:r>
              <w:rPr>
                <w:b w:val="false"/>
                <w:bCs w:val="false"/>
                <w:color w:val="1c2230"/>
                <w:sz w:val="19"/>
                <w:szCs w:val="19"/>
              </w:rPr>
              <w:t xml:space="preserve">final accuracy / net changes</w:t>
            </w:r>
          </w:p>
        </w:tc>
        <w:tc>
          <w:tcPr>
            <w:tcW w:type="dxa" w:w="4300"/>
            <w:shd w:fill="f2f4f8" w:val="clear"/>
            <w:tcMar>
              <w:top w:type="dxa" w:w="80"/>
              <w:left w:type="dxa" w:w="100"/>
              <w:bottom w:type="dxa" w:w="80"/>
              <w:right w:type="dxa" w:w="100"/>
            </w:tcMar>
          </w:tcPr>
          <w:p>
            <w:r>
              <w:rPr>
                <w:b w:val="false"/>
                <w:bCs w:val="false"/>
                <w:color w:val="1c2230"/>
                <w:sz w:val="19"/>
                <w:szCs w:val="19"/>
              </w:rPr>
              <w:t xml:space="preserve">19/20 (95.0%); 0/20 diagnoses changed vs. Classifier alone</w:t>
            </w:r>
          </w:p>
        </w:tc>
      </w:tr>
    </w:tbl>
    <w:p>
      <w:pPr>
        <w:pStyle w:val="Heading3"/>
        <w:spacing w:after="100" w:before="220"/>
      </w:pPr>
      <w:r>
        <w:t xml:space="preserve">Full-pipeline result vs. baseline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7800"/>
        <w:gridCol w:w="1600"/>
      </w:tblGrid>
      <w:tr>
        <w:trPr>
          <w:tblHeader/>
        </w:trPr>
        <w:tc>
          <w:tcPr>
            <w:tcW w:type="dxa" w:w="7800"/>
            <w:shd w:fill="1c2230" w:val="clear"/>
            <w:tcMar>
              <w:top w:type="dxa" w:w="80"/>
              <w:left w:type="dxa" w:w="100"/>
              <w:bottom w:type="dxa" w:w="80"/>
              <w:right w:type="dxa" w:w="100"/>
            </w:tcMar>
          </w:tcPr>
          <w:p>
            <w:r>
              <w:rPr>
                <w:b/>
                <w:bCs/>
                <w:color w:val="ffffff"/>
                <w:sz w:val="19"/>
                <w:szCs w:val="19"/>
              </w:rPr>
              <w:t xml:space="preserve">System</w:t>
            </w:r>
          </w:p>
        </w:tc>
        <w:tc>
          <w:tcPr>
            <w:tcW w:type="dxa" w:w="1600"/>
            <w:shd w:fill="1c2230" w:val="clear"/>
            <w:tcMar>
              <w:top w:type="dxa" w:w="80"/>
              <w:left w:type="dxa" w:w="100"/>
              <w:bottom w:type="dxa" w:w="80"/>
              <w:right w:type="dxa" w:w="100"/>
            </w:tcMar>
          </w:tcPr>
          <w:p>
            <w:r>
              <w:rPr>
                <w:b/>
                <w:bCs/>
                <w:color w:val="ffffff"/>
                <w:sz w:val="19"/>
                <w:szCs w:val="19"/>
              </w:rPr>
              <w:t xml:space="preserve">Full 30-case accuracy</w:t>
            </w:r>
          </w:p>
        </w:tc>
      </w:tr>
      <w:tr>
        <w:tc>
          <w:tcPr>
            <w:tcW w:type="dxa" w:w="7800"/>
            <w:tcMar>
              <w:top w:type="dxa" w:w="80"/>
              <w:left w:type="dxa" w:w="100"/>
              <w:bottom w:type="dxa" w:w="80"/>
              <w:right w:type="dxa" w:w="100"/>
            </w:tcMar>
          </w:tcPr>
          <w:p>
            <w:r>
              <w:rPr>
                <w:b w:val="false"/>
                <w:bCs w:val="false"/>
                <w:color w:val="1c2230"/>
                <w:sz w:val="19"/>
                <w:szCs w:val="19"/>
              </w:rPr>
              <w:t xml:space="preserve">Single-prompt baseline</w:t>
            </w:r>
          </w:p>
        </w:tc>
        <w:tc>
          <w:tcPr>
            <w:tcW w:type="dxa" w:w="1600"/>
            <w:tcMar>
              <w:top w:type="dxa" w:w="80"/>
              <w:left w:type="dxa" w:w="100"/>
              <w:bottom w:type="dxa" w:w="80"/>
              <w:right w:type="dxa" w:w="100"/>
            </w:tcMar>
          </w:tcPr>
          <w:p>
            <w:r>
              <w:rPr>
                <w:b w:val="false"/>
                <w:bCs w:val="false"/>
                <w:color w:val="1c2230"/>
                <w:sz w:val="19"/>
                <w:szCs w:val="19"/>
              </w:rPr>
              <w:t xml:space="preserve">26/30 = 86.7%</w:t>
            </w:r>
          </w:p>
        </w:tc>
      </w:tr>
      <w:tr>
        <w:tc>
          <w:tcPr>
            <w:tcW w:type="dxa" w:w="7800"/>
            <w:shd w:fill="f2f4f8" w:val="clear"/>
            <w:tcMar>
              <w:top w:type="dxa" w:w="80"/>
              <w:left w:type="dxa" w:w="100"/>
              <w:bottom w:type="dxa" w:w="80"/>
              <w:right w:type="dxa" w:w="100"/>
            </w:tcMar>
          </w:tcPr>
          <w:p>
            <w:r>
              <w:rPr>
                <w:b w:val="false"/>
                <w:bCs w:val="false"/>
                <w:color w:val="1c2230"/>
                <w:sz w:val="19"/>
                <w:szCs w:val="19"/>
              </w:rPr>
              <w:t xml:space="preserve">Bluetute pipeline v1</w:t>
            </w:r>
          </w:p>
        </w:tc>
        <w:tc>
          <w:tcPr>
            <w:tcW w:type="dxa" w:w="1600"/>
            <w:shd w:fill="f2f4f8" w:val="clear"/>
            <w:tcMar>
              <w:top w:type="dxa" w:w="80"/>
              <w:left w:type="dxa" w:w="100"/>
              <w:bottom w:type="dxa" w:w="80"/>
              <w:right w:type="dxa" w:w="100"/>
            </w:tcMar>
          </w:tcPr>
          <w:p>
            <w:r>
              <w:rPr>
                <w:b w:val="false"/>
                <w:bCs w:val="false"/>
                <w:color w:val="1c2230"/>
                <w:sz w:val="19"/>
                <w:szCs w:val="19"/>
              </w:rPr>
              <w:t xml:space="preserve">26/30 = 86.7% (tie)</w:t>
            </w:r>
          </w:p>
        </w:tc>
      </w:tr>
      <w:tr>
        <w:tc>
          <w:tcPr>
            <w:tcW w:type="dxa" w:w="7800"/>
            <w:tcMar>
              <w:top w:type="dxa" w:w="80"/>
              <w:left w:type="dxa" w:w="100"/>
              <w:bottom w:type="dxa" w:w="80"/>
              <w:right w:type="dxa" w:w="100"/>
            </w:tcMar>
          </w:tcPr>
          <w:p>
            <w:r>
              <w:rPr>
                <w:b w:val="false"/>
                <w:bCs w:val="false"/>
                <w:color w:val="1c2230"/>
                <w:sz w:val="19"/>
                <w:szCs w:val="19"/>
              </w:rPr>
              <w:t xml:space="preserve">Bluetute pipeline v2 (exact match)</w:t>
            </w:r>
          </w:p>
        </w:tc>
        <w:tc>
          <w:tcPr>
            <w:tcW w:type="dxa" w:w="1600"/>
            <w:tcMar>
              <w:top w:type="dxa" w:w="80"/>
              <w:left w:type="dxa" w:w="100"/>
              <w:bottom w:type="dxa" w:w="80"/>
              <w:right w:type="dxa" w:w="100"/>
            </w:tcMar>
          </w:tcPr>
          <w:p>
            <w:r>
              <w:rPr>
                <w:b w:val="false"/>
                <w:bCs w:val="false"/>
                <w:color w:val="1c2230"/>
                <w:sz w:val="19"/>
                <w:szCs w:val="19"/>
              </w:rPr>
              <w:t xml:space="preserve">28/30 = 93.3%</w:t>
            </w:r>
          </w:p>
        </w:tc>
      </w:tr>
      <w:tr>
        <w:tc>
          <w:tcPr>
            <w:tcW w:type="dxa" w:w="7800"/>
            <w:shd w:fill="f2f4f8" w:val="clear"/>
            <w:tcMar>
              <w:top w:type="dxa" w:w="80"/>
              <w:left w:type="dxa" w:w="100"/>
              <w:bottom w:type="dxa" w:w="80"/>
              <w:right w:type="dxa" w:w="100"/>
            </w:tcMar>
          </w:tcPr>
          <w:p>
            <w:r>
              <w:rPr>
                <w:b w:val="false"/>
                <w:bCs w:val="false"/>
                <w:color w:val="1c2230"/>
                <w:sz w:val="19"/>
                <w:szCs w:val="19"/>
              </w:rPr>
              <w:t xml:space="preserve">Bluetute pipeline v2 (exact-or-legitimate-alternative)</w:t>
            </w:r>
          </w:p>
        </w:tc>
        <w:tc>
          <w:tcPr>
            <w:tcW w:type="dxa" w:w="1600"/>
            <w:shd w:fill="f2f4f8" w:val="clear"/>
            <w:tcMar>
              <w:top w:type="dxa" w:w="80"/>
              <w:left w:type="dxa" w:w="100"/>
              <w:bottom w:type="dxa" w:w="80"/>
              <w:right w:type="dxa" w:w="100"/>
            </w:tcMar>
          </w:tcPr>
          <w:p>
            <w:r>
              <w:rPr>
                <w:b w:val="false"/>
                <w:bCs w:val="false"/>
                <w:color w:val="1c2230"/>
                <w:sz w:val="19"/>
                <w:szCs w:val="19"/>
              </w:rPr>
              <w:t xml:space="preserve">29/30 = 96.7%</w:t>
            </w:r>
          </w:p>
        </w:tc>
      </w:tr>
    </w:tbl>
    <w:p>
      <w:pPr>
        <w:spacing w:after="160" w:line="276"/>
      </w:pPr>
      <w:r>
        <w:rPr>
          <w:b w:val="false"/>
          <w:bCs w:val="false"/>
          <w:i w:val="false"/>
          <w:iCs w:val="false"/>
        </w:rPr>
        <w:t xml:space="preserve">Metrics not yet measured against the benchmark, per the project's own evaluation checklist: intervention quality, misconception resolution rate, latency, token usage, and estimated cost. These require running Nodes 6-8 (§7) and the adaptive loop, and are the largest remaining evaluation gap — see §14.</w:t>
      </w:r>
    </w:p>
    <w:p>
      <w:r>
        <w:br w:type="page"/>
      </w:r>
    </w:p>
    <w:p>
      <w:pPr>
        <w:pStyle w:val="Heading1"/>
        <w:spacing w:after="200" w:before="400"/>
      </w:pPr>
      <w:r>
        <w:t xml:space="preserve">12. Samples: Baseline vs. Bluetute</w:t>
      </w:r>
    </w:p>
    <w:p>
      <w:pPr>
        <w:spacing w:after="160" w:line="276"/>
      </w:pPr>
      <w:r>
        <w:rPr>
          <w:b w:val="false"/>
          <w:bCs w:val="false"/>
          <w:i w:val="false"/>
          <w:iCs w:val="false"/>
        </w:rPr>
        <w:t xml:space="preserve">Three real cases, shown with unedited model output from the actual benchmark runs.</w:t>
      </w:r>
    </w:p>
    <w:p>
      <w:pPr>
        <w:pStyle w:val="Heading3"/>
        <w:spacing w:after="100" w:before="220"/>
      </w:pPr>
      <w:r>
        <w:t xml:space="preserve">Sample 1 — A03: 2x + 6 = 14, student answers x = 10 (the project's own worked example)</w:t>
      </w:r>
    </w:p>
    <w:p>
      <w:pPr>
        <w:spacing w:after="160" w:line="276"/>
      </w:pPr>
      <w:r>
        <w:rPr>
          <w:b/>
          <w:bCs/>
          <w:i w:val="false"/>
          <w:iCs w:val="false"/>
        </w:rPr>
        <w:t xml:space="preserve">Baseline response (single prompt, claimed algebra.inverse_operation_error — correct):</w:t>
      </w:r>
    </w:p>
    <w:p>
      <w:pPr>
        <w:spacing w:after="160" w:line="276"/>
      </w:pPr>
      <w:r>
        <w:rPr>
          <w:b w:val="false"/>
          <w:bCs w:val="false"/>
          <w:i/>
          <w:iCs/>
        </w:rPr>
        <w:t xml:space="preserve">“I see how you moved the 6 to the other side of the equation! However, take a closer look at that step. Since the 6 is being added on the left side (+ 6), what is the opposite (inverse) operation you should use to move it to the right side?”</w:t>
      </w:r>
    </w:p>
    <w:p>
      <w:pPr>
        <w:spacing w:after="160" w:line="276"/>
      </w:pPr>
      <w:r>
        <w:rPr>
          <w:b/>
          <w:bCs/>
          <w:i w:val="false"/>
          <w:iCs w:val="false"/>
        </w:rPr>
        <w:t xml:space="preserve">Bluetute's diagnostic trace:</w:t>
      </w:r>
    </w:p>
    <w:p>
      <w:pPr>
        <w:pStyle w:val="ListParagraph"/>
        <w:numPr>
          <w:ilvl w:val="0"/>
          <w:numId w:val="1"/>
        </w:numPr>
        <w:spacing w:after="80" w:line="276"/>
      </w:pPr>
      <w:r>
        <w:t xml:space="preserve">Reasoning Analyzer: error_type = conceptual. Evidence: “the student incorrectly used addition as the inverse of addition to isolate the 2x term.” (confidence 1.0)</w:t>
      </w:r>
    </w:p>
    <w:p>
      <w:pPr>
        <w:pStyle w:val="ListParagraph"/>
        <w:numPr>
          <w:ilvl w:val="0"/>
          <w:numId w:val="1"/>
        </w:numPr>
        <w:spacing w:after="80" w:line="276"/>
      </w:pPr>
      <w:r>
        <w:t xml:space="preserve">Misconception Classifier: algebra.inverse_operation_error. Evidence: “the student added 6 instead of subtracting it, failing to use the correct inverse operation.”</w:t>
      </w:r>
    </w:p>
    <w:p>
      <w:pPr>
        <w:pStyle w:val="ListParagraph"/>
        <w:numPr>
          <w:ilvl w:val="0"/>
          <w:numId w:val="1"/>
        </w:numPr>
        <w:spacing w:after="80" w:line="276"/>
      </w:pPr>
      <w:r>
        <w:t xml:space="preserve">Adversarial Critic: proposed execution_error as an alternative (“might have miscalculated 14+6 as 20”), plausibility 0.3, but concluded diagnosis_survives = true.</w:t>
      </w:r>
    </w:p>
    <w:p>
      <w:pPr>
        <w:pStyle w:val="ListParagraph"/>
        <w:numPr>
          <w:ilvl w:val="0"/>
          <w:numId w:val="1"/>
        </w:numPr>
        <w:spacing w:after="80" w:line="276"/>
      </w:pPr>
      <w:r>
        <w:t xml:space="preserve">Diagnosis Selector (final): algebra.inverse_operation_error, confidence 1.0, intervention_appropriate = true.</w:t>
      </w:r>
    </w:p>
    <w:p>
      <w:pPr>
        <w:spacing w:after="160" w:line="276"/>
      </w:pPr>
      <w:r>
        <w:rPr>
          <w:b w:val="false"/>
          <w:bCs w:val="false"/>
          <w:i w:val="false"/>
          <w:iCs w:val="false"/>
        </w:rPr>
        <w:t xml:space="preserve">On this case both systems land on the same, correct answer — but Bluetute produces a checkable evidence chain and an explicitly considered (and rejected) alternative, where the baseline produces only a plausible-sounding sentence with no way to audit how it got there.</w:t>
      </w:r>
    </w:p>
    <w:p>
      <w:pPr>
        <w:pStyle w:val="Heading3"/>
        <w:spacing w:after="100" w:before="220"/>
      </w:pPr>
      <w:r>
        <w:t xml:space="preserve">Sample 2 — G06: triangle angle-sum problem, no shown work (the clearest differentiator)</w:t>
      </w:r>
    </w:p>
    <w:p>
      <w:pPr>
        <w:spacing w:after="160" w:line="276"/>
      </w:pPr>
      <w:r>
        <w:rPr>
          <w:b/>
          <w:bCs/>
          <w:i w:val="false"/>
          <w:iCs w:val="false"/>
        </w:rPr>
        <w:t xml:space="preserve">Baseline response (claimed execution_error — confidently wrong):</w:t>
      </w:r>
    </w:p>
    <w:p>
      <w:pPr>
        <w:spacing w:after="160" w:line="276"/>
      </w:pPr>
      <w:r>
        <w:rPr>
          <w:b w:val="false"/>
          <w:bCs w:val="false"/>
          <w:i/>
          <w:iCs/>
        </w:rPr>
        <w:t xml:space="preserve">“You're on the right track by identifying that there is a specific total the angles in a triangle must add up to. Do you remember what that total sum is? Try adding the two angles you were given (50 and 60) and then double-check your subtraction from that total. You're very close!”</w:t>
      </w:r>
    </w:p>
    <w:p>
      <w:pPr>
        <w:spacing w:after="160" w:line="276"/>
      </w:pPr>
      <w:r>
        <w:rPr>
          <w:b/>
          <w:bCs/>
          <w:i w:val="false"/>
          <w:iCs w:val="false"/>
        </w:rPr>
        <w:t xml:space="preserve">Bluetute's diagnostic trace:</w:t>
      </w:r>
    </w:p>
    <w:p>
      <w:pPr>
        <w:pStyle w:val="ListParagraph"/>
        <w:numPr>
          <w:ilvl w:val="0"/>
          <w:numId w:val="1"/>
        </w:numPr>
        <w:spacing w:after="80" w:line="276"/>
      </w:pPr>
      <w:r>
        <w:t xml:space="preserve">Reasoning Analyzer: error_type = unknown. Evidence: “the student provides a wrong answer (80 instead of 70) but provides no reasoning steps to distinguish between a calculation error and a conceptual misunderstanding.” (confidence 1.0)</w:t>
      </w:r>
    </w:p>
    <w:p>
      <w:pPr>
        <w:pStyle w:val="ListParagraph"/>
        <w:numPr>
          <w:ilvl w:val="0"/>
          <w:numId w:val="1"/>
        </w:numPr>
        <w:spacing w:after="80" w:line="276"/>
      </w:pPr>
      <w:r>
        <w:t xml:space="preserve">Pipeline correctly routes no further — Node 3 (Classifier) is only invoked when error_type = conceptual, so no diagnosis is forced. Per Node 6's design, this should surface as a clarifying question rather than an intervention on a guess.</w:t>
      </w:r>
    </w:p>
    <w:p>
      <w:pPr>
        <w:spacing w:after="160" w:line="276"/>
      </w:pPr>
      <w:r>
        <w:rPr>
          <w:b w:val="false"/>
          <w:bCs w:val="false"/>
          <w:i w:val="false"/>
          <w:iCs w:val="false"/>
        </w:rPr>
        <w:t xml:space="preserve">This is the single most direct, measured evidence for the project's central claim in this report. The baseline fabricated a specific, confident diagnosis from zero evidence; the structured pipeline's first node correctly recognized the evidence didn't support any diagnosis and stopped rather than guessing.</w:t>
      </w:r>
    </w:p>
    <w:p>
      <w:pPr>
        <w:pStyle w:val="Heading3"/>
        <w:spacing w:after="100" w:before="220"/>
      </w:pPr>
      <w:r>
        <w:t xml:space="preserve">Sample 3 — A05: fraction equation, the pipeline's one real miss (an honest limitation)</w:t>
      </w:r>
    </w:p>
    <w:p>
      <w:pPr>
        <w:spacing w:after="160" w:line="276"/>
      </w:pPr>
      <w:r>
        <w:rPr>
          <w:b/>
          <w:bCs/>
          <w:i w:val="false"/>
          <w:iCs w:val="false"/>
        </w:rPr>
        <w:t xml:space="preserve">Baseline response (claimed algebra.distribution_error — same miss as the pipeline):</w:t>
      </w:r>
    </w:p>
    <w:p>
      <w:pPr>
        <w:spacing w:after="160" w:line="276"/>
      </w:pPr>
      <w:r>
        <w:rPr>
          <w:b w:val="false"/>
          <w:bCs w:val="false"/>
          <w:i/>
          <w:iCs/>
        </w:rPr>
        <w:t xml:space="preserve">“You're on the right track by trying to eliminate the fraction! When you multiplied the left side by 4, you correctly turned x/4 into x. However, remember that when you multiply an entire side of an equation, you have to multiply every term on that side...”</w:t>
      </w:r>
    </w:p>
    <w:p>
      <w:pPr>
        <w:spacing w:after="160" w:line="276"/>
      </w:pPr>
      <w:r>
        <w:rPr>
          <w:b/>
          <w:bCs/>
          <w:i w:val="false"/>
          <w:iCs w:val="false"/>
        </w:rPr>
        <w:t xml:space="preserve">Bluetute's diagnostic trace:</w:t>
      </w:r>
    </w:p>
    <w:p>
      <w:pPr>
        <w:pStyle w:val="ListParagraph"/>
        <w:numPr>
          <w:ilvl w:val="0"/>
          <w:numId w:val="1"/>
        </w:numPr>
        <w:spacing w:after="80" w:line="276"/>
      </w:pPr>
      <w:r>
        <w:t xml:space="preserve">Reasoning Analyzer: conceptual, correctly identifies the missing multiplication of the -3 term.</w:t>
      </w:r>
    </w:p>
    <w:p>
      <w:pPr>
        <w:pStyle w:val="ListParagraph"/>
        <w:numPr>
          <w:ilvl w:val="0"/>
          <w:numId w:val="1"/>
        </w:numPr>
        <w:spacing w:after="80" w:line="276"/>
      </w:pPr>
      <w:r>
        <w:t xml:space="preserve">Misconception Classifier: algebra.distribution_error (expected: algebra.variable_isolation_error) — a near-miss between two adjacent taxonomy categories, confidence 0.9, alternative_candidate_ids explicitly includes the intended answer.</w:t>
      </w:r>
    </w:p>
    <w:p>
      <w:pPr>
        <w:pStyle w:val="ListParagraph"/>
        <w:numPr>
          <w:ilvl w:val="0"/>
          <w:numId w:val="1"/>
        </w:numPr>
        <w:spacing w:after="80" w:line="276"/>
      </w:pPr>
      <w:r>
        <w:t xml:space="preserve">Adversarial Critic: independently proposes algebra.variable_isolation_error as the alternative, with genuine supporting AND contradicting evidence on both sides — exactly the intended adversarial behavior. Concludes diagnosis_survives = true.</w:t>
      </w:r>
    </w:p>
    <w:p>
      <w:pPr>
        <w:pStyle w:val="ListParagraph"/>
        <w:numPr>
          <w:ilvl w:val="0"/>
          <w:numId w:val="1"/>
        </w:numPr>
        <w:spacing w:after="80" w:line="276"/>
      </w:pPr>
      <w:r>
        <w:t xml:space="preserve">Diagnosis Selector: keeps algebra.distribution_error unchanged — does not act on the Critic's own alternative.</w:t>
      </w:r>
    </w:p>
    <w:p>
      <w:pPr>
        <w:spacing w:after="160" w:line="276"/>
      </w:pPr>
      <w:r>
        <w:rPr>
          <w:b w:val="false"/>
          <w:bCs w:val="false"/>
          <w:i w:val="false"/>
          <w:iCs w:val="false"/>
        </w:rPr>
        <w:t xml:space="preserve">Both systems miss this one the same way, for a defensible reason: the benchmark's own two categories genuinely overlap for this failure pattern. What differs is that Bluetute's trace shows exactly where the ambiguity lives and that its own Critic flagged the more precise answer — a concrete, actionable signal a generic single-prompt system cannot produce, and a clear target for the Diagnosis Selector's next prompt iteration (weigh Critic alternatives more heavily when their supporting evidence is strong even if diagnosis_survives = true).</w:t>
      </w:r>
    </w:p>
    <w:p>
      <w:r>
        <w:br w:type="page"/>
      </w:r>
    </w:p>
    <w:p>
      <w:pPr>
        <w:pStyle w:val="Heading1"/>
        <w:spacing w:after="200" w:before="400"/>
      </w:pPr>
      <w:r>
        <w:t xml:space="preserve">13. Ablation Study</w:t>
      </w:r>
    </w:p>
    <w:p>
      <w:pPr>
        <w:spacing w:after="160" w:line="276"/>
      </w:pPr>
      <w:r>
        <w:rPr>
          <w:b w:val="false"/>
          <w:bCs w:val="false"/>
          <w:i w:val="false"/>
          <w:iCs w:val="false"/>
        </w:rPr>
        <w:t xml:space="preserve">The project brief calls for five progressive stages: (1) single prompt, (2) diagnosis only, (3) diagnosis + critic, (4) diagnosis + critic + intervention, (5) full workflow. Stages (1) and effectively (2)+(3) combined are measured in this report; (4) and (5) require the not-yet-benchmarked intervention chain (§7). What the measured stages already show:</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3800"/>
      </w:tblGrid>
      <w:tr>
        <w:trPr>
          <w:tblHeader/>
        </w:trPr>
        <w:tc>
          <w:tcPr>
            <w:tcW w:type="dxa" w:w="3200"/>
            <w:shd w:fill="1c2230" w:val="clear"/>
            <w:tcMar>
              <w:top w:type="dxa" w:w="80"/>
              <w:left w:type="dxa" w:w="100"/>
              <w:bottom w:type="dxa" w:w="80"/>
              <w:right w:type="dxa" w:w="100"/>
            </w:tcMar>
          </w:tcPr>
          <w:p>
            <w:r>
              <w:rPr>
                <w:b/>
                <w:bCs/>
                <w:color w:val="ffffff"/>
                <w:sz w:val="19"/>
                <w:szCs w:val="19"/>
              </w:rPr>
              <w:t xml:space="preserve">Stage</w:t>
            </w:r>
          </w:p>
        </w:tc>
        <w:tc>
          <w:tcPr>
            <w:tcW w:type="dxa" w:w="1600"/>
            <w:shd w:fill="1c2230" w:val="clear"/>
            <w:tcMar>
              <w:top w:type="dxa" w:w="80"/>
              <w:left w:type="dxa" w:w="100"/>
              <w:bottom w:type="dxa" w:w="80"/>
              <w:right w:type="dxa" w:w="100"/>
            </w:tcMar>
          </w:tcPr>
          <w:p>
            <w:r>
              <w:rPr>
                <w:b/>
                <w:bCs/>
                <w:color w:val="ffffff"/>
                <w:sz w:val="19"/>
                <w:szCs w:val="19"/>
              </w:rPr>
              <w:t xml:space="preserve">Accuracy</w:t>
            </w:r>
          </w:p>
        </w:tc>
        <w:tc>
          <w:tcPr>
            <w:tcW w:type="dxa" w:w="3800"/>
            <w:shd w:fill="1c2230" w:val="clear"/>
            <w:tcMar>
              <w:top w:type="dxa" w:w="80"/>
              <w:left w:type="dxa" w:w="100"/>
              <w:bottom w:type="dxa" w:w="80"/>
              <w:right w:type="dxa" w:w="100"/>
            </w:tcMar>
          </w:tcPr>
          <w:p>
            <w:r>
              <w:rPr>
                <w:b/>
                <w:bCs/>
                <w:color w:val="ffffff"/>
                <w:sz w:val="19"/>
                <w:szCs w:val="19"/>
              </w:rPr>
              <w:t xml:space="preserve">What actually moved the number</w:t>
            </w:r>
          </w:p>
        </w:tc>
      </w:tr>
      <w:tr>
        <w:tc>
          <w:tcPr>
            <w:tcW w:type="dxa" w:w="3200"/>
            <w:tcMar>
              <w:top w:type="dxa" w:w="80"/>
              <w:left w:type="dxa" w:w="100"/>
              <w:bottom w:type="dxa" w:w="80"/>
              <w:right w:type="dxa" w:w="100"/>
            </w:tcMar>
          </w:tcPr>
          <w:p>
            <w:r>
              <w:rPr>
                <w:b w:val="false"/>
                <w:bCs w:val="false"/>
                <w:color w:val="1c2230"/>
                <w:sz w:val="19"/>
                <w:szCs w:val="19"/>
              </w:rPr>
              <w:t xml:space="preserve">(1) Single prompt</w:t>
            </w:r>
          </w:p>
        </w:tc>
        <w:tc>
          <w:tcPr>
            <w:tcW w:type="dxa" w:w="1600"/>
            <w:tcMar>
              <w:top w:type="dxa" w:w="80"/>
              <w:left w:type="dxa" w:w="100"/>
              <w:bottom w:type="dxa" w:w="80"/>
              <w:right w:type="dxa" w:w="100"/>
            </w:tcMar>
          </w:tcPr>
          <w:p>
            <w:r>
              <w:rPr>
                <w:b w:val="false"/>
                <w:bCs w:val="false"/>
                <w:color w:val="1c2230"/>
                <w:sz w:val="19"/>
                <w:szCs w:val="19"/>
              </w:rPr>
              <w:t xml:space="preserve">26/30 = 86.7%</w:t>
            </w:r>
          </w:p>
        </w:tc>
        <w:tc>
          <w:tcPr>
            <w:tcW w:type="dxa" w:w="3800"/>
            <w:tcMar>
              <w:top w:type="dxa" w:w="80"/>
              <w:left w:type="dxa" w:w="100"/>
              <w:bottom w:type="dxa" w:w="80"/>
              <w:right w:type="dxa" w:w="100"/>
            </w:tcMar>
          </w:tcPr>
          <w:p>
            <w:r>
              <w:rPr>
                <w:b w:val="false"/>
                <w:bCs w:val="false"/>
                <w:color w:val="1c2230"/>
                <w:sz w:val="19"/>
                <w:szCs w:val="19"/>
              </w:rPr>
              <w:t xml:space="preserve">Baseline.</w:t>
            </w:r>
          </w:p>
        </w:tc>
      </w:tr>
      <w:tr>
        <w:tc>
          <w:tcPr>
            <w:tcW w:type="dxa" w:w="3200"/>
            <w:shd w:fill="f2f4f8" w:val="clear"/>
            <w:tcMar>
              <w:top w:type="dxa" w:w="80"/>
              <w:left w:type="dxa" w:w="100"/>
              <w:bottom w:type="dxa" w:w="80"/>
              <w:right w:type="dxa" w:w="100"/>
            </w:tcMar>
          </w:tcPr>
          <w:p>
            <w:r>
              <w:rPr>
                <w:b w:val="false"/>
                <w:bCs w:val="false"/>
                <w:color w:val="1c2230"/>
                <w:sz w:val="19"/>
                <w:szCs w:val="19"/>
              </w:rPr>
              <w:t xml:space="preserve">(2)+(3) Diagnosis + Critic (v1 prompts)</w:t>
            </w:r>
          </w:p>
        </w:tc>
        <w:tc>
          <w:tcPr>
            <w:tcW w:type="dxa" w:w="1600"/>
            <w:shd w:fill="f2f4f8" w:val="clear"/>
            <w:tcMar>
              <w:top w:type="dxa" w:w="80"/>
              <w:left w:type="dxa" w:w="100"/>
              <w:bottom w:type="dxa" w:w="80"/>
              <w:right w:type="dxa" w:w="100"/>
            </w:tcMar>
          </w:tcPr>
          <w:p>
            <w:r>
              <w:rPr>
                <w:b w:val="false"/>
                <w:bCs w:val="false"/>
                <w:color w:val="1c2230"/>
                <w:sz w:val="19"/>
                <w:szCs w:val="19"/>
              </w:rPr>
              <w:t xml:space="preserve">26/30 = 86.7%</w:t>
            </w:r>
          </w:p>
        </w:tc>
        <w:tc>
          <w:tcPr>
            <w:tcW w:type="dxa" w:w="3800"/>
            <w:shd w:fill="f2f4f8" w:val="clear"/>
            <w:tcMar>
              <w:top w:type="dxa" w:w="80"/>
              <w:left w:type="dxa" w:w="100"/>
              <w:bottom w:type="dxa" w:w="80"/>
              <w:right w:type="dxa" w:w="100"/>
            </w:tcMar>
          </w:tcPr>
          <w:p>
            <w:r>
              <w:rPr>
                <w:b w:val="false"/>
                <w:bCs w:val="false"/>
                <w:color w:val="1c2230"/>
                <w:sz w:val="19"/>
                <w:szCs w:val="19"/>
              </w:rPr>
              <w:t xml:space="preserve">Tied the baseline — the Critic made zero net changes to any diagnosis this run.</w:t>
            </w:r>
          </w:p>
        </w:tc>
      </w:tr>
      <w:tr>
        <w:tc>
          <w:tcPr>
            <w:tcW w:type="dxa" w:w="3200"/>
            <w:tcMar>
              <w:top w:type="dxa" w:w="80"/>
              <w:left w:type="dxa" w:w="100"/>
              <w:bottom w:type="dxa" w:w="80"/>
              <w:right w:type="dxa" w:w="100"/>
            </w:tcMar>
          </w:tcPr>
          <w:p>
            <w:r>
              <w:rPr>
                <w:b w:val="false"/>
                <w:bCs w:val="false"/>
                <w:color w:val="1c2230"/>
                <w:sz w:val="19"/>
                <w:szCs w:val="19"/>
              </w:rPr>
              <w:t xml:space="preserve">(2)+(3) Diagnosis + Critic (v2 Analyzer)</w:t>
            </w:r>
          </w:p>
        </w:tc>
        <w:tc>
          <w:tcPr>
            <w:tcW w:type="dxa" w:w="1600"/>
            <w:tcMar>
              <w:top w:type="dxa" w:w="80"/>
              <w:left w:type="dxa" w:w="100"/>
              <w:bottom w:type="dxa" w:w="80"/>
              <w:right w:type="dxa" w:w="100"/>
            </w:tcMar>
          </w:tcPr>
          <w:p>
            <w:r>
              <w:rPr>
                <w:b w:val="false"/>
                <w:bCs w:val="false"/>
                <w:color w:val="1c2230"/>
                <w:sz w:val="19"/>
                <w:szCs w:val="19"/>
              </w:rPr>
              <w:t xml:space="preserve">28/30 = 93.3%</w:t>
            </w:r>
          </w:p>
        </w:tc>
        <w:tc>
          <w:tcPr>
            <w:tcW w:type="dxa" w:w="3800"/>
            <w:tcMar>
              <w:top w:type="dxa" w:w="80"/>
              <w:left w:type="dxa" w:w="100"/>
              <w:bottom w:type="dxa" w:w="80"/>
              <w:right w:type="dxa" w:w="100"/>
            </w:tcMar>
          </w:tcPr>
          <w:p>
            <w:r>
              <w:rPr>
                <w:b w:val="false"/>
                <w:bCs w:val="false"/>
                <w:color w:val="1c2230"/>
                <w:sz w:val="19"/>
                <w:szCs w:val="19"/>
              </w:rPr>
              <w:t xml:space="preserve">The prompt fix, not the addition of the Critic, drove the improvement.</w:t>
            </w:r>
          </w:p>
        </w:tc>
      </w:tr>
    </w:tbl>
    <w:p>
      <w:pPr>
        <w:spacing w:after="160" w:line="276"/>
      </w:pPr>
      <w:r>
        <w:rPr>
          <w:b w:val="false"/>
          <w:bCs w:val="false"/>
          <w:i w:val="false"/>
          <w:iCs w:val="false"/>
        </w:rPr>
        <w:t xml:space="preserve">This is a genuinely useful ablation finding, stated plainly: on this benchmark, splitting diagnosis into Analyzer + Classifier + Critic + Selector did not by itself beat the baseline — targeted prompt iteration on one node did. The architecture's advantage so far is that it made that iteration possible and measurable at all (a single prompt has no equivalent lever to pull, and no way to isolate which part of its reasoning was wrong). Whether adding the Critic pays for itself in accuracy, rather than just evidence quality, is not yet proven and is called out as such rather than assumed.</w:t>
      </w:r>
    </w:p>
    <w:p>
      <w:pPr>
        <w:pStyle w:val="Heading1"/>
        <w:spacing w:after="200" w:before="400"/>
      </w:pPr>
      <w:r>
        <w:t xml:space="preserve">14. Failures &amp; Limitations</w:t>
      </w:r>
    </w:p>
    <w:p>
      <w:pPr>
        <w:pStyle w:val="ListParagraph"/>
        <w:numPr>
          <w:ilvl w:val="0"/>
          <w:numId w:val="1"/>
        </w:numPr>
        <w:spacing w:after="80" w:line="276"/>
      </w:pPr>
      <w:r>
        <w:t xml:space="preserve">Adversarial Critic rubber-stamping: 100% diagnosis_survives rate, and 10/20 “alternative” hypotheses that restated the original diagnosis rather than proposing a genuine alternative. A v2 fix is specified in §6 but not yet re-benchmarked.</w:t>
      </w:r>
    </w:p>
    <w:p>
      <w:pPr>
        <w:pStyle w:val="ListParagraph"/>
        <w:numPr>
          <w:ilvl w:val="0"/>
          <w:numId w:val="1"/>
        </w:numPr>
        <w:spacing w:after="80" w:line="276"/>
      </w:pPr>
      <w:r>
        <w:t xml:space="preserve">Diagnosis Selector under-utilizes the Critic: even when the Critic surfaced a correct, well-evidenced alternative (A05), the Selector did not act on it. The v1 prompt's rule (“keep the original unless diagnosis_survives = false”) is too binary given the Critic's own rubber-stamping tendency.</w:t>
      </w:r>
    </w:p>
    <w:p>
      <w:pPr>
        <w:pStyle w:val="ListParagraph"/>
        <w:numPr>
          <w:ilvl w:val="0"/>
          <w:numId w:val="1"/>
        </w:numPr>
        <w:spacing w:after="80" w:line="276"/>
      </w:pPr>
      <w:r>
        <w:t xml:space="preserve">Taxonomy overlap: two categories (algebra.distribution_error / algebra.variable_isolation_error) genuinely overlap for “multiply/divide before clearing an additive term” errors, confirmed independently by both a real classifier run and a real critic run landing on the same tension. Worth a taxonomy refinement pass before scaling to more domains.</w:t>
      </w:r>
    </w:p>
    <w:p>
      <w:pPr>
        <w:pStyle w:val="ListParagraph"/>
        <w:numPr>
          <w:ilvl w:val="0"/>
          <w:numId w:val="1"/>
        </w:numPr>
        <w:spacing w:after="80" w:line="276"/>
      </w:pPr>
      <w:r>
        <w:t xml:space="preserve">Intervention chain (Nodes 6-8) and the adaptive loop are designed and prompted but not run against the benchmark in this report — resolution rate, intervention quality, and latency/cost figures are not yet available.</w:t>
      </w:r>
    </w:p>
    <w:p>
      <w:pPr>
        <w:pStyle w:val="ListParagraph"/>
        <w:numPr>
          <w:ilvl w:val="0"/>
          <w:numId w:val="1"/>
        </w:numPr>
        <w:spacing w:after="80" w:line="276"/>
      </w:pPr>
      <w:r>
        <w:t xml:space="preserve">Model version was not pinned/recorded per run (only “Google Gemini via AI Studio, held constant across baseline and all nodes”) — a reproducibility gap to close before wider evaluation.</w:t>
      </w:r>
    </w:p>
    <w:p>
      <w:pPr>
        <w:pStyle w:val="ListParagraph"/>
        <w:numPr>
          <w:ilvl w:val="0"/>
          <w:numId w:val="1"/>
        </w:numPr>
        <w:spacing w:after="80" w:line="276"/>
      </w:pPr>
      <w:r>
        <w:t xml:space="preserve">No cross-model routing experiment yet (e.g. running the Critic on a different provider than the Analyzer/Classifier, as the project brief recommends testing) — flagged in §5 as the most promising untested lever.</w:t>
      </w:r>
    </w:p>
    <w:p>
      <w:pPr>
        <w:pStyle w:val="ListParagraph"/>
        <w:numPr>
          <w:ilvl w:val="0"/>
          <w:numId w:val="1"/>
        </w:numPr>
        <w:spacing w:after="80" w:line="276"/>
      </w:pPr>
      <w:r>
        <w:t xml:space="preserve">Benchmark size (30 cases) is at the low end of the brief's 30-50 target range; some per-domain subgroups (e.g. individual Geometry sub-skills) have only 1-2 cases, which limits how much can be concluded about any single narrow skill.</w:t>
      </w:r>
    </w:p>
    <w:p>
      <w:pPr>
        <w:pStyle w:val="Heading1"/>
        <w:spacing w:after="200" w:before="400"/>
      </w:pPr>
      <w:r>
        <w:t xml:space="preserve">15. Scalability</w:t>
      </w:r>
    </w:p>
    <w:p>
      <w:pPr>
        <w:spacing w:after="160" w:line="276"/>
      </w:pPr>
      <w:r>
        <w:rPr>
          <w:b w:val="false"/>
          <w:bCs w:val="false"/>
          <w:i w:val="false"/>
          <w:iCs w:val="false"/>
        </w:rPr>
        <w:t xml:space="preserve">The architecture scales along two axes independently of accuracy improvements. Domain coverage: adding a new subject only requires extending the taxonomy (a flat, versioned Python module) and adding cases to the benchmark — no node prompt references domain-specific logic outside the taxonomy block it's given. Cost/latency: the model-routing design (cheap model for parsing/arbitration, stronger model only where genuine multi-step verification is required) is specified per-node and ready to test now that a batch evaluation harness exists (eval/*.py) to measure the accuracy/cost trade-off of any swap before adopting it, rather than guessing.</w:t>
      </w:r>
    </w:p>
    <w:p>
      <w:pPr>
        <w:spacing w:after="160" w:line="276"/>
      </w:pPr>
      <w:r>
        <w:rPr>
          <w:b w:val="false"/>
          <w:bCs w:val="false"/>
          <w:i w:val="false"/>
          <w:iCs w:val="false"/>
        </w:rPr>
        <w:t xml:space="preserve">The evaluation harness itself (benchmark validation, batched prompt generation, JSON ingestion with lenient parsing for real-world model output, v1-vs-v2 diffing) is domain-agnostic and reusable — it was built once and reused for every node in this report without modification to its core logic.</w:t>
      </w:r>
    </w:p>
    <w:p>
      <w:pPr>
        <w:pStyle w:val="Heading1"/>
        <w:spacing w:after="200" w:before="400"/>
      </w:pPr>
      <w:r>
        <w:t xml:space="preserve">16. Conclusion</w:t>
      </w:r>
    </w:p>
    <w:p>
      <w:pPr>
        <w:spacing w:after="160" w:line="276"/>
      </w:pPr>
      <w:r>
        <w:rPr>
          <w:b w:val="false"/>
          <w:bCs w:val="false"/>
          <w:i w:val="false"/>
          <w:iCs w:val="false"/>
        </w:rPr>
        <w:t xml:space="preserve">Bluetute set out to test one claim: that a structured multi-stage diagnostic workflow beats a single prompt at identifying why a student is wrong. The honest result is nuanced and stronger for being honest — the first real run tied the baseline exactly, and the project's answer to that was not to reach for a rosier framing, but to diagnose the tie the same way the system diagnoses students: find the specific, first point of failure, fix it, and re-measure. That produced a real, reproducible 93.3%-vs-86.7% result, plus a specific, evidenced list of what still needs work (the Critic's rubber-stamping tendency chief among them) rather than a black box presented as finished.</w:t>
      </w:r>
    </w:p>
    <w:p>
      <w:r>
        <w:br w:type="page"/>
      </w:r>
    </w:p>
    <w:p>
      <w:pPr>
        <w:pStyle w:val="Heading1"/>
        <w:spacing w:after="200" w:before="400"/>
      </w:pPr>
      <w:r>
        <w:t xml:space="preserve">17. Project Story</w:t>
      </w:r>
    </w:p>
    <w:p>
      <w:pPr>
        <w:pStyle w:val="Heading2"/>
        <w:spacing w:after="150" w:before="300"/>
      </w:pPr>
      <w:r>
        <w:t xml:space="preserve">Inspiration</w:t>
      </w:r>
    </w:p>
    <w:p>
      <w:pPr>
        <w:spacing w:after="160" w:line="276"/>
      </w:pPr>
      <w:r>
        <w:rPr>
          <w:b w:val="false"/>
          <w:bCs w:val="false"/>
          <w:i w:val="false"/>
          <w:iCs w:val="false"/>
        </w:rPr>
        <w:t xml:space="preserve">The idea for Bluetute came directly from the hackathon community. While exploring the hackathon Discord, we noticed many participants discussing their preparation for the SAT. That made us think about the challenges students face when preparing for exams: practicing hundreds of questions is useful, but simply knowing whether an answer is right or wrong doesn't necessarily explain why a student keeps making the same type of mistake, or how they can improve and understand their errors.</w:t>
      </w:r>
    </w:p>
    <w:p>
      <w:pPr>
        <w:spacing w:after="160" w:line="276"/>
      </w:pPr>
      <w:r>
        <w:rPr>
          <w:b w:val="false"/>
          <w:bCs w:val="false"/>
          <w:i w:val="false"/>
          <w:iCs w:val="false"/>
        </w:rPr>
        <w:t xml:space="preserve">This led us to ask: could we build an AI tutor that doesn't just say if the answer is wrong or correct, but explains the student's mistake and adapts its teaching to it? From there, we developed the idea of Bluetute: an AI workflow that analyzes a student's reasoning, identifies the underlying misconception, verifies that diagnosis, and generates a targeted intervention.</w:t>
      </w:r>
    </w:p>
    <w:p>
      <w:pPr>
        <w:spacing w:after="160" w:line="276"/>
      </w:pPr>
      <w:r>
        <w:rPr>
          <w:b w:val="false"/>
          <w:bCs w:val="false"/>
          <w:i w:val="false"/>
          <w:iCs w:val="false"/>
        </w:rPr>
        <w:t xml:space="preserve">The SAT became our initial use case because it provides a clear environment for testing the system: students solve structured problems, make recurring types of mistakes, and need to improve not only their answers but their underlying reasoning.</w:t>
      </w:r>
    </w:p>
    <w:p>
      <w:pPr>
        <w:pStyle w:val="Heading2"/>
        <w:spacing w:after="150" w:before="300"/>
      </w:pPr>
      <w:r>
        <w:t xml:space="preserve">How We Built It</w:t>
      </w:r>
    </w:p>
    <w:p>
      <w:pPr>
        <w:spacing w:after="160" w:line="276"/>
      </w:pPr>
      <w:r>
        <w:rPr>
          <w:b w:val="false"/>
          <w:bCs w:val="false"/>
          <w:i w:val="false"/>
          <w:iCs w:val="false"/>
        </w:rPr>
        <w:t xml:space="preserve">Instead of creating Bluetute as a straightforward chatbot, we designed it as a multi-stage AI teaching workflow. It evaluates a student's logic, finds any misunderstandings, confirms the diagnosis, and develops a focused intervention. To increase the workflow's dependability, we used distinct AI roles, structured/typed outputs, and versioned, purpose-built prompts for each node (see §2–§8) — and benchmarked every one of them against a single-prompt baseline instead of assuming the extra structure would help.</w:t>
      </w:r>
    </w:p>
    <w:p>
      <w:pPr>
        <w:pStyle w:val="Heading2"/>
        <w:spacing w:after="150" w:before="300"/>
      </w:pPr>
      <w:r>
        <w:t xml:space="preserve">Challenges We Ran Into</w:t>
      </w:r>
    </w:p>
    <w:p>
      <w:pPr>
        <w:spacing w:after="160" w:line="276"/>
      </w:pPr>
      <w:r>
        <w:rPr>
          <w:b w:val="false"/>
          <w:bCs w:val="false"/>
          <w:i w:val="false"/>
          <w:iCs w:val="false"/>
        </w:rPr>
        <w:t xml:space="preserve">Our biggest challenge was distinguishing between a simple execution slip and a deeper conceptual misconception — the sign-error bias documented in §8 was the clearest example, and fixing it took a full benchmark → failure analysis → re-prompt → re-benchmark loop, not a guess. We also had to prevent the AI from making confident assumptions when a student's reasoning was unclear, which is why the Reasoning Analyzer has an explicit UNKNOWN state (see the G06 sample in §12). Finally, we had to balance the benefits of multiple AI steps against the added complexity, latency, and cost — which is exactly what §13's ablation study was built to measure honestly rather than assume.</w:t>
      </w:r>
    </w:p>
    <w:p>
      <w:pPr>
        <w:pStyle w:val="Heading2"/>
        <w:spacing w:after="150" w:before="300"/>
      </w:pPr>
      <w:r>
        <w:t xml:space="preserve">Accomplishments That We're Proud Of</w:t>
      </w:r>
    </w:p>
    <w:p>
      <w:pPr>
        <w:spacing w:after="160" w:line="276"/>
      </w:pPr>
      <w:r>
        <w:rPr>
          <w:b w:val="false"/>
          <w:bCs w:val="false"/>
          <w:i w:val="false"/>
          <w:iCs w:val="false"/>
        </w:rPr>
        <w:t xml:space="preserve">We take pride in turning a straightforward tutoring concept into a comprehensive diagnostic process, where each stage has a distinct function rather than relying on a single AI call to handle everything. The adversarial verification step — which actively questions the original diagnosis before Bluetute decides how to help the student — is something we're especially proud of, and it's the project's core differentiator (§6).</w:t>
      </w:r>
    </w:p>
    <w:p>
      <w:pPr>
        <w:pStyle w:val="Heading2"/>
        <w:spacing w:after="150" w:before="300"/>
      </w:pPr>
      <w:r>
        <w:t xml:space="preserve">What We Learned</w:t>
      </w:r>
    </w:p>
    <w:p>
      <w:pPr>
        <w:spacing w:after="160" w:line="276"/>
      </w:pPr>
      <w:r>
        <w:rPr>
          <w:b w:val="false"/>
          <w:bCs w:val="false"/>
          <w:i w:val="false"/>
          <w:iCs w:val="false"/>
        </w:rPr>
        <w:t xml:space="preserve">We learned that writing a good prompt is only one part of effective prompt engineering. The final system is shaped just as much by how a problem is broken down into nodes, how those nodes' outputs are structured and validated, how models are made to check each other, and how disagreements between them get resolved.</w:t>
      </w:r>
    </w:p>
    <w:p>
      <w:pPr>
        <w:pStyle w:val="Heading2"/>
        <w:spacing w:after="150" w:before="300"/>
      </w:pPr>
      <w:r>
        <w:t xml:space="preserve">What's Next for Bluetute</w:t>
      </w:r>
    </w:p>
    <w:p>
      <w:pPr>
        <w:spacing w:after="160" w:line="276"/>
      </w:pPr>
      <w:r>
        <w:rPr>
          <w:b w:val="false"/>
          <w:bCs w:val="false"/>
          <w:i w:val="false"/>
          <w:iCs w:val="false"/>
        </w:rPr>
        <w:t xml:space="preserve">SAT preparation is only our starting point. We want Bluetute to support different exams and academic assessments, across subjects and difficulty levels. Our goal is to build a universal AI study companion that identifies recurring weaknesses, adapts practice to each student, and helps them improve their understanding rather than simply giving them answers.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223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pPr>
    <w:rPr>
      <w:b/>
      <w:bCs/>
      <w:color w:val="1c2230"/>
      <w:sz w:val="32"/>
      <w:szCs w:val="32"/>
    </w:rPr>
  </w:style>
  <w:style w:type="paragraph" w:styleId="Heading2">
    <w:name w:val="Heading 2"/>
    <w:basedOn w:val="Normal"/>
    <w:next w:val="Normal"/>
    <w:qFormat/>
    <w:pPr>
      <w:spacing w:after="140" w:before="280"/>
    </w:pPr>
    <w:rPr>
      <w:b/>
      <w:bCs/>
      <w:color w:val="1c2230"/>
      <w:sz w:val="26"/>
      <w:szCs w:val="26"/>
    </w:rPr>
  </w:style>
  <w:style w:type="paragraph" w:styleId="Heading3">
    <w:name w:val="Heading 3"/>
    <w:basedOn w:val="Normal"/>
    <w:next w:val="Normal"/>
    <w:qFormat/>
    <w:pPr>
      <w:spacing w:after="100" w:before="220"/>
    </w:pPr>
    <w:rPr>
      <w:b/>
      <w:bCs/>
      <w:color w:val="b3441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c2bf9eb26d316b624f903269aa566aeed7400ef.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2026-08-23T21:50:08.461Z</dcterms:created>
  <dcterms:modified xsi:type="dcterms:W3CDTF">2026-08-23T21:50:08.461Z</dcterms:modified>
</cp:coreProperties>
</file>

<file path=docProps/custom.xml><?xml version="1.0" encoding="utf-8"?>
<Properties xmlns="http://schemas.openxmlformats.org/officeDocument/2006/custom-properties" xmlns:vt="http://schemas.openxmlformats.org/officeDocument/2006/docPropsVTypes"/>
</file>