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w:t>
      </w:r>
    </w:p>
    <w:p>
      <w:pPr>
        <w:jc w:val="center"/>
      </w:pPr>
      <w:r>
        <w:rPr>
          <w:color w:val="6B7785"/>
        </w:rPr>
        <w:t>Version 3.18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Mes documents</w:t>
      </w:r>
    </w:p>
    <w:p>
      <w:r>
        <w:rPr>
          <w:b/>
          <w:color w:val="0E4377"/>
          <w:sz w:val="23"/>
        </w:rPr>
        <w:t>4. Guide du responsable d’équipe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Maintenance : export, import et sauvegarde</w:t>
      </w:r>
    </w:p>
    <w:p>
      <w:pPr>
        <w:spacing w:after="20"/>
        <w:ind w:left="454"/>
      </w:pPr>
      <w:r>
        <w:rPr>
          <w:sz w:val="20"/>
        </w:rPr>
        <w:t>Qui est connecté ?</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gère la mise à disposition de personnel et la prestation de services de A à Z : du bordereau des prix du contrat jusqu'à l'édition de l'attachement et de la facture,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w:t>
            </w:r>
          </w:p>
        </w:tc>
        <w:tc>
          <w:tcPr>
            <w:tcW w:type="dxa" w:w="6917"/>
          </w:tcPr>
          <w:p>
            <w:r>
              <w:rPr>
                <w:sz w:val="20"/>
              </w:rPr>
              <w:t>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Responsable d’équipe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responsable d’équipe,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Rattraper les jours oubliés</w:t>
            </w:r>
          </w:p>
        </w:tc>
        <w:tc>
          <w:tcPr>
            <w:tcW w:type="dxa" w:w="6576"/>
            <w:shd w:val="clear" w:color="auto" w:fill="FFFFFF"/>
          </w:tcPr>
          <w:p>
            <w:r>
              <w:rPr>
                <w:sz w:val="19"/>
              </w:rPr>
              <w:t>Un bouton recopie le dernier statut de chaque agent jusqu'à aujourd'hui, avec un résumé avant validation.</w:t>
            </w:r>
          </w:p>
        </w:tc>
      </w:tr>
      <w:tr>
        <w:tc>
          <w:tcPr>
            <w:tcW w:type="dxa" w:w="2948"/>
            <w:shd w:val="clear" w:color="auto" w:fill="EEF4F6"/>
          </w:tcPr>
          <w:p>
            <w:r>
              <w:rPr>
                <w:b/>
                <w:color w:val="0E4377"/>
                <w:sz w:val="19"/>
              </w:rPr>
              <w:t>✔ Vues 1 mois, 3 mois, 6 mois, 1 an</w:t>
            </w:r>
          </w:p>
        </w:tc>
        <w:tc>
          <w:tcPr>
            <w:tcW w:type="dxa" w:w="6576"/>
            <w:shd w:val="clear" w:color="auto" w:fill="EEF4F6"/>
          </w:tcPr>
          <w:p>
            <w:r>
              <w:rPr>
                <w:sz w:val="19"/>
              </w:rPr>
              <w:t>La même grille colorée, étalée dans le temps, pour anticiper les départs et les reprises.</w:t>
            </w:r>
          </w:p>
        </w:tc>
      </w:tr>
      <w:tr>
        <w:tc>
          <w:tcPr>
            <w:tcW w:type="dxa" w:w="2948"/>
            <w:shd w:val="clear" w:color="auto" w:fill="FFFFFF"/>
          </w:tcPr>
          <w:p>
            <w:r>
              <w:rPr>
                <w:b/>
                <w:color w:val="0E4377"/>
                <w:sz w:val="19"/>
              </w:rPr>
              <w:t>✔ Jours fériés algériens</w:t>
            </w:r>
          </w:p>
        </w:tc>
        <w:tc>
          <w:tcPr>
            <w:tcW w:type="dxa" w:w="6576"/>
            <w:shd w:val="clear" w:color="auto" w:fill="FFFFFF"/>
          </w:tcPr>
          <w:p>
            <w:r>
              <w:rPr>
                <w:sz w:val="19"/>
              </w:rPr>
              <w:t>Fêtes nationales et religieuses repérées dans toutes les vues, avec possibilité d'ajouter ou de corriger une date.</w:t>
            </w:r>
          </w:p>
        </w:tc>
      </w:tr>
      <w:tr>
        <w:tc>
          <w:tcPr>
            <w:tcW w:type="dxa" w:w="2948"/>
            <w:shd w:val="clear" w:color="auto" w:fill="EEF4F6"/>
          </w:tcPr>
          <w:p>
            <w:r>
              <w:rPr>
                <w:b/>
                <w:color w:val="0E4377"/>
                <w:sz w:val="19"/>
              </w:rPr>
              <w:t>✔ Solde T − CR en temps réel</w:t>
            </w:r>
          </w:p>
        </w:tc>
        <w:tc>
          <w:tcPr>
            <w:tcW w:type="dxa" w:w="6576"/>
            <w:shd w:val="clear" w:color="auto" w:fill="EEF4F6"/>
          </w:tcPr>
          <w:p>
            <w:r>
              <w:rPr>
                <w:sz w:val="19"/>
              </w:rPr>
              <w:t>Le solde de chaque agent, et celui qu'il aura le jour de son départ en congé ou de sa reprise.</w:t>
            </w:r>
          </w:p>
        </w:tc>
      </w:tr>
      <w:tr>
        <w:tc>
          <w:tcPr>
            <w:tcW w:type="dxa" w:w="2948"/>
            <w:shd w:val="clear" w:color="auto" w:fill="FFFFFF"/>
          </w:tcPr>
          <w:p>
            <w:r>
              <w:rPr>
                <w:b/>
                <w:color w:val="0E4377"/>
                <w:sz w:val="19"/>
              </w:rPr>
              <w:t>✔ Espace personnel de l'agent</w:t>
            </w:r>
          </w:p>
        </w:tc>
        <w:tc>
          <w:tcPr>
            <w:tcW w:type="dxa" w:w="6576"/>
            <w:shd w:val="clear" w:color="auto" w:fill="FFFFFF"/>
          </w:tcPr>
          <w:p>
            <w:r>
              <w:rPr>
                <w:sz w:val="19"/>
              </w:rPr>
              <w:t>Sa situation du jour, son pointage, ses demandes et ses documents, sur ordinateur comme sur téléphone.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ATS, fiche d'émoluments, prolongations : le responsable d’équipe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ATS : le type et la période sont reconnus, le fichier est renommé et rangé dans Google Drive.</w:t>
            </w:r>
          </w:p>
        </w:tc>
      </w:tr>
      <w:tr>
        <w:tc>
          <w:tcPr>
            <w:tcW w:type="dxa" w:w="2948"/>
            <w:shd w:val="clear" w:color="auto" w:fill="FFFFFF"/>
          </w:tcPr>
          <w:p>
            <w:r>
              <w:rPr>
                <w:b/>
                <w:color w:val="0E4377"/>
                <w:sz w:val="19"/>
              </w:rPr>
              <w:t>✔ Notifications</w:t>
            </w:r>
          </w:p>
        </w:tc>
        <w:tc>
          <w:tcPr>
            <w:tcW w:type="dxa" w:w="6576"/>
            <w:shd w:val="clear" w:color="auto" w:fill="FFFFFF"/>
          </w:tcPr>
          <w:p>
            <w:r>
              <w:rPr>
                <w:sz w:val="19"/>
              </w:rPr>
              <w:t>Pastilles dans le menu, message à l'écran et e-mails pour les nouveaux documents, demandes et remarques.</w:t>
            </w:r>
          </w:p>
        </w:tc>
      </w:tr>
      <w:tr>
        <w:tc>
          <w:tcPr>
            <w:tcW w:type="dxa" w:w="2948"/>
            <w:shd w:val="clear" w:color="auto" w:fill="EEF4F6"/>
          </w:tcPr>
          <w:p>
            <w:r>
              <w:rPr>
                <w:b/>
                <w:color w:val="0E4377"/>
                <w:sz w:val="19"/>
              </w:rPr>
              <w:t>✔ Accès envoyés par e-mail</w:t>
            </w:r>
          </w:p>
        </w:tc>
        <w:tc>
          <w:tcPr>
            <w:tcW w:type="dxa" w:w="6576"/>
            <w:shd w:val="clear" w:color="auto" w:fill="EEF4F6"/>
          </w:tcPr>
          <w:p>
            <w:r>
              <w:rPr>
                <w:sz w:val="19"/>
              </w:rPr>
              <w:t>Lien, identifiant et mot de passe provisoire envoyés à la création d'un agent, ou à tout moment.</w:t>
            </w:r>
          </w:p>
        </w:tc>
      </w:tr>
      <w:tr>
        <w:tc>
          <w:tcPr>
            <w:tcW w:type="dxa" w:w="2948"/>
            <w:shd w:val="clear" w:color="auto" w:fill="FFFFFF"/>
          </w:tcPr>
          <w:p>
            <w:r>
              <w:rPr>
                <w:b/>
                <w:color w:val="0E4377"/>
                <w:sz w:val="19"/>
              </w:rPr>
              <w:t>✔ Modification de plusieurs agents</w:t>
            </w:r>
          </w:p>
        </w:tc>
        <w:tc>
          <w:tcPr>
            <w:tcW w:type="dxa" w:w="6576"/>
            <w:shd w:val="clear" w:color="auto" w:fill="FFFFFF"/>
          </w:tcPr>
          <w:p>
            <w:r>
              <w:rPr>
                <w:sz w:val="19"/>
              </w:rPr>
              <w:t>Cochez des lignes pour changer affectation, rotation, contrat, fonction, chef ou statut en une fois.</w:t>
            </w:r>
          </w:p>
        </w:tc>
      </w:tr>
      <w:tr>
        <w:tc>
          <w:tcPr>
            <w:tcW w:type="dxa" w:w="2948"/>
            <w:shd w:val="clear" w:color="auto" w:fill="EEF4F6"/>
          </w:tcPr>
          <w:p>
            <w:r>
              <w:rPr>
                <w:b/>
                <w:color w:val="0E4377"/>
                <w:sz w:val="19"/>
              </w:rPr>
              <w:t>✔ Véhicules mis à disposition</w:t>
            </w:r>
          </w:p>
        </w:tc>
        <w:tc>
          <w:tcPr>
            <w:tcW w:type="dxa" w:w="6576"/>
            <w:shd w:val="clear" w:color="auto" w:fill="EEF4F6"/>
          </w:tcPr>
          <w:p>
            <w:r>
              <w:rPr>
                <w:sz w:val="19"/>
              </w:rPr>
              <w:t>Pointés comme des agents, sans compte de connexion, avec un effectif qui suit le contrat.</w:t>
            </w:r>
          </w:p>
        </w:tc>
      </w:tr>
      <w:tr>
        <w:tc>
          <w:tcPr>
            <w:tcW w:type="dxa" w:w="2948"/>
            <w:shd w:val="clear" w:color="auto" w:fill="FFFFFF"/>
          </w:tcPr>
          <w:p>
            <w:r>
              <w:rPr>
                <w:b/>
                <w:color w:val="0E4377"/>
                <w:sz w:val="19"/>
              </w:rPr>
              <w:t>✔ Lecture du bordereau des prix du contrat</w:t>
            </w:r>
          </w:p>
        </w:tc>
        <w:tc>
          <w:tcPr>
            <w:tcW w:type="dxa" w:w="6576"/>
            <w:shd w:val="clear" w:color="auto" w:fill="FFFFFF"/>
          </w:tcPr>
          <w:p>
            <w:r>
              <w:rPr>
                <w:sz w:val="19"/>
              </w:rPr>
              <w:t>PDF scanné, photo, Excel ou CSV : fonctions, nombres, délais et prix sont lus automatiquement, avec contrôle du total.</w:t>
            </w:r>
          </w:p>
        </w:tc>
      </w:tr>
      <w:tr>
        <w:tc>
          <w:tcPr>
            <w:tcW w:type="dxa" w:w="2948"/>
            <w:shd w:val="clear" w:color="auto" w:fill="EEF4F6"/>
          </w:tcPr>
          <w:p>
            <w:r>
              <w:rPr>
                <w:b/>
                <w:color w:val="0E4377"/>
                <w:sz w:val="19"/>
              </w:rPr>
              <w:t>✔ Contrat complet</w:t>
            </w:r>
          </w:p>
        </w:tc>
        <w:tc>
          <w:tcPr>
            <w:tcW w:type="dxa" w:w="6576"/>
            <w:shd w:val="clear" w:color="auto" w:fill="EEF4F6"/>
          </w:tcPr>
          <w:p>
            <w:r>
              <w:rPr>
                <w:sz w:val="19"/>
              </w:rPr>
              <w:t>Début, durée et fin du contrat visibles de tous ; effectifs bornés par le contrat avec un voyant complet / manque / dépassé.</w:t>
            </w:r>
          </w:p>
        </w:tc>
      </w:tr>
      <w:tr>
        <w:tc>
          <w:tcPr>
            <w:tcW w:type="dxa" w:w="2948"/>
            <w:shd w:val="clear" w:color="auto" w:fill="FFFFFF"/>
          </w:tcPr>
          <w:p>
            <w:r>
              <w:rPr>
                <w:b/>
                <w:color w:val="0E4377"/>
                <w:sz w:val="19"/>
              </w:rPr>
              <w:t>✔ Attachement, facture, historique</w:t>
            </w:r>
          </w:p>
        </w:tc>
        <w:tc>
          <w:tcPr>
            <w:tcW w:type="dxa" w:w="6576"/>
            <w:shd w:val="clear" w:color="auto" w:fill="FFFFFF"/>
          </w:tcPr>
          <w:p>
            <w:r>
              <w:rPr>
                <w:sz w:val="19"/>
              </w:rPr>
              <w:t>Quantités calculées sur les jours pointés, validation qui fige le mois, facture, PDF et Excel, historique par fonction et reste à facturer.</w:t>
            </w:r>
          </w:p>
        </w:tc>
      </w:tr>
      <w:tr>
        <w:tc>
          <w:tcPr>
            <w:tcW w:type="dxa" w:w="2948"/>
            <w:shd w:val="clear" w:color="auto" w:fill="EEF4F6"/>
          </w:tcPr>
          <w:p>
            <w:r>
              <w:rPr>
                <w:b/>
                <w:color w:val="0E4377"/>
                <w:sz w:val="19"/>
              </w:rPr>
              <w:t>✔ Fiche de pointage Excel et PDF</w:t>
            </w:r>
          </w:p>
        </w:tc>
        <w:tc>
          <w:tcPr>
            <w:tcW w:type="dxa" w:w="6576"/>
            <w:shd w:val="clear" w:color="auto" w:fill="EEF4F6"/>
          </w:tcPr>
          <w:p>
            <w:r>
              <w:rPr>
                <w:sz w:val="19"/>
              </w:rPr>
              <w:t>La fiche mensuelle prête à envoyer au client.</w:t>
            </w:r>
          </w:p>
        </w:tc>
      </w:tr>
      <w:tr>
        <w:tc>
          <w:tcPr>
            <w:tcW w:type="dxa" w:w="2948"/>
            <w:shd w:val="clear" w:color="auto" w:fill="FFFFFF"/>
          </w:tcPr>
          <w:p>
            <w:r>
              <w:rPr>
                <w:b/>
                <w:color w:val="0E4377"/>
                <w:sz w:val="19"/>
              </w:rPr>
              <w:t>✔ Compte client en consultation</w:t>
            </w:r>
          </w:p>
        </w:tc>
        <w:tc>
          <w:tcPr>
            <w:tcW w:type="dxa" w:w="6576"/>
            <w:shd w:val="clear" w:color="auto" w:fill="FFFFFF"/>
          </w:tcPr>
          <w:p>
            <w:r>
              <w:rPr>
                <w:sz w:val="19"/>
              </w:rPr>
              <w:t>Le client suit le pointage, le contrat et les attachements de son contrat, sans rien pouvoir modifier.</w:t>
            </w:r>
          </w:p>
        </w:tc>
      </w:tr>
      <w:tr>
        <w:tc>
          <w:tcPr>
            <w:tcW w:type="dxa" w:w="2948"/>
            <w:shd w:val="clear" w:color="auto" w:fill="EEF4F6"/>
          </w:tcPr>
          <w:p>
            <w:r>
              <w:rPr>
                <w:b/>
                <w:color w:val="0E4377"/>
                <w:sz w:val="19"/>
              </w:rPr>
              <w:t>✔ Remarques du client</w:t>
            </w:r>
          </w:p>
        </w:tc>
        <w:tc>
          <w:tcPr>
            <w:tcW w:type="dxa" w:w="6576"/>
            <w:shd w:val="clear" w:color="auto" w:fill="EEF4F6"/>
          </w:tcPr>
          <w:p>
            <w:r>
              <w:rPr>
                <w:sz w:val="19"/>
              </w:rPr>
              <w:t>Un clic sur un jour du pointage : le client laisse une remarque, le prestataire la voit, la marque « vu » et répond.</w:t>
            </w:r>
          </w:p>
        </w:tc>
      </w:tr>
      <w:tr>
        <w:tc>
          <w:tcPr>
            <w:tcW w:type="dxa" w:w="2948"/>
            <w:shd w:val="clear" w:color="auto" w:fill="FFFFFF"/>
          </w:tcPr>
          <w:p>
            <w:r>
              <w:rPr>
                <w:b/>
                <w:color w:val="0E4377"/>
                <w:sz w:val="19"/>
              </w:rPr>
              <w:t>✔ Export et import Excel</w:t>
            </w:r>
          </w:p>
        </w:tc>
        <w:tc>
          <w:tcPr>
            <w:tcW w:type="dxa" w:w="6576"/>
            <w:shd w:val="clear" w:color="auto" w:fill="FFFFFF"/>
          </w:tcPr>
          <w:p>
            <w:r>
              <w:rPr>
                <w:sz w:val="19"/>
              </w:rPr>
              <w:t>Un pointage complet (avec contrat, prix, agents et attachements) s'exporte et se réimporte ; un fichier Excel d'un autre outil s'importe aussi.</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3255882"/>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3255882"/>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3255882"/>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3255882"/>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364412"/>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364412"/>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364412"/>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364412"/>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responsable d’équipe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364412"/>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364412"/>
                    </a:xfrm>
                    <a:prstGeom prst="rect"/>
                  </pic:spPr>
                </pic:pic>
              </a:graphicData>
            </a:graphic>
          </wp:inline>
        </w:drawing>
      </w:r>
    </w:p>
    <w:p>
      <w:pPr>
        <w:jc w:val="center"/>
      </w:pPr>
      <w:r>
        <w:rPr>
          <w:i/>
          <w:color w:val="6B7785"/>
          <w:sz w:val="18"/>
        </w:rPr>
        <w:t>Les demandes de l'agent.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364412"/>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364412"/>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responsable d’équipe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3364412"/>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3364412"/>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3364412"/>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3364412"/>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responsable d’équipe)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3364412"/>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3364412"/>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3364412"/>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3364412"/>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3364412"/>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3364412"/>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responsable d’équipe.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3364412"/>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3364412"/>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3364412"/>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3364412"/>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responsable d’équipe, donnez le rôle « Responsable d’équipe » à un agent, puis choisissez-le dans le champ « Responsable d’équipe » des autres agents.</w:t>
            </w:r>
          </w:p>
        </w:tc>
      </w:tr>
    </w:tbl>
    <w:p/>
    <w:p>
      <w:pPr>
        <w:pStyle w:val="Heading2"/>
      </w:pPr>
      <w:r>
        <w:t>Les demandes de l'équipe</w:t>
      </w:r>
    </w:p>
    <w:p>
      <w:r>
        <w:t>Dans « Exports », le responsable d’équipe extrait en Excel ou PDF la fiche de pointage ; l'attachement du mois et la facture déjà établie ne lui sont ouverts que si l'administrateur lui accorde ce privilège dans sa fiche (consultation seulement : la validation et la facturation restent à l'administrateur). L'administrateur peut aussi lui donner ou non l'accès au Setup. 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3364412"/>
            <wp:docPr id="19" name="Picture 19"/>
            <wp:cNvGraphicFramePr>
              <a:graphicFrameLocks noChangeAspect="1"/>
            </wp:cNvGraphicFramePr>
            <a:graphic>
              <a:graphicData uri="http://schemas.openxmlformats.org/drawingml/2006/picture">
                <pic:pic>
                  <pic:nvPicPr>
                    <pic:cNvPr id="0" name="70-demandes-chef.png"/>
                    <pic:cNvPicPr/>
                  </pic:nvPicPr>
                  <pic:blipFill>
                    <a:blip r:embed="rId28"/>
                    <a:stretch>
                      <a:fillRect/>
                    </a:stretch>
                  </pic:blipFill>
                  <pic:spPr>
                    <a:xfrm>
                      <a:off x="0" y="0"/>
                      <a:ext cx="5580000" cy="3364412"/>
                    </a:xfrm>
                    <a:prstGeom prst="rect"/>
                  </pic:spPr>
                </pic:pic>
              </a:graphicData>
            </a:graphic>
          </wp:inline>
        </w:drawing>
      </w:r>
    </w:p>
    <w:p>
      <w:pPr>
        <w:jc w:val="center"/>
      </w:pPr>
      <w:r>
        <w:rPr>
          <w:i/>
          <w:color w:val="6B7785"/>
          <w:sz w:val="18"/>
        </w:rPr>
        <w:t>Les demandes du groupe, regroupées par thème.</w:t>
      </w:r>
    </w:p>
    <w:p>
      <w:pPr>
        <w:pStyle w:val="Heading2"/>
      </w:pPr>
      <w:r>
        <w:t>Les documents</w:t>
      </w:r>
    </w:p>
    <w:p>
      <w:r>
        <w:t>Dans « Documents », choisissez l'agent et déposez le fichier (6 Mo maximum). Sijil reconnaît le type et la période, renomme le fichier (par exemple FDP_Nom_mars2026) et le range dans Google Drive, dossier « Documents / nom de l'agent ». L'agent est prévenu. « Corriger » change le type ou la période si la reconnaissance se trompe.</w:t>
      </w:r>
    </w:p>
    <w:p>
      <w:pPr>
        <w:keepNext/>
        <w:spacing w:after="40"/>
        <w:jc w:val="center"/>
      </w:pPr>
      <w:r>
        <w:drawing>
          <wp:inline xmlns:a="http://schemas.openxmlformats.org/drawingml/2006/main" xmlns:pic="http://schemas.openxmlformats.org/drawingml/2006/picture">
            <wp:extent cx="5580000" cy="3364412"/>
            <wp:docPr id="20" name="Picture 20"/>
            <wp:cNvGraphicFramePr>
              <a:graphicFrameLocks noChangeAspect="1"/>
            </wp:cNvGraphicFramePr>
            <a:graphic>
              <a:graphicData uri="http://schemas.openxmlformats.org/drawingml/2006/picture">
                <pic:pic>
                  <pic:nvPicPr>
                    <pic:cNvPr id="0" name="31-documents-admin.png"/>
                    <pic:cNvPicPr/>
                  </pic:nvPicPr>
                  <pic:blipFill>
                    <a:blip r:embed="rId29"/>
                    <a:stretch>
                      <a:fillRect/>
                    </a:stretch>
                  </pic:blipFill>
                  <pic:spPr>
                    <a:xfrm>
                      <a:off x="0" y="0"/>
                      <a:ext cx="5580000" cy="3364412"/>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responsable d’équipe,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1" name="Picture 21"/>
            <wp:cNvGraphicFramePr>
              <a:graphicFrameLocks noChangeAspect="1"/>
            </wp:cNvGraphicFramePr>
            <a:graphic>
              <a:graphicData uri="http://schemas.openxmlformats.org/drawingml/2006/picture">
                <pic:pic>
                  <pic:nvPicPr>
                    <pic:cNvPr id="0" name="40a-contrat.png"/>
                    <pic:cNvPicPr/>
                  </pic:nvPicPr>
                  <pic:blipFill>
                    <a:blip r:embed="rId30"/>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2" name="Picture 22"/>
            <wp:cNvGraphicFramePr>
              <a:graphicFrameLocks noChangeAspect="1"/>
            </wp:cNvGraphicFramePr>
            <a:graphic>
              <a:graphicData uri="http://schemas.openxmlformats.org/drawingml/2006/picture">
                <pic:pic>
                  <pic:nvPicPr>
                    <pic:cNvPr id="0" name="40b-contrat-formulaire.png"/>
                    <pic:cNvPicPr/>
                  </pic:nvPicPr>
                  <pic:blipFill>
                    <a:blip r:embed="rId31"/>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et durée.</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4201412"/>
            <wp:docPr id="23" name="Picture 23"/>
            <wp:cNvGraphicFramePr>
              <a:graphicFrameLocks noChangeAspect="1"/>
            </wp:cNvGraphicFramePr>
            <a:graphic>
              <a:graphicData uri="http://schemas.openxmlformats.org/drawingml/2006/picture">
                <pic:pic>
                  <pic:nvPicPr>
                    <pic:cNvPr id="0" name="41-setup-prestataire.png"/>
                    <pic:cNvPicPr/>
                  </pic:nvPicPr>
                  <pic:blipFill>
                    <a:blip r:embed="rId32"/>
                    <a:stretch>
                      <a:fillRect/>
                    </a:stretch>
                  </pic:blipFill>
                  <pic:spPr>
                    <a:xfrm>
                      <a:off x="0" y="0"/>
                      <a:ext cx="5580000" cy="4201412"/>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246544"/>
            <wp:docPr id="24" name="Picture 24"/>
            <wp:cNvGraphicFramePr>
              <a:graphicFrameLocks noChangeAspect="1"/>
            </wp:cNvGraphicFramePr>
            <a:graphic>
              <a:graphicData uri="http://schemas.openxmlformats.org/drawingml/2006/picture">
                <pic:pic>
                  <pic:nvPicPr>
                    <pic:cNvPr id="0" name="42-setup-rotation.png"/>
                    <pic:cNvPicPr/>
                  </pic:nvPicPr>
                  <pic:blipFill>
                    <a:blip r:embed="rId33"/>
                    <a:stretch>
                      <a:fillRect/>
                    </a:stretch>
                  </pic:blipFill>
                  <pic:spPr>
                    <a:xfrm>
                      <a:off x="0" y="0"/>
                      <a:ext cx="5580000" cy="4246544"/>
                    </a:xfrm>
                    <a:prstGeom prst="rect"/>
                  </pic:spPr>
                </pic:pic>
              </a:graphicData>
            </a:graphic>
          </wp:inline>
        </w:drawing>
      </w:r>
    </w:p>
    <w:p>
      <w:pPr>
        <w:jc w:val="center"/>
      </w:pPr>
      <w:r>
        <w:rPr>
          <w:i/>
          <w:color w:val="6B7785"/>
          <w:sz w:val="18"/>
        </w:rPr>
        <w:t>L'onglet Rotation et le champ des jours fériés.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456912"/>
            <wp:docPr id="25" name="Picture 25"/>
            <wp:cNvGraphicFramePr>
              <a:graphicFrameLocks noChangeAspect="1"/>
            </wp:cNvGraphicFramePr>
            <a:graphic>
              <a:graphicData uri="http://schemas.openxmlformats.org/drawingml/2006/picture">
                <pic:pic>
                  <pic:nvPicPr>
                    <pic:cNvPr id="0" name="43-setup-maintenance.png"/>
                    <pic:cNvPicPr/>
                  </pic:nvPicPr>
                  <pic:blipFill>
                    <a:blip r:embed="rId34"/>
                    <a:stretch>
                      <a:fillRect/>
                    </a:stretch>
                  </pic:blipFill>
                  <pic:spPr>
                    <a:xfrm>
                      <a:off x="0" y="0"/>
                      <a:ext cx="5580000" cy="5456912"/>
                    </a:xfrm>
                    <a:prstGeom prst="rect"/>
                  </pic:spPr>
                </pic:pic>
              </a:graphicData>
            </a:graphic>
          </wp:inline>
        </w:drawing>
      </w:r>
    </w:p>
    <w:p>
      <w:pPr>
        <w:jc w:val="center"/>
      </w:pPr>
      <w:r>
        <w:rPr>
          <w:i/>
          <w:color w:val="6B7785"/>
          <w:sz w:val="18"/>
        </w:rPr>
        <w:t>L'onglet Maintenance.</w:t>
      </w:r>
    </w:p>
    <w:p>
      <w:pPr>
        <w:pStyle w:val="Heading2"/>
      </w:pPr>
      <w:r>
        <w:t>Qui est connecté ?</w:t>
      </w:r>
    </w:p>
    <w:p>
      <w:r>
        <w:t>L'onglet « Connexions » (administrateur) montre qui est en ligne maintenant, la date de la dernière connexion de chaque utilisateur, le nombre de connexions et ceux qui ne se sont jamais connectés. La liste se rafraîchit toute seule.</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pPr>
        <w:keepNext/>
        <w:spacing w:after="40"/>
        <w:jc w:val="center"/>
      </w:pPr>
      <w:r>
        <w:drawing>
          <wp:inline xmlns:a="http://schemas.openxmlformats.org/drawingml/2006/main" xmlns:pic="http://schemas.openxmlformats.org/drawingml/2006/picture">
            <wp:extent cx="5580000" cy="4267059"/>
            <wp:docPr id="26" name="Picture 26"/>
            <wp:cNvGraphicFramePr>
              <a:graphicFrameLocks noChangeAspect="1"/>
            </wp:cNvGraphicFramePr>
            <a:graphic>
              <a:graphicData uri="http://schemas.openxmlformats.org/drawingml/2006/picture">
                <pic:pic>
                  <pic:nvPicPr>
                    <pic:cNvPr id="0" name="50-exports.png"/>
                    <pic:cNvPicPr/>
                  </pic:nvPicPr>
                  <pic:blipFill>
                    <a:blip r:embed="rId35"/>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 jusqu'à 4 adresses e-mail peuvent être saisies dans Setup → Client, chacune avec le même compte de consultation. L'e-mail de la direction du prestataire accepte aussi 4 adresses.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3364412"/>
            <wp:docPr id="27" name="Picture 27"/>
            <wp:cNvGraphicFramePr>
              <a:graphicFrameLocks noChangeAspect="1"/>
            </wp:cNvGraphicFramePr>
            <a:graphic>
              <a:graphicData uri="http://schemas.openxmlformats.org/drawingml/2006/picture">
                <pic:pic>
                  <pic:nvPicPr>
                    <pic:cNvPr id="0" name="80-client-pointage.png"/>
                    <pic:cNvPicPr/>
                  </pic:nvPicPr>
                  <pic:blipFill>
                    <a:blip r:embed="rId36"/>
                    <a:stretch>
                      <a:fillRect/>
                    </a:stretch>
                  </pic:blipFill>
                  <pic:spPr>
                    <a:xfrm>
                      <a:off x="0" y="0"/>
                      <a:ext cx="5580000" cy="3364412"/>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responsable d’équipe.</w:t>
      </w:r>
    </w:p>
    <w:p>
      <w:pPr>
        <w:keepNext/>
        <w:spacing w:after="40"/>
        <w:jc w:val="center"/>
      </w:pPr>
      <w:r>
        <w:drawing>
          <wp:inline xmlns:a="http://schemas.openxmlformats.org/drawingml/2006/main" xmlns:pic="http://schemas.openxmlformats.org/drawingml/2006/picture">
            <wp:extent cx="5580000" cy="3364412"/>
            <wp:docPr id="28" name="Picture 28"/>
            <wp:cNvGraphicFramePr>
              <a:graphicFrameLocks noChangeAspect="1"/>
            </wp:cNvGraphicFramePr>
            <a:graphic>
              <a:graphicData uri="http://schemas.openxmlformats.org/drawingml/2006/picture">
                <pic:pic>
                  <pic:nvPicPr>
                    <pic:cNvPr id="0" name="81-client-remarque.png"/>
                    <pic:cNvPicPr/>
                  </pic:nvPicPr>
                  <pic:blipFill>
                    <a:blip r:embed="rId37"/>
                    <a:stretch>
                      <a:fillRect/>
                    </a:stretch>
                  </pic:blipFill>
                  <pic:spPr>
                    <a:xfrm>
                      <a:off x="0" y="0"/>
                      <a:ext cx="5580000" cy="3364412"/>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3364412"/>
            <wp:docPr id="29" name="Picture 29"/>
            <wp:cNvGraphicFramePr>
              <a:graphicFrameLocks noChangeAspect="1"/>
            </wp:cNvGraphicFramePr>
            <a:graphic>
              <a:graphicData uri="http://schemas.openxmlformats.org/drawingml/2006/picture">
                <pic:pic>
                  <pic:nvPicPr>
                    <pic:cNvPr id="0" name="83-remarque-prestataire.png"/>
                    <pic:cNvPicPr/>
                  </pic:nvPicPr>
                  <pic:blipFill>
                    <a:blip r:embed="rId38"/>
                    <a:stretch>
                      <a:fillRect/>
                    </a:stretch>
                  </pic:blipFill>
                  <pic:spPr>
                    <a:xfrm>
                      <a:off x="0" y="0"/>
                      <a:ext cx="5580000" cy="3364412"/>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3364412"/>
            <wp:docPr id="30" name="Picture 30"/>
            <wp:cNvGraphicFramePr>
              <a:graphicFrameLocks noChangeAspect="1"/>
            </wp:cNvGraphicFramePr>
            <a:graphic>
              <a:graphicData uri="http://schemas.openxmlformats.org/drawingml/2006/picture">
                <pic:pic>
                  <pic:nvPicPr>
                    <pic:cNvPr id="0" name="82-client-contrat.png"/>
                    <pic:cNvPicPr/>
                  </pic:nvPicPr>
                  <pic:blipFill>
                    <a:blip r:embed="rId39"/>
                    <a:stretch>
                      <a:fillRect/>
                    </a:stretch>
                  </pic:blipFill>
                  <pic:spPr>
                    <a:xfrm>
                      <a:off x="0" y="0"/>
                      <a:ext cx="5580000" cy="3364412"/>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3364412"/>
            <wp:docPr id="31" name="Picture 31"/>
            <wp:cNvGraphicFramePr>
              <a:graphicFrameLocks noChangeAspect="1"/>
            </wp:cNvGraphicFramePr>
            <a:graphic>
              <a:graphicData uri="http://schemas.openxmlformats.org/drawingml/2006/picture">
                <pic:pic>
                  <pic:nvPicPr>
                    <pic:cNvPr id="0" name="97-aide.png"/>
                    <pic:cNvPicPr/>
                  </pic:nvPicPr>
                  <pic:blipFill>
                    <a:blip r:embed="rId40"/>
                    <a:stretch>
                      <a:fillRect/>
                    </a:stretch>
                  </pic:blipFill>
                  <pic:spPr>
                    <a:xfrm>
                      <a:off x="0" y="0"/>
                      <a:ext cx="5580000" cy="3364412"/>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3364412"/>
            <wp:docPr id="32" name="Picture 32"/>
            <wp:cNvGraphicFramePr>
              <a:graphicFrameLocks noChangeAspect="1"/>
            </wp:cNvGraphicFramePr>
            <a:graphic>
              <a:graphicData uri="http://schemas.openxmlformats.org/drawingml/2006/picture">
                <pic:pic>
                  <pic:nvPicPr>
                    <pic:cNvPr id="0" name="90-nouveautes.png"/>
                    <pic:cNvPicPr/>
                  </pic:nvPicPr>
                  <pic:blipFill>
                    <a:blip r:embed="rId41"/>
                    <a:stretch>
                      <a:fillRect/>
                    </a:stretch>
                  </pic:blipFill>
                  <pic:spPr>
                    <a:xfrm>
                      <a:off x="0" y="0"/>
                      <a:ext cx="5580000" cy="3364412"/>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responsable d’équipe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6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responsable d’équipe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Rayane M.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Rayane M.</dc:creator>
  <cp:keywords/>
  <dc:description>generated by python-docx</dc:description>
  <cp:lastModifiedBy/>
  <cp:revision>1</cp:revision>
  <dcterms:created xsi:type="dcterms:W3CDTF">2013-12-23T23:15:00Z</dcterms:created>
  <dcterms:modified xsi:type="dcterms:W3CDTF">2013-12-23T23:15:00Z</dcterms:modified>
  <cp:category/>
</cp:coreProperties>
</file>