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3.14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Mes documents</w:t>
      </w:r>
    </w:p>
    <w:p>
      <w:r>
        <w:rPr>
          <w:b/>
          <w:color w:val="0E4377"/>
          <w:sz w:val="23"/>
        </w:rPr>
        <w:t>4. Guide du chef de groupe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Chef de groupe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chef de groupe,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chef de groupe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chef de groupe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chef de groupe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chef de groupe)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chef de groupe.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chef de groupe, donnez le rôle « Chef de groupe » à un agent, puis choisissez-le dans le champ « Chef de groupe » des autres agents.</w:t>
            </w:r>
          </w:p>
        </w:tc>
      </w:tr>
    </w:tbl>
    <w:p/>
    <w:p>
      <w:pPr>
        <w:pStyle w:val="Heading2"/>
      </w:pPr>
      <w:r>
        <w:t>Les demandes de l'équipe</w:t>
      </w:r>
    </w:p>
    <w:p>
      <w:r>
        <w:t>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choisissez l'agent et déposez le fichier (6 Mo maximum). Sijil reconnaît le type et la période, renomme le fichier (par exemple FDP_Nom_mars2026) et le range dans Google Drive, dossier « Documents / nom de l'agent ». L'agent est prévenu. « Corriger » change le type ou la période si la reconnaissance se trompe.</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chef de groupe,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durée et contact client.</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chef de groupe.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chef de groupe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chef de groupe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