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 et des rotations</w:t>
      </w:r>
    </w:p>
    <w:p>
      <w:pPr>
        <w:jc w:val="center"/>
      </w:pPr>
      <w:r>
        <w:rPr>
          <w:color w:val="6B7785"/>
        </w:rPr>
        <w:t>Version 3.42.0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 pointage du matériel</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est une gestion du temps de travail qui prend en charge les rotations, et qui gère la mise à disposition du personnel et du matériel de prestation de services de A à Z : du bordereau des prix du contrat jusqu'à l'édition de l'attachement et de la facture (la facturation est un module que l'administrateur active ou désactive),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 (module optionnel)</w:t>
            </w:r>
          </w:p>
        </w:tc>
        <w:tc>
          <w:tcPr>
            <w:tcW w:type="dxa" w:w="6917"/>
          </w:tcPr>
          <w:p>
            <w:r>
              <w:rPr>
                <w:sz w:val="20"/>
              </w:rPr>
              <w:t>Si l'administrateur a activé la facturation (Setup → Contrat), 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Matériel mis à disposition</w:t>
            </w:r>
          </w:p>
        </w:tc>
        <w:tc>
          <w:tcPr>
            <w:tcW w:type="dxa" w:w="6576"/>
            <w:shd w:val="clear" w:color="auto" w:fill="EEF4F6"/>
          </w:tcPr>
          <w:p>
            <w:r>
              <w:rPr>
                <w:sz w:val="19"/>
              </w:rPr>
              <w:t>Camions, rétrochargeurs, véhicules 4x4… pointés comme des agents, sans compte de connexion, avec un effectif qui suit le contrat ; leurs jours alimentent l'attachement.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 pointage du matériel</w:t>
      </w:r>
    </w:p>
    <w:p>
      <w:r>
        <w:t>Le matériel mis à disposition (par exemple un camion 2,5 tonnes, un rétrochargeur ou un véhicule 4x4) se gère comme le personnel. Dans « Agents », choisissez le type « Véhicule », saisissez son immatriculation et son modèle, puis son contrat et sa fonction (celle du bordereau des prix). Il n'a pas de compte de connexion. Le nombre d'engins est borné par le contrat.</w:t>
      </w:r>
    </w:p>
    <w:p>
      <w:pPr>
        <w:keepNext/>
        <w:spacing w:after="40"/>
        <w:jc w:val="center"/>
      </w:pPr>
      <w:r>
        <w:drawing>
          <wp:inline xmlns:a="http://schemas.openxmlformats.org/drawingml/2006/main" xmlns:pic="http://schemas.openxmlformats.org/drawingml/2006/picture">
            <wp:extent cx="5580000" cy="4654471"/>
            <wp:docPr id="19" name="Picture 19"/>
            <wp:cNvGraphicFramePr>
              <a:graphicFrameLocks noChangeAspect="1"/>
            </wp:cNvGraphicFramePr>
            <a:graphic>
              <a:graphicData uri="http://schemas.openxmlformats.org/drawingml/2006/picture">
                <pic:pic>
                  <pic:nvPicPr>
                    <pic:cNvPr id="0" name="22-materiel-agents.png"/>
                    <pic:cNvPicPr/>
                  </pic:nvPicPr>
                  <pic:blipFill>
                    <a:blip r:embed="rId28"/>
                    <a:stretch>
                      <a:fillRect/>
                    </a:stretch>
                  </pic:blipFill>
                  <pic:spPr>
                    <a:xfrm>
                      <a:off x="0" y="0"/>
                      <a:ext cx="5580000" cy="4654471"/>
                    </a:xfrm>
                    <a:prstGeom prst="rect"/>
                  </pic:spPr>
                </pic:pic>
              </a:graphicData>
            </a:graphic>
          </wp:inline>
        </w:drawing>
      </w:r>
    </w:p>
    <w:p>
      <w:pPr>
        <w:jc w:val="center"/>
      </w:pPr>
      <w:r>
        <w:rPr>
          <w:i/>
          <w:color w:val="6B7785"/>
          <w:sz w:val="18"/>
        </w:rPr>
        <w:t>Personnel et matériel dans la même liste ; le badge VH repère les véhicules.</w:t>
      </w:r>
    </w:p>
    <w:p>
      <w:r>
        <w:t>Dans « Pointage global » (ou « Mon groupe »), chaque engin a sa ligne : T quand il est en service, R à l'arrêt, ABS en panne. Les prévisions, les couleurs et les compteurs sont ceux du personnel.</w:t>
      </w:r>
    </w:p>
    <w:p>
      <w:pPr>
        <w:keepNext/>
        <w:spacing w:after="40"/>
        <w:jc w:val="center"/>
      </w:pPr>
      <w:r>
        <w:drawing>
          <wp:inline xmlns:a="http://schemas.openxmlformats.org/drawingml/2006/main" xmlns:pic="http://schemas.openxmlformats.org/drawingml/2006/picture">
            <wp:extent cx="5580000" cy="4104519"/>
            <wp:docPr id="20" name="Picture 20"/>
            <wp:cNvGraphicFramePr>
              <a:graphicFrameLocks noChangeAspect="1"/>
            </wp:cNvGraphicFramePr>
            <a:graphic>
              <a:graphicData uri="http://schemas.openxmlformats.org/drawingml/2006/picture">
                <pic:pic>
                  <pic:nvPicPr>
                    <pic:cNvPr id="0" name="15-materiel-pointage.png"/>
                    <pic:cNvPicPr/>
                  </pic:nvPicPr>
                  <pic:blipFill>
                    <a:blip r:embed="rId29"/>
                    <a:stretch>
                      <a:fillRect/>
                    </a:stretch>
                  </pic:blipFill>
                  <pic:spPr>
                    <a:xfrm>
                      <a:off x="0" y="0"/>
                      <a:ext cx="5580000" cy="4104519"/>
                    </a:xfrm>
                    <a:prstGeom prst="rect"/>
                  </pic:spPr>
                </pic:pic>
              </a:graphicData>
            </a:graphic>
          </wp:inline>
        </w:drawing>
      </w:r>
    </w:p>
    <w:p>
      <w:pPr>
        <w:jc w:val="center"/>
      </w:pPr>
      <w:r>
        <w:rPr>
          <w:i/>
          <w:color w:val="6B7785"/>
          <w:sz w:val="18"/>
        </w:rPr>
        <w:t>Le pointage du mois : personnel et matériel dans la même grille.</w:t>
      </w:r>
    </w:p>
    <w:p>
      <w:r>
        <w:t>À la fin du mois, l'attachement reprend les jours pointés de chaque fonction du bordereau, personnel comme matériel, avec le prix unitaire du contrat et le total HT.</w:t>
      </w:r>
    </w:p>
    <w:p>
      <w:pPr>
        <w:keepNext/>
        <w:spacing w:after="40"/>
        <w:jc w:val="center"/>
      </w:pPr>
      <w:r>
        <w:drawing>
          <wp:inline xmlns:a="http://schemas.openxmlformats.org/drawingml/2006/main" xmlns:pic="http://schemas.openxmlformats.org/drawingml/2006/picture">
            <wp:extent cx="5580000" cy="3049327"/>
            <wp:docPr id="21" name="Picture 21"/>
            <wp:cNvGraphicFramePr>
              <a:graphicFrameLocks noChangeAspect="1"/>
            </wp:cNvGraphicFramePr>
            <a:graphic>
              <a:graphicData uri="http://schemas.openxmlformats.org/drawingml/2006/picture">
                <pic:pic>
                  <pic:nvPicPr>
                    <pic:cNvPr id="0" name="51-materiel-attachement.png"/>
                    <pic:cNvPicPr/>
                  </pic:nvPicPr>
                  <pic:blipFill>
                    <a:blip r:embed="rId30"/>
                    <a:stretch>
                      <a:fillRect/>
                    </a:stretch>
                  </pic:blipFill>
                  <pic:spPr>
                    <a:xfrm>
                      <a:off x="0" y="0"/>
                      <a:ext cx="5580000" cy="3049327"/>
                    </a:xfrm>
                    <a:prstGeom prst="rect"/>
                  </pic:spPr>
                </pic:pic>
              </a:graphicData>
            </a:graphic>
          </wp:inline>
        </w:drawing>
      </w:r>
    </w:p>
    <w:p>
      <w:pPr>
        <w:jc w:val="center"/>
      </w:pPr>
      <w:r>
        <w:rPr>
          <w:i/>
          <w:color w:val="6B7785"/>
          <w:sz w:val="18"/>
        </w:rPr>
        <w:t>L'attachement du mois : les lignes « VH » sont le matériel.</w:t>
      </w:r>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22" name="Picture 22"/>
            <wp:cNvGraphicFramePr>
              <a:graphicFrameLocks noChangeAspect="1"/>
            </wp:cNvGraphicFramePr>
            <a:graphic>
              <a:graphicData uri="http://schemas.openxmlformats.org/drawingml/2006/picture">
                <pic:pic>
                  <pic:nvPicPr>
                    <pic:cNvPr id="0" name="70-demandes-chef.png"/>
                    <pic:cNvPicPr/>
                  </pic:nvPicPr>
                  <pic:blipFill>
                    <a:blip r:embed="rId31"/>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Un même fichier déposé deux fois est signalé en rouge (« Doublon ») et son envoi demande une confirmation ; un document du même type et de la même période qu'un document déjà classé reçoit un avertissement.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3" name="Picture 23"/>
            <wp:cNvGraphicFramePr>
              <a:graphicFrameLocks noChangeAspect="1"/>
            </wp:cNvGraphicFramePr>
            <a:graphic>
              <a:graphicData uri="http://schemas.openxmlformats.org/drawingml/2006/picture">
                <pic:pic>
                  <pic:nvPicPr>
                    <pic:cNvPr id="0" name="31-documents-admin.png"/>
                    <pic:cNvPicPr/>
                  </pic:nvPicPr>
                  <pic:blipFill>
                    <a:blip r:embed="rId32"/>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4" name="Picture 24"/>
            <wp:cNvGraphicFramePr>
              <a:graphicFrameLocks noChangeAspect="1"/>
            </wp:cNvGraphicFramePr>
            <a:graphic>
              <a:graphicData uri="http://schemas.openxmlformats.org/drawingml/2006/picture">
                <pic:pic>
                  <pic:nvPicPr>
                    <pic:cNvPr id="0" name="40a-contrat.png"/>
                    <pic:cNvPicPr/>
                  </pic:nvPicPr>
                  <pic:blipFill>
                    <a:blip r:embed="rId33"/>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5" name="Picture 25"/>
            <wp:cNvGraphicFramePr>
              <a:graphicFrameLocks noChangeAspect="1"/>
            </wp:cNvGraphicFramePr>
            <a:graphic>
              <a:graphicData uri="http://schemas.openxmlformats.org/drawingml/2006/picture">
                <pic:pic>
                  <pic:nvPicPr>
                    <pic:cNvPr id="0" name="40b-contrat-formulaire.png"/>
                    <pic:cNvPicPr/>
                  </pic:nvPicPr>
                  <pic:blipFill>
                    <a:blip r:embed="rId34"/>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6" name="Picture 26"/>
            <wp:cNvGraphicFramePr>
              <a:graphicFrameLocks noChangeAspect="1"/>
            </wp:cNvGraphicFramePr>
            <a:graphic>
              <a:graphicData uri="http://schemas.openxmlformats.org/drawingml/2006/picture">
                <pic:pic>
                  <pic:nvPicPr>
                    <pic:cNvPr id="0" name="41-setup-prestataire.png"/>
                    <pic:cNvPicPr/>
                  </pic:nvPicPr>
                  <pic:blipFill>
                    <a:blip r:embed="rId35"/>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7" name="Picture 27"/>
            <wp:cNvGraphicFramePr>
              <a:graphicFrameLocks noChangeAspect="1"/>
            </wp:cNvGraphicFramePr>
            <a:graphic>
              <a:graphicData uri="http://schemas.openxmlformats.org/drawingml/2006/picture">
                <pic:pic>
                  <pic:nvPicPr>
                    <pic:cNvPr id="0" name="42-setup-rotation.png"/>
                    <pic:cNvPicPr/>
                  </pic:nvPicPr>
                  <pic:blipFill>
                    <a:blip r:embed="rId36"/>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8" name="Picture 28"/>
            <wp:cNvGraphicFramePr>
              <a:graphicFrameLocks noChangeAspect="1"/>
            </wp:cNvGraphicFramePr>
            <a:graphic>
              <a:graphicData uri="http://schemas.openxmlformats.org/drawingml/2006/picture">
                <pic:pic>
                  <pic:nvPicPr>
                    <pic:cNvPr id="0" name="43-setup-maintenance.png"/>
                    <pic:cNvPicPr/>
                  </pic:nvPicPr>
                  <pic:blipFill>
                    <a:blip r:embed="rId37"/>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r>
        <w:t>Accès du responsable d'équipe : dans Setup → Contrat, l'administrateur choisit si les responsables d'équipe peuvent extraire l'attachement et la facture : selon chaque responsable (case de sa fiche Agent), tous, ou aucun. Module Facturation : l'administrateur peut l'activer ou le désactiver dans Setup → Contrat (« Module Facturation »). Désactivé, Sijil s'arrête à l'attachement : la partie « 3. Facture » disparaît des exports et de l'historique des contrats, et l'édition de factures est refusée par le serveur. Les factures déjà établies sont conservées et réapparaissent si le module est réactivé.</w:t>
      </w:r>
    </w:p>
    <w:p>
      <w:pPr>
        <w:keepNext/>
        <w:spacing w:after="40"/>
        <w:jc w:val="center"/>
      </w:pPr>
      <w:r>
        <w:drawing>
          <wp:inline xmlns:a="http://schemas.openxmlformats.org/drawingml/2006/main" xmlns:pic="http://schemas.openxmlformats.org/drawingml/2006/picture">
            <wp:extent cx="5580000" cy="4267059"/>
            <wp:docPr id="29" name="Picture 29"/>
            <wp:cNvGraphicFramePr>
              <a:graphicFrameLocks noChangeAspect="1"/>
            </wp:cNvGraphicFramePr>
            <a:graphic>
              <a:graphicData uri="http://schemas.openxmlformats.org/drawingml/2006/picture">
                <pic:pic>
                  <pic:nvPicPr>
                    <pic:cNvPr id="0" name="50-exports.png"/>
                    <pic:cNvPicPr/>
                  </pic:nvPicPr>
                  <pic:blipFill>
                    <a:blip r:embed="rId38"/>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0-client-pointage.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81-client-remarqu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83-remarque-prestataire.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3" name="Picture 33"/>
            <wp:cNvGraphicFramePr>
              <a:graphicFrameLocks noChangeAspect="1"/>
            </wp:cNvGraphicFramePr>
            <a:graphic>
              <a:graphicData uri="http://schemas.openxmlformats.org/drawingml/2006/picture">
                <pic:pic>
                  <pic:nvPicPr>
                    <pic:cNvPr id="0" name="82-client-contrat.png"/>
                    <pic:cNvPicPr/>
                  </pic:nvPicPr>
                  <pic:blipFill>
                    <a:blip r:embed="rId42"/>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4" name="Picture 34"/>
            <wp:cNvGraphicFramePr>
              <a:graphicFrameLocks noChangeAspect="1"/>
            </wp:cNvGraphicFramePr>
            <a:graphic>
              <a:graphicData uri="http://schemas.openxmlformats.org/drawingml/2006/picture">
                <pic:pic>
                  <pic:nvPicPr>
                    <pic:cNvPr id="0" name="97-aide.png"/>
                    <pic:cNvPicPr/>
                  </pic:nvPicPr>
                  <pic:blipFill>
                    <a:blip r:embed="rId43"/>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5" name="Picture 35"/>
            <wp:cNvGraphicFramePr>
              <a:graphicFrameLocks noChangeAspect="1"/>
            </wp:cNvGraphicFramePr>
            <a:graphic>
              <a:graphicData uri="http://schemas.openxmlformats.org/drawingml/2006/picture">
                <pic:pic>
                  <pic:nvPicPr>
                    <pic:cNvPr id="0" name="90-nouveautes.png"/>
                    <pic:cNvPicPr/>
                  </pic:nvPicPr>
                  <pic:blipFill>
                    <a:blip r:embed="rId44"/>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JawlaDev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JawlaDev</dc:creator>
  <cp:keywords/>
  <dc:description>generated by python-docx</dc:description>
  <cp:lastModifiedBy/>
  <cp:revision>1</cp:revision>
  <dcterms:created xsi:type="dcterms:W3CDTF">2013-12-23T23:15:00Z</dcterms:created>
  <dcterms:modified xsi:type="dcterms:W3CDTF">2013-12-23T23:15:00Z</dcterms:modified>
  <cp:category/>
</cp:coreProperties>
</file>