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65BE" w14:textId="77777777" w:rsidR="00BC5B85" w:rsidRPr="00BC5B85" w:rsidRDefault="00BC5B85" w:rsidP="00C043BD">
      <w:pPr>
        <w:shd w:val="clear" w:color="auto" w:fill="FFFFFF"/>
        <w:spacing w:after="203" w:line="240" w:lineRule="auto"/>
        <w:jc w:val="both"/>
        <w:outlineLvl w:val="0"/>
        <w:rPr>
          <w:rFonts w:ascii="sofia-pro" w:eastAsia="Times New Roman" w:hAnsi="sofia-pro" w:cs="Times New Roman"/>
          <w:b/>
          <w:bCs/>
          <w:color w:val="333333"/>
          <w:kern w:val="36"/>
          <w:sz w:val="41"/>
          <w:szCs w:val="41"/>
          <w14:ligatures w14:val="none"/>
        </w:rPr>
      </w:pPr>
      <w:r w:rsidRPr="00BC5B85">
        <w:rPr>
          <w:rFonts w:ascii="sofia-pro" w:eastAsia="Times New Roman" w:hAnsi="sofia-pro" w:cs="Times New Roman"/>
          <w:b/>
          <w:bCs/>
          <w:color w:val="333333"/>
          <w:kern w:val="36"/>
          <w:sz w:val="41"/>
          <w:szCs w:val="41"/>
          <w14:ligatures w14:val="none"/>
        </w:rPr>
        <w:t>Case Study Narrative: Apex Global Bank – A System Under Strain</w:t>
      </w:r>
    </w:p>
    <w:p w14:paraId="073A0E48"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Apex Global Bank is a top-tier multinational financial institution, managing over $1.2 trillion in assets and serving more than 20 million customers worldwide. Headquartered in New York, with regional hubs in London, Singapore, and São Paulo, the bank operates at the forefront of digital banking innovation. With over 35,000 employees and a heavy reliance on digital channels—mobile transactions now accounting for 62% of all retail interactions—IT infrastructure is not just mission-critical; it is business-critical.</w:t>
      </w:r>
    </w:p>
    <w:p w14:paraId="594294FB"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Over the past decade, Apex has rapidly modernized its digital services, but its IT operations have grown increasingly complex. Today, Apex runs more than 8,000 virtual machines and over 3,500 cloud workloads across AWS and Azure, in addition to maintaining two core data centers that support regulatory and legacy applications. Their hybrid infrastructure supports 14 tier-one services, including digital account onboarding, real-time payments, FX trading, and customer identity verification.</w:t>
      </w:r>
    </w:p>
    <w:p w14:paraId="6A5A3D31"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p>
    <w:p w14:paraId="22EA831A"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Fragmentation Across Tools and Services</w:t>
      </w:r>
    </w:p>
    <w:p w14:paraId="19B4516B"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To monitor and manage this vast environment, the IT organization relies on different tools:</w:t>
      </w:r>
    </w:p>
    <w:p w14:paraId="35A42899" w14:textId="77777777" w:rsidR="00BC5B85" w:rsidRPr="00BC5B85" w:rsidRDefault="00BC5B85" w:rsidP="00C043BD">
      <w:pPr>
        <w:numPr>
          <w:ilvl w:val="0"/>
          <w:numId w:val="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ServiceNow handles incident, problem, and change management across six global support centers.</w:t>
      </w:r>
    </w:p>
    <w:p w14:paraId="75B64E4B" w14:textId="77777777" w:rsidR="00BC5B85" w:rsidRPr="00BC5B85" w:rsidRDefault="00BC5B85" w:rsidP="00C043BD">
      <w:pPr>
        <w:numPr>
          <w:ilvl w:val="0"/>
          <w:numId w:val="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Dynatrace is used for application performance monitoring on over 280 services, primarily Java- and Node.js-based microservices.</w:t>
      </w:r>
    </w:p>
    <w:p w14:paraId="6DE695D8" w14:textId="77777777" w:rsidR="00BC5B85" w:rsidRPr="00BC5B85" w:rsidRDefault="00BC5B85" w:rsidP="00C043BD">
      <w:pPr>
        <w:numPr>
          <w:ilvl w:val="0"/>
          <w:numId w:val="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Datadog collects metrics from more than 2,100 Kubernetes pods and 1,600 cloud assets.</w:t>
      </w:r>
    </w:p>
    <w:p w14:paraId="420F7063" w14:textId="77777777" w:rsidR="00BC5B85" w:rsidRPr="00BC5B85" w:rsidRDefault="00BC5B85" w:rsidP="00C043BD">
      <w:pPr>
        <w:numPr>
          <w:ilvl w:val="0"/>
          <w:numId w:val="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SolarWinds is still in use for SNMP-based monitoring of legacy infrastructure and on-prem servers.</w:t>
      </w:r>
    </w:p>
    <w:p w14:paraId="6557559D" w14:textId="77777777" w:rsidR="00BC5B85" w:rsidRPr="00BC5B85" w:rsidRDefault="00BC5B85" w:rsidP="00C043BD">
      <w:pPr>
        <w:numPr>
          <w:ilvl w:val="0"/>
          <w:numId w:val="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Microsoft Intune manages configuration and patch compliance for 25,000 endpoints, including staff laptops and secure VDI environments.</w:t>
      </w:r>
    </w:p>
    <w:p w14:paraId="627C4518"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But despite these investments, Apex’s operations are hampered by fragmentation and inefficiency. On a typical day, the bank receives more than 42,000 IT alerts across its toolset—of which less than 3% are actionable. More than 80% of critical incidents require engineers to manually correlate alerts from at least three different tools. The average time to resolve a high-priority incident is 187 minutes, a figure that has increased by 12% year-over-year.</w:t>
      </w:r>
    </w:p>
    <w:p w14:paraId="54739A7C"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p>
    <w:p w14:paraId="71FA6F0B"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Service Desk and Digital Workplace Pressures</w:t>
      </w:r>
    </w:p>
    <w:p w14:paraId="2F82FDB2"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During peak business hours, Tier 1 support is often overwhelmed. First-level resolution rates have dropped below 55%, triggering escalations that cascade across infrastructure, application, and security teams. A root cause analysis following a two-hour outage of the mobile authentication service revealed that seven separate alerts—originating from Dynatrace, Datadog, and ServiceNow—were logged over a 40-minute window without being properly correlated. As a result, customer access to mobile banking was disrupted for 1.4 million users.</w:t>
      </w:r>
    </w:p>
    <w:p w14:paraId="4F4B6384"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Employees are also feeling the impact in the digital workplace:</w:t>
      </w:r>
    </w:p>
    <w:p w14:paraId="1A358E3B" w14:textId="77777777" w:rsidR="00BC5B85" w:rsidRPr="00BC5B85" w:rsidRDefault="00BC5B85" w:rsidP="00C043BD">
      <w:pPr>
        <w:numPr>
          <w:ilvl w:val="0"/>
          <w:numId w:val="2"/>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Password resets, collaboration tool issues, and access requests still account for nearly 40% of tickets, but most are routed manually.</w:t>
      </w:r>
    </w:p>
    <w:p w14:paraId="139E27A8" w14:textId="77777777" w:rsidR="00BC5B85" w:rsidRPr="00BC5B85" w:rsidRDefault="00BC5B85" w:rsidP="00C043BD">
      <w:pPr>
        <w:numPr>
          <w:ilvl w:val="0"/>
          <w:numId w:val="2"/>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lastRenderedPageBreak/>
        <w:t>Knowledge articles are often outdated, and self-service adoption is below 25%, forcing employees to rely on live agents.</w:t>
      </w:r>
    </w:p>
    <w:p w14:paraId="356410AE" w14:textId="77777777" w:rsidR="00BC5B85" w:rsidRPr="00BC5B85" w:rsidRDefault="00BC5B85" w:rsidP="00C043BD">
      <w:pPr>
        <w:numPr>
          <w:ilvl w:val="0"/>
          <w:numId w:val="2"/>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Chatbots exist but lack contextual understanding, leading to low trust and minimal use.</w:t>
      </w:r>
    </w:p>
    <w:p w14:paraId="5AE0A2F9" w14:textId="77777777" w:rsidR="00BC5B85" w:rsidRPr="00BC5B85" w:rsidRDefault="00BC5B85" w:rsidP="00C043BD">
      <w:pPr>
        <w:numPr>
          <w:ilvl w:val="0"/>
          <w:numId w:val="2"/>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SLAs for standard requests (e.g., laptop configuration, software deployment) are frequently breached due to inefficient workflows.</w:t>
      </w:r>
    </w:p>
    <w:p w14:paraId="76D91A66"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These challenges highlight gaps across ITIL-aligned processes:</w:t>
      </w:r>
    </w:p>
    <w:p w14:paraId="01D6A322"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I</w:t>
      </w:r>
      <w:r w:rsidRPr="00BC5B85">
        <w:rPr>
          <w:rFonts w:ascii="sofia-pro" w:eastAsia="Times New Roman" w:hAnsi="sofia-pro" w:cs="Times New Roman"/>
          <w:b/>
          <w:bCs/>
          <w:color w:val="333333"/>
          <w:kern w:val="0"/>
          <w:sz w:val="22"/>
          <w:szCs w:val="22"/>
          <w14:ligatures w14:val="none"/>
        </w:rPr>
        <w:t>ncident Management</w:t>
      </w:r>
    </w:p>
    <w:p w14:paraId="223D0E5E"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remains reactive, with limited AI/automation to accelerate classification or routing.</w:t>
      </w:r>
    </w:p>
    <w:p w14:paraId="1B5CFCC7"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Problem Management</w:t>
      </w:r>
      <w:r w:rsidRPr="00BC5B85">
        <w:rPr>
          <w:rFonts w:ascii="sofia-pro" w:eastAsia="Times New Roman" w:hAnsi="sofia-pro" w:cs="Times New Roman"/>
          <w:color w:val="333333"/>
          <w:kern w:val="0"/>
          <w:sz w:val="22"/>
          <w:szCs w:val="22"/>
          <w14:ligatures w14:val="none"/>
        </w:rPr>
        <w:t> is inconsistent—recurring incidents are logged, but analysis is often deprioritized in favor of firefighting.</w:t>
      </w:r>
    </w:p>
    <w:p w14:paraId="595A137E"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Change Enablement</w:t>
      </w:r>
      <w:r w:rsidRPr="00BC5B85">
        <w:rPr>
          <w:rFonts w:ascii="sofia-pro" w:eastAsia="Times New Roman" w:hAnsi="sofia-pro" w:cs="Times New Roman"/>
          <w:color w:val="333333"/>
          <w:kern w:val="0"/>
          <w:sz w:val="22"/>
          <w:szCs w:val="22"/>
          <w14:ligatures w14:val="none"/>
        </w:rPr>
        <w:t> is slowed by incomplete impact analysis; fewer than 30% of change records have validated CI relationships.</w:t>
      </w:r>
    </w:p>
    <w:p w14:paraId="6FAAA143"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Knowledge Management</w:t>
      </w:r>
      <w:r w:rsidRPr="00BC5B85">
        <w:rPr>
          <w:rFonts w:ascii="sofia-pro" w:eastAsia="Times New Roman" w:hAnsi="sofia-pro" w:cs="Times New Roman"/>
          <w:color w:val="333333"/>
          <w:kern w:val="0"/>
          <w:sz w:val="22"/>
          <w:szCs w:val="22"/>
          <w14:ligatures w14:val="none"/>
        </w:rPr>
        <w:t> lacks governance and freshness, leaving both employees and agents without trusted guidance.</w:t>
      </w:r>
    </w:p>
    <w:p w14:paraId="7FF97508" w14:textId="77777777" w:rsidR="00BC5B85" w:rsidRPr="00BC5B85" w:rsidRDefault="00BC5B85" w:rsidP="00C043BD">
      <w:pPr>
        <w:numPr>
          <w:ilvl w:val="0"/>
          <w:numId w:val="3"/>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Request Fulfillment</w:t>
      </w:r>
      <w:r w:rsidRPr="00BC5B85">
        <w:rPr>
          <w:rFonts w:ascii="sofia-pro" w:eastAsia="Times New Roman" w:hAnsi="sofia-pro" w:cs="Times New Roman"/>
          <w:color w:val="333333"/>
          <w:kern w:val="0"/>
          <w:sz w:val="22"/>
          <w:szCs w:val="22"/>
          <w14:ligatures w14:val="none"/>
        </w:rPr>
        <w:t> workflows are fragmented across tools, making standard service requests slow and costly to deliver.</w:t>
      </w:r>
    </w:p>
    <w:p w14:paraId="200BB11D"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Discovery and CMDB Challenges</w:t>
      </w:r>
    </w:p>
    <w:p w14:paraId="7B966D17"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The CMDB, considered a foundational system of record, has not been consistently trusted by operations teams. Only 42% of configuration items (CIs) are updated within 7 days of a change, and less than 30% of change records include validated CI relationships. This lack of confidence has forced teams to maintain ad hoc documentation and tribal knowledge to map service dependencies—particularly problematic during audits or major incident reviews.</w:t>
      </w:r>
    </w:p>
    <w:p w14:paraId="54E3F71A"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Automation, too, remains inconsistent. While some DevOps teams have implemented task-specific scripts—such as auto-scaling EC2 instances or restarting failed containers—only 17% of recurring incidents are addressed with automation. Night-shift engineers frequently escalate incidents that could be resolved with basic restarts, configuration refreshes, or rollback actions due to lack of standard runbooks or integration between tools.</w:t>
      </w:r>
    </w:p>
    <w:p w14:paraId="488B81ED"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p>
    <w:p w14:paraId="2B044700"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The Human and Financial Cost</w:t>
      </w:r>
    </w:p>
    <w:p w14:paraId="5E24A609"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 xml:space="preserve">The financial impact is becoming clear. License costs across ITOM and APM tools have risen 23% over the last 18 months. More importantly, the human cost is </w:t>
      </w:r>
      <w:proofErr w:type="gramStart"/>
      <w:r w:rsidRPr="00BC5B85">
        <w:rPr>
          <w:rFonts w:ascii="sofia-pro" w:eastAsia="Times New Roman" w:hAnsi="sofia-pro" w:cs="Times New Roman"/>
          <w:color w:val="333333"/>
          <w:kern w:val="0"/>
          <w:sz w:val="22"/>
          <w:szCs w:val="22"/>
          <w14:ligatures w14:val="none"/>
        </w:rPr>
        <w:t>growing:</w:t>
      </w:r>
      <w:proofErr w:type="gramEnd"/>
      <w:r w:rsidRPr="00BC5B85">
        <w:rPr>
          <w:rFonts w:ascii="sofia-pro" w:eastAsia="Times New Roman" w:hAnsi="sofia-pro" w:cs="Times New Roman"/>
          <w:color w:val="333333"/>
          <w:kern w:val="0"/>
          <w:sz w:val="22"/>
          <w:szCs w:val="22"/>
          <w14:ligatures w14:val="none"/>
        </w:rPr>
        <w:t xml:space="preserve"> engineering hours lost to troubleshooting and manual coordination are now estimated at 1,200 hours per month. These inefficiencies are reflected in longer change cycles, higher SLA breach rates (up 9% this quarter), and increasing internal dissatisfaction—particularly from business units dependent on digital services for revenue generation.</w:t>
      </w:r>
    </w:p>
    <w:p w14:paraId="3F029BB5"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For employees, the digital workplace experience is also degrading. Frustration with ticket delays, lack of proactive IT support, and redundant escalations is undermining workforce productivity and morale.</w:t>
      </w:r>
    </w:p>
    <w:p w14:paraId="621C52EE"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p>
    <w:p w14:paraId="73A66F0A"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The Turning Point: Agentic AI and Service-Centric IT</w:t>
      </w:r>
    </w:p>
    <w:p w14:paraId="52FED921"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 xml:space="preserve">At the executive level, there is a growing awareness that Apex’s operational model is no longer sustainable. While the bank has accumulated a rich ecosystem of tools, it lacks centralized visibility, cohesive workflows, and predictive intelligence. Each team sees part of the picture; no one sees the whole. And in a world where uptime, speed, and automation define competitive advantage, Apex </w:t>
      </w:r>
      <w:r w:rsidRPr="00BC5B85">
        <w:rPr>
          <w:rFonts w:ascii="sofia-pro" w:eastAsia="Times New Roman" w:hAnsi="sofia-pro" w:cs="Times New Roman"/>
          <w:color w:val="333333"/>
          <w:kern w:val="0"/>
          <w:sz w:val="22"/>
          <w:szCs w:val="22"/>
          <w14:ligatures w14:val="none"/>
        </w:rPr>
        <w:lastRenderedPageBreak/>
        <w:t xml:space="preserve">Global Bank finds itself at a crossroads: continue maintaining a patchwork of point </w:t>
      </w:r>
      <w:proofErr w:type="gramStart"/>
      <w:r w:rsidRPr="00BC5B85">
        <w:rPr>
          <w:rFonts w:ascii="sofia-pro" w:eastAsia="Times New Roman" w:hAnsi="sofia-pro" w:cs="Times New Roman"/>
          <w:color w:val="333333"/>
          <w:kern w:val="0"/>
          <w:sz w:val="22"/>
          <w:szCs w:val="22"/>
          <w14:ligatures w14:val="none"/>
        </w:rPr>
        <w:t>solutions, or</w:t>
      </w:r>
      <w:proofErr w:type="gramEnd"/>
      <w:r w:rsidRPr="00BC5B85">
        <w:rPr>
          <w:rFonts w:ascii="sofia-pro" w:eastAsia="Times New Roman" w:hAnsi="sofia-pro" w:cs="Times New Roman"/>
          <w:color w:val="333333"/>
          <w:kern w:val="0"/>
          <w:sz w:val="22"/>
          <w:szCs w:val="22"/>
          <w14:ligatures w14:val="none"/>
        </w:rPr>
        <w:t xml:space="preserve"> find a new path to operational coherence.</w:t>
      </w:r>
    </w:p>
    <w:p w14:paraId="15DCA2A1"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Future success will require:</w:t>
      </w:r>
    </w:p>
    <w:p w14:paraId="4C57B395" w14:textId="77777777" w:rsidR="00BC5B85" w:rsidRPr="00BC5B85" w:rsidRDefault="00BC5B85" w:rsidP="00C043BD">
      <w:pPr>
        <w:numPr>
          <w:ilvl w:val="0"/>
          <w:numId w:val="4"/>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Ag</w:t>
      </w:r>
      <w:r w:rsidRPr="00BC5B85">
        <w:rPr>
          <w:rFonts w:ascii="sofia-pro" w:eastAsia="Times New Roman" w:hAnsi="sofia-pro" w:cs="Times New Roman"/>
          <w:b/>
          <w:bCs/>
          <w:color w:val="333333"/>
          <w:kern w:val="0"/>
          <w:sz w:val="22"/>
          <w:szCs w:val="22"/>
          <w14:ligatures w14:val="none"/>
        </w:rPr>
        <w:t>entic AI in IT Operations and ITSM</w:t>
      </w:r>
      <w:r w:rsidRPr="00BC5B85">
        <w:rPr>
          <w:rFonts w:ascii="sofia-pro" w:eastAsia="Times New Roman" w:hAnsi="sofia-pro" w:cs="Times New Roman"/>
          <w:color w:val="333333"/>
          <w:kern w:val="0"/>
          <w:sz w:val="22"/>
          <w:szCs w:val="22"/>
          <w14:ligatures w14:val="none"/>
        </w:rPr>
        <w:t>: AI-driven agents that can enrich tickets, predict outages, recommend or even execute remediations, and continuously learn from incident and service data.</w:t>
      </w:r>
    </w:p>
    <w:p w14:paraId="5B9144B4" w14:textId="77777777" w:rsidR="00BC5B85" w:rsidRPr="00BC5B85" w:rsidRDefault="00BC5B85" w:rsidP="00C043BD">
      <w:pPr>
        <w:numPr>
          <w:ilvl w:val="0"/>
          <w:numId w:val="4"/>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P</w:t>
      </w:r>
      <w:r w:rsidRPr="00BC5B85">
        <w:rPr>
          <w:rFonts w:ascii="sofia-pro" w:eastAsia="Times New Roman" w:hAnsi="sofia-pro" w:cs="Times New Roman"/>
          <w:b/>
          <w:bCs/>
          <w:color w:val="333333"/>
          <w:kern w:val="0"/>
          <w:sz w:val="22"/>
          <w:szCs w:val="22"/>
          <w14:ligatures w14:val="none"/>
        </w:rPr>
        <w:t>roactive Digital Workplace Support</w:t>
      </w:r>
      <w:r w:rsidRPr="00BC5B85">
        <w:rPr>
          <w:rFonts w:ascii="sofia-pro" w:eastAsia="Times New Roman" w:hAnsi="sofia-pro" w:cs="Times New Roman"/>
          <w:color w:val="333333"/>
          <w:kern w:val="0"/>
          <w:sz w:val="22"/>
          <w:szCs w:val="22"/>
          <w14:ligatures w14:val="none"/>
        </w:rPr>
        <w:t>: Virtual agents that understand context, resolve routine issues instantly, and escalate only when human expertise is required.</w:t>
      </w:r>
    </w:p>
    <w:p w14:paraId="6F05849B" w14:textId="77777777" w:rsidR="00BC5B85" w:rsidRPr="00BC5B85" w:rsidRDefault="00BC5B85" w:rsidP="00C043BD">
      <w:pPr>
        <w:numPr>
          <w:ilvl w:val="0"/>
          <w:numId w:val="4"/>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Trusted Discovery &amp; CMDB</w:t>
      </w:r>
      <w:r w:rsidRPr="00BC5B85">
        <w:rPr>
          <w:rFonts w:ascii="sofia-pro" w:eastAsia="Times New Roman" w:hAnsi="sofia-pro" w:cs="Times New Roman"/>
          <w:color w:val="333333"/>
          <w:kern w:val="0"/>
          <w:sz w:val="22"/>
          <w:szCs w:val="22"/>
          <w14:ligatures w14:val="none"/>
        </w:rPr>
        <w:t>: Automated service dependency mapping and real-time CI updates that underpin accurate change, incident, and problem management.</w:t>
      </w:r>
    </w:p>
    <w:p w14:paraId="41BD18A2" w14:textId="77777777" w:rsidR="00BC5B85" w:rsidRPr="00BC5B85" w:rsidRDefault="00BC5B85" w:rsidP="00C043BD">
      <w:pPr>
        <w:numPr>
          <w:ilvl w:val="0"/>
          <w:numId w:val="4"/>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ITIL Process Maturity with AI Support</w:t>
      </w:r>
      <w:r w:rsidRPr="00BC5B85">
        <w:rPr>
          <w:rFonts w:ascii="sofia-pro" w:eastAsia="Times New Roman" w:hAnsi="sofia-pro" w:cs="Times New Roman"/>
          <w:color w:val="333333"/>
          <w:kern w:val="0"/>
          <w:sz w:val="22"/>
          <w:szCs w:val="22"/>
          <w14:ligatures w14:val="none"/>
        </w:rPr>
        <w:t>: Embedding AI-driven workflows into core processes—incident, problem, change, request, and knowledge management—to reduce noise, accelerate delivery, and improve user experience.</w:t>
      </w:r>
    </w:p>
    <w:p w14:paraId="1923E087" w14:textId="101CEA8D" w:rsidR="00BC5B85" w:rsidRPr="00BC5B85" w:rsidRDefault="00BC5B85" w:rsidP="00C043BD">
      <w:pPr>
        <w:numPr>
          <w:ilvl w:val="0"/>
          <w:numId w:val="4"/>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Service-Centric IT Delivery</w:t>
      </w:r>
      <w:r w:rsidRPr="00BC5B85">
        <w:rPr>
          <w:rFonts w:ascii="sofia-pro" w:eastAsia="Times New Roman" w:hAnsi="sofia-pro" w:cs="Times New Roman"/>
          <w:color w:val="333333"/>
          <w:kern w:val="0"/>
          <w:sz w:val="22"/>
          <w:szCs w:val="22"/>
          <w14:ligatures w14:val="none"/>
        </w:rPr>
        <w:t>: Shifting from siloed, tool-centric management toward holistic visibility and outcomes aligned to business services.</w:t>
      </w:r>
    </w:p>
    <w:p w14:paraId="10696AD8" w14:textId="77777777" w:rsidR="00BC5B85" w:rsidRPr="00BC5B85" w:rsidRDefault="00BC5B85" w:rsidP="00C043BD">
      <w:pPr>
        <w:shd w:val="clear" w:color="auto" w:fill="FFFFFF"/>
        <w:spacing w:after="203" w:line="240" w:lineRule="auto"/>
        <w:jc w:val="both"/>
        <w:outlineLvl w:val="1"/>
        <w:rPr>
          <w:rFonts w:ascii="sofia-pro" w:eastAsia="Times New Roman" w:hAnsi="sofia-pro" w:cs="Times New Roman"/>
          <w:color w:val="333333"/>
          <w:kern w:val="0"/>
          <w:sz w:val="30"/>
          <w:szCs w:val="30"/>
          <w14:ligatures w14:val="none"/>
        </w:rPr>
      </w:pPr>
      <w:r w:rsidRPr="00BC5B85">
        <w:rPr>
          <w:rFonts w:ascii="sofia-pro" w:eastAsia="Times New Roman" w:hAnsi="sofia-pro" w:cs="Times New Roman"/>
          <w:b/>
          <w:bCs/>
          <w:color w:val="333333"/>
          <w:kern w:val="0"/>
          <w:sz w:val="30"/>
          <w:szCs w:val="30"/>
          <w14:ligatures w14:val="none"/>
        </w:rPr>
        <w:t>Summary</w:t>
      </w:r>
    </w:p>
    <w:p w14:paraId="3734A51B" w14:textId="77777777" w:rsidR="00BC5B85" w:rsidRPr="00BC5B85" w:rsidRDefault="00BC5B85" w:rsidP="00C043BD">
      <w:pPr>
        <w:numPr>
          <w:ilvl w:val="0"/>
          <w:numId w:val="5"/>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Customer Overview</w:t>
      </w:r>
    </w:p>
    <w:p w14:paraId="79AEBEF8"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Industry: Banking &amp; Financial Services</w:t>
      </w:r>
    </w:p>
    <w:p w14:paraId="3FE118D8"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Headquarters: New York City, USA</w:t>
      </w:r>
    </w:p>
    <w:p w14:paraId="3982EDC3"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Employees: ~35,000 globally</w:t>
      </w:r>
    </w:p>
    <w:p w14:paraId="6EE81CC4"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IT Staff: 1,400</w:t>
      </w:r>
    </w:p>
    <w:p w14:paraId="59A47D9E"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Annual Revenue: $18B</w:t>
      </w:r>
    </w:p>
    <w:p w14:paraId="1673FE54" w14:textId="77777777" w:rsidR="00BC5B85" w:rsidRPr="00BC5B85" w:rsidRDefault="00BC5B85" w:rsidP="00C043BD">
      <w:pPr>
        <w:numPr>
          <w:ilvl w:val="0"/>
          <w:numId w:val="6"/>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Digital Channels: Mobile banking app, online banking platform, API gateway for partners</w:t>
      </w:r>
    </w:p>
    <w:p w14:paraId="7AF08D84"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Key Strategic Objectives</w:t>
      </w:r>
    </w:p>
    <w:p w14:paraId="7971F936" w14:textId="77777777" w:rsidR="00BC5B85" w:rsidRPr="00BC5B85" w:rsidRDefault="00BC5B85" w:rsidP="00C043BD">
      <w:pPr>
        <w:numPr>
          <w:ilvl w:val="0"/>
          <w:numId w:val="7"/>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Modernize IT operations to improve agility and customer experience</w:t>
      </w:r>
    </w:p>
    <w:p w14:paraId="24727AFD" w14:textId="77777777" w:rsidR="00BC5B85" w:rsidRPr="00BC5B85" w:rsidRDefault="00BC5B85" w:rsidP="00C043BD">
      <w:pPr>
        <w:numPr>
          <w:ilvl w:val="0"/>
          <w:numId w:val="7"/>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Reduce MTTR and operational overhead through automation and AI/ML</w:t>
      </w:r>
    </w:p>
    <w:p w14:paraId="56E504D0" w14:textId="77777777" w:rsidR="00BC5B85" w:rsidRPr="00BC5B85" w:rsidRDefault="00BC5B85" w:rsidP="00C043BD">
      <w:pPr>
        <w:numPr>
          <w:ilvl w:val="0"/>
          <w:numId w:val="7"/>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Empower employees through AI-driven self-service and proactive workplace support</w:t>
      </w:r>
    </w:p>
    <w:p w14:paraId="2AF695A7" w14:textId="77777777" w:rsidR="00BC5B85" w:rsidRPr="00BC5B85" w:rsidRDefault="00BC5B85" w:rsidP="00C043BD">
      <w:pPr>
        <w:numPr>
          <w:ilvl w:val="0"/>
          <w:numId w:val="7"/>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Achieve complete visibility across hybrid and multi-cloud infrastructure</w:t>
      </w:r>
    </w:p>
    <w:p w14:paraId="50D7E555" w14:textId="77777777" w:rsidR="00BC5B85" w:rsidRPr="00BC5B85" w:rsidRDefault="00BC5B85" w:rsidP="00C043BD">
      <w:pPr>
        <w:numPr>
          <w:ilvl w:val="0"/>
          <w:numId w:val="7"/>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Shift from tool-centric to service-centric IT delivery</w:t>
      </w:r>
    </w:p>
    <w:p w14:paraId="0585DA87" w14:textId="77777777" w:rsidR="00BC5B85" w:rsidRPr="00BC5B85" w:rsidRDefault="00BC5B85" w:rsidP="00C043BD">
      <w:pPr>
        <w:numPr>
          <w:ilvl w:val="0"/>
          <w:numId w:val="8"/>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Current IT Environment</w:t>
      </w:r>
    </w:p>
    <w:p w14:paraId="7B1D2F0D"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Infrastructure Overview:</w:t>
      </w:r>
    </w:p>
    <w:p w14:paraId="29A306E7" w14:textId="77777777" w:rsidR="00BC5B85" w:rsidRPr="00BC5B85" w:rsidRDefault="00BC5B85" w:rsidP="00C043BD">
      <w:pPr>
        <w:numPr>
          <w:ilvl w:val="0"/>
          <w:numId w:val="9"/>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 xml:space="preserve">Hybrid </w:t>
      </w:r>
      <w:proofErr w:type="gramStart"/>
      <w:r w:rsidRPr="00BC5B85">
        <w:rPr>
          <w:rFonts w:ascii="sofia-pro" w:eastAsia="Times New Roman" w:hAnsi="sofia-pro" w:cs="Times New Roman"/>
          <w:color w:val="333333"/>
          <w:kern w:val="0"/>
          <w:sz w:val="22"/>
          <w:szCs w:val="22"/>
          <w14:ligatures w14:val="none"/>
        </w:rPr>
        <w:t>Multi-cloud</w:t>
      </w:r>
      <w:proofErr w:type="gramEnd"/>
      <w:r w:rsidRPr="00BC5B85">
        <w:rPr>
          <w:rFonts w:ascii="sofia-pro" w:eastAsia="Times New Roman" w:hAnsi="sofia-pro" w:cs="Times New Roman"/>
          <w:color w:val="333333"/>
          <w:kern w:val="0"/>
          <w:sz w:val="22"/>
          <w:szCs w:val="22"/>
          <w14:ligatures w14:val="none"/>
        </w:rPr>
        <w:t>:</w:t>
      </w:r>
    </w:p>
    <w:p w14:paraId="6E4C8516" w14:textId="77777777" w:rsidR="00BC5B85" w:rsidRPr="00BC5B85" w:rsidRDefault="00BC5B85" w:rsidP="00C043BD">
      <w:pPr>
        <w:numPr>
          <w:ilvl w:val="1"/>
          <w:numId w:val="9"/>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AWS: Core banking services, mobile app backend</w:t>
      </w:r>
    </w:p>
    <w:p w14:paraId="089A8D8A" w14:textId="77777777" w:rsidR="00BC5B85" w:rsidRPr="00BC5B85" w:rsidRDefault="00BC5B85" w:rsidP="00C043BD">
      <w:pPr>
        <w:numPr>
          <w:ilvl w:val="1"/>
          <w:numId w:val="9"/>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Azure: Document management, internal apps</w:t>
      </w:r>
    </w:p>
    <w:p w14:paraId="2C3493DE" w14:textId="77777777" w:rsidR="00BC5B85" w:rsidRPr="00BC5B85" w:rsidRDefault="00BC5B85" w:rsidP="00C043BD">
      <w:pPr>
        <w:numPr>
          <w:ilvl w:val="1"/>
          <w:numId w:val="9"/>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On-prem VMware &amp; Nutanix clusters: Regulatory systems, legacy banking apps</w:t>
      </w:r>
    </w:p>
    <w:p w14:paraId="78196FFB" w14:textId="77777777" w:rsidR="00BC5B85" w:rsidRPr="00BC5B85" w:rsidRDefault="00BC5B85" w:rsidP="00C043BD">
      <w:pPr>
        <w:numPr>
          <w:ilvl w:val="0"/>
          <w:numId w:val="9"/>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Networking: Cisco ACI, F5 Load balancers</w:t>
      </w:r>
    </w:p>
    <w:p w14:paraId="02E9E334" w14:textId="77777777" w:rsidR="00BC5B85" w:rsidRPr="00BC5B85" w:rsidRDefault="00BC5B85" w:rsidP="00C043BD">
      <w:pPr>
        <w:numPr>
          <w:ilvl w:val="0"/>
          <w:numId w:val="9"/>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End-User Devices: Windows 10/11 managed via Microsoft Intune</w:t>
      </w:r>
    </w:p>
    <w:p w14:paraId="61BDEE79" w14:textId="77777777" w:rsidR="00BC5B85" w:rsidRPr="00BC5B85" w:rsidRDefault="00BC5B85" w:rsidP="00C043BD">
      <w:pPr>
        <w:numPr>
          <w:ilvl w:val="0"/>
          <w:numId w:val="9"/>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CI/CD Pipelines: Jenkins, GitLab</w:t>
      </w:r>
    </w:p>
    <w:p w14:paraId="4E7274B8" w14:textId="77777777" w:rsidR="00BC5B85" w:rsidRPr="00BC5B85" w:rsidRDefault="00BC5B85" w:rsidP="00C043BD">
      <w:pPr>
        <w:numPr>
          <w:ilvl w:val="0"/>
          <w:numId w:val="9"/>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Databases: Oracle, MS SQL, PostgreSQL, MongoDB</w:t>
      </w:r>
    </w:p>
    <w:p w14:paraId="17F4A2BE"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lastRenderedPageBreak/>
        <w:t>Tools in Use:</w:t>
      </w:r>
    </w:p>
    <w:tbl>
      <w:tblPr>
        <w:tblW w:w="0" w:type="dxa"/>
        <w:tblCellMar>
          <w:top w:w="15" w:type="dxa"/>
          <w:left w:w="15" w:type="dxa"/>
          <w:bottom w:w="15" w:type="dxa"/>
          <w:right w:w="15" w:type="dxa"/>
        </w:tblCellMar>
        <w:tblLook w:val="04A0" w:firstRow="1" w:lastRow="0" w:firstColumn="1" w:lastColumn="0" w:noHBand="0" w:noVBand="1"/>
      </w:tblPr>
      <w:tblGrid>
        <w:gridCol w:w="2264"/>
        <w:gridCol w:w="4769"/>
      </w:tblGrid>
      <w:tr w:rsidR="00BC5B85" w:rsidRPr="00BC5B85" w14:paraId="6E1147E2" w14:textId="77777777">
        <w:trPr>
          <w:tblHeader/>
        </w:trPr>
        <w:tc>
          <w:tcPr>
            <w:tcW w:w="0" w:type="auto"/>
            <w:tcMar>
              <w:top w:w="135" w:type="dxa"/>
              <w:left w:w="135" w:type="dxa"/>
              <w:bottom w:w="135" w:type="dxa"/>
              <w:right w:w="135" w:type="dxa"/>
            </w:tcMar>
            <w:vAlign w:val="center"/>
            <w:hideMark/>
          </w:tcPr>
          <w:p w14:paraId="1F141C15" w14:textId="77777777" w:rsidR="00BC5B85" w:rsidRPr="00BC5B85" w:rsidRDefault="00BC5B85" w:rsidP="00C043BD">
            <w:pPr>
              <w:spacing w:after="0" w:line="240" w:lineRule="auto"/>
              <w:jc w:val="both"/>
              <w:rPr>
                <w:rFonts w:ascii="Times New Roman" w:eastAsia="Times New Roman" w:hAnsi="Times New Roman" w:cs="Times New Roman"/>
                <w:b/>
                <w:bCs/>
                <w:kern w:val="0"/>
                <w14:ligatures w14:val="none"/>
              </w:rPr>
            </w:pPr>
            <w:r w:rsidRPr="00BC5B85">
              <w:rPr>
                <w:rFonts w:ascii="Times New Roman" w:eastAsia="Times New Roman" w:hAnsi="Times New Roman" w:cs="Times New Roman"/>
                <w:b/>
                <w:bCs/>
                <w:kern w:val="0"/>
                <w14:ligatures w14:val="none"/>
              </w:rPr>
              <w:t>Category</w:t>
            </w:r>
          </w:p>
        </w:tc>
        <w:tc>
          <w:tcPr>
            <w:tcW w:w="0" w:type="auto"/>
            <w:tcMar>
              <w:top w:w="135" w:type="dxa"/>
              <w:left w:w="135" w:type="dxa"/>
              <w:bottom w:w="135" w:type="dxa"/>
              <w:right w:w="135" w:type="dxa"/>
            </w:tcMar>
            <w:vAlign w:val="center"/>
            <w:hideMark/>
          </w:tcPr>
          <w:p w14:paraId="618608ED" w14:textId="77777777" w:rsidR="00BC5B85" w:rsidRPr="00BC5B85" w:rsidRDefault="00BC5B85" w:rsidP="00C043BD">
            <w:pPr>
              <w:spacing w:after="0" w:line="240" w:lineRule="auto"/>
              <w:jc w:val="both"/>
              <w:rPr>
                <w:rFonts w:ascii="Times New Roman" w:eastAsia="Times New Roman" w:hAnsi="Times New Roman" w:cs="Times New Roman"/>
                <w:b/>
                <w:bCs/>
                <w:kern w:val="0"/>
                <w14:ligatures w14:val="none"/>
              </w:rPr>
            </w:pPr>
            <w:r w:rsidRPr="00BC5B85">
              <w:rPr>
                <w:rFonts w:ascii="Times New Roman" w:eastAsia="Times New Roman" w:hAnsi="Times New Roman" w:cs="Times New Roman"/>
                <w:b/>
                <w:bCs/>
                <w:kern w:val="0"/>
                <w14:ligatures w14:val="none"/>
              </w:rPr>
              <w:t>Tools</w:t>
            </w:r>
          </w:p>
        </w:tc>
      </w:tr>
      <w:tr w:rsidR="00BC5B85" w:rsidRPr="00BC5B85" w14:paraId="35B73E8F" w14:textId="77777777">
        <w:tc>
          <w:tcPr>
            <w:tcW w:w="0" w:type="auto"/>
            <w:tcMar>
              <w:top w:w="135" w:type="dxa"/>
              <w:left w:w="135" w:type="dxa"/>
              <w:bottom w:w="135" w:type="dxa"/>
              <w:right w:w="135" w:type="dxa"/>
            </w:tcMar>
            <w:vAlign w:val="center"/>
            <w:hideMark/>
          </w:tcPr>
          <w:p w14:paraId="27FF9680"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ITSM</w:t>
            </w:r>
          </w:p>
        </w:tc>
        <w:tc>
          <w:tcPr>
            <w:tcW w:w="0" w:type="auto"/>
            <w:tcMar>
              <w:top w:w="135" w:type="dxa"/>
              <w:left w:w="135" w:type="dxa"/>
              <w:bottom w:w="135" w:type="dxa"/>
              <w:right w:w="135" w:type="dxa"/>
            </w:tcMar>
            <w:vAlign w:val="center"/>
            <w:hideMark/>
          </w:tcPr>
          <w:p w14:paraId="133D6779"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ServiceNow ITSM Pro</w:t>
            </w:r>
          </w:p>
        </w:tc>
      </w:tr>
      <w:tr w:rsidR="00BC5B85" w:rsidRPr="00BC5B85" w14:paraId="0A2160B4" w14:textId="77777777">
        <w:tc>
          <w:tcPr>
            <w:tcW w:w="0" w:type="auto"/>
            <w:tcMar>
              <w:top w:w="135" w:type="dxa"/>
              <w:left w:w="135" w:type="dxa"/>
              <w:bottom w:w="135" w:type="dxa"/>
              <w:right w:w="135" w:type="dxa"/>
            </w:tcMar>
            <w:vAlign w:val="center"/>
            <w:hideMark/>
          </w:tcPr>
          <w:p w14:paraId="51E7D73A"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Monitoring</w:t>
            </w:r>
          </w:p>
        </w:tc>
        <w:tc>
          <w:tcPr>
            <w:tcW w:w="0" w:type="auto"/>
            <w:tcMar>
              <w:top w:w="135" w:type="dxa"/>
              <w:left w:w="135" w:type="dxa"/>
              <w:bottom w:w="135" w:type="dxa"/>
              <w:right w:w="135" w:type="dxa"/>
            </w:tcMar>
            <w:vAlign w:val="center"/>
            <w:hideMark/>
          </w:tcPr>
          <w:p w14:paraId="4638BFC2"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Dynatrace, Datadog, SolarWinds</w:t>
            </w:r>
          </w:p>
        </w:tc>
      </w:tr>
      <w:tr w:rsidR="00BC5B85" w:rsidRPr="00BC5B85" w14:paraId="37B6BF3A" w14:textId="77777777">
        <w:tc>
          <w:tcPr>
            <w:tcW w:w="0" w:type="auto"/>
            <w:tcMar>
              <w:top w:w="135" w:type="dxa"/>
              <w:left w:w="135" w:type="dxa"/>
              <w:bottom w:w="135" w:type="dxa"/>
              <w:right w:w="135" w:type="dxa"/>
            </w:tcMar>
            <w:vAlign w:val="center"/>
            <w:hideMark/>
          </w:tcPr>
          <w:p w14:paraId="3D878A18"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 xml:space="preserve">Configuration </w:t>
            </w:r>
            <w:proofErr w:type="spellStart"/>
            <w:r w:rsidRPr="00BC5B85">
              <w:rPr>
                <w:rFonts w:ascii="Times New Roman" w:eastAsia="Times New Roman" w:hAnsi="Times New Roman" w:cs="Times New Roman"/>
                <w:kern w:val="0"/>
                <w14:ligatures w14:val="none"/>
              </w:rPr>
              <w:t>Mgmt</w:t>
            </w:r>
            <w:proofErr w:type="spellEnd"/>
          </w:p>
        </w:tc>
        <w:tc>
          <w:tcPr>
            <w:tcW w:w="0" w:type="auto"/>
            <w:tcMar>
              <w:top w:w="135" w:type="dxa"/>
              <w:left w:w="135" w:type="dxa"/>
              <w:bottom w:w="135" w:type="dxa"/>
              <w:right w:w="135" w:type="dxa"/>
            </w:tcMar>
            <w:vAlign w:val="center"/>
            <w:hideMark/>
          </w:tcPr>
          <w:p w14:paraId="13C9971C"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MS Intune, SCCM</w:t>
            </w:r>
          </w:p>
        </w:tc>
      </w:tr>
      <w:tr w:rsidR="00BC5B85" w:rsidRPr="00BC5B85" w14:paraId="0568BAFE" w14:textId="77777777">
        <w:tc>
          <w:tcPr>
            <w:tcW w:w="0" w:type="auto"/>
            <w:tcMar>
              <w:top w:w="135" w:type="dxa"/>
              <w:left w:w="135" w:type="dxa"/>
              <w:bottom w:w="135" w:type="dxa"/>
              <w:right w:w="135" w:type="dxa"/>
            </w:tcMar>
            <w:vAlign w:val="center"/>
            <w:hideMark/>
          </w:tcPr>
          <w:p w14:paraId="78D2D46E"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Automation</w:t>
            </w:r>
          </w:p>
        </w:tc>
        <w:tc>
          <w:tcPr>
            <w:tcW w:w="0" w:type="auto"/>
            <w:tcMar>
              <w:top w:w="135" w:type="dxa"/>
              <w:left w:w="135" w:type="dxa"/>
              <w:bottom w:w="135" w:type="dxa"/>
              <w:right w:w="135" w:type="dxa"/>
            </w:tcMar>
            <w:vAlign w:val="center"/>
            <w:hideMark/>
          </w:tcPr>
          <w:p w14:paraId="4B2C8149"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Ansible, PowerShell scripts</w:t>
            </w:r>
          </w:p>
        </w:tc>
      </w:tr>
      <w:tr w:rsidR="00BC5B85" w:rsidRPr="00BC5B85" w14:paraId="54E67585" w14:textId="77777777">
        <w:tc>
          <w:tcPr>
            <w:tcW w:w="0" w:type="auto"/>
            <w:tcMar>
              <w:top w:w="135" w:type="dxa"/>
              <w:left w:w="135" w:type="dxa"/>
              <w:bottom w:w="135" w:type="dxa"/>
              <w:right w:w="135" w:type="dxa"/>
            </w:tcMar>
            <w:vAlign w:val="center"/>
            <w:hideMark/>
          </w:tcPr>
          <w:p w14:paraId="1DDA6436"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CMDB</w:t>
            </w:r>
          </w:p>
        </w:tc>
        <w:tc>
          <w:tcPr>
            <w:tcW w:w="0" w:type="auto"/>
            <w:tcMar>
              <w:top w:w="135" w:type="dxa"/>
              <w:left w:w="135" w:type="dxa"/>
              <w:bottom w:w="135" w:type="dxa"/>
              <w:right w:w="135" w:type="dxa"/>
            </w:tcMar>
            <w:vAlign w:val="center"/>
            <w:hideMark/>
          </w:tcPr>
          <w:p w14:paraId="5E433F76"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Incomplete implementation in ServiceNow</w:t>
            </w:r>
          </w:p>
        </w:tc>
      </w:tr>
      <w:tr w:rsidR="00BC5B85" w:rsidRPr="00BC5B85" w14:paraId="750EC8B2" w14:textId="77777777">
        <w:tc>
          <w:tcPr>
            <w:tcW w:w="0" w:type="auto"/>
            <w:tcMar>
              <w:top w:w="135" w:type="dxa"/>
              <w:left w:w="135" w:type="dxa"/>
              <w:bottom w:w="135" w:type="dxa"/>
              <w:right w:w="135" w:type="dxa"/>
            </w:tcMar>
            <w:vAlign w:val="center"/>
            <w:hideMark/>
          </w:tcPr>
          <w:p w14:paraId="28375F7C"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 xml:space="preserve">Event </w:t>
            </w:r>
            <w:proofErr w:type="spellStart"/>
            <w:r w:rsidRPr="00BC5B85">
              <w:rPr>
                <w:rFonts w:ascii="Times New Roman" w:eastAsia="Times New Roman" w:hAnsi="Times New Roman" w:cs="Times New Roman"/>
                <w:kern w:val="0"/>
                <w14:ligatures w14:val="none"/>
              </w:rPr>
              <w:t>Mgmt</w:t>
            </w:r>
            <w:proofErr w:type="spellEnd"/>
          </w:p>
        </w:tc>
        <w:tc>
          <w:tcPr>
            <w:tcW w:w="0" w:type="auto"/>
            <w:tcMar>
              <w:top w:w="135" w:type="dxa"/>
              <w:left w:w="135" w:type="dxa"/>
              <w:bottom w:w="135" w:type="dxa"/>
              <w:right w:w="135" w:type="dxa"/>
            </w:tcMar>
            <w:vAlign w:val="center"/>
            <w:hideMark/>
          </w:tcPr>
          <w:p w14:paraId="6F56EEA9"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Manual correlation, basic SNMP traps</w:t>
            </w:r>
          </w:p>
        </w:tc>
      </w:tr>
      <w:tr w:rsidR="00BC5B85" w:rsidRPr="00BC5B85" w14:paraId="48C73AEB" w14:textId="77777777">
        <w:tc>
          <w:tcPr>
            <w:tcW w:w="0" w:type="auto"/>
            <w:tcMar>
              <w:top w:w="135" w:type="dxa"/>
              <w:left w:w="135" w:type="dxa"/>
              <w:bottom w:w="135" w:type="dxa"/>
              <w:right w:w="135" w:type="dxa"/>
            </w:tcMar>
            <w:vAlign w:val="center"/>
            <w:hideMark/>
          </w:tcPr>
          <w:p w14:paraId="533645E1"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Incident Routing</w:t>
            </w:r>
          </w:p>
        </w:tc>
        <w:tc>
          <w:tcPr>
            <w:tcW w:w="0" w:type="auto"/>
            <w:tcMar>
              <w:top w:w="135" w:type="dxa"/>
              <w:left w:w="135" w:type="dxa"/>
              <w:bottom w:w="135" w:type="dxa"/>
              <w:right w:w="135" w:type="dxa"/>
            </w:tcMar>
            <w:vAlign w:val="center"/>
            <w:hideMark/>
          </w:tcPr>
          <w:p w14:paraId="6423B442"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Email-based triage, no contextual automation</w:t>
            </w:r>
          </w:p>
        </w:tc>
      </w:tr>
      <w:tr w:rsidR="00BC5B85" w:rsidRPr="00BC5B85" w14:paraId="509C209C" w14:textId="77777777">
        <w:tc>
          <w:tcPr>
            <w:tcW w:w="0" w:type="auto"/>
            <w:tcMar>
              <w:top w:w="135" w:type="dxa"/>
              <w:left w:w="135" w:type="dxa"/>
              <w:bottom w:w="135" w:type="dxa"/>
              <w:right w:w="135" w:type="dxa"/>
            </w:tcMar>
            <w:vAlign w:val="center"/>
            <w:hideMark/>
          </w:tcPr>
          <w:p w14:paraId="1E2C1547"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Digital Workplace</w:t>
            </w:r>
          </w:p>
        </w:tc>
        <w:tc>
          <w:tcPr>
            <w:tcW w:w="0" w:type="auto"/>
            <w:tcMar>
              <w:top w:w="135" w:type="dxa"/>
              <w:left w:w="135" w:type="dxa"/>
              <w:bottom w:w="135" w:type="dxa"/>
              <w:right w:w="135" w:type="dxa"/>
            </w:tcMar>
            <w:vAlign w:val="center"/>
            <w:hideMark/>
          </w:tcPr>
          <w:p w14:paraId="1C38F859" w14:textId="77777777" w:rsidR="00BC5B85" w:rsidRPr="00BC5B85" w:rsidRDefault="00BC5B85" w:rsidP="00C043BD">
            <w:pPr>
              <w:spacing w:after="0" w:line="240" w:lineRule="auto"/>
              <w:jc w:val="both"/>
              <w:rPr>
                <w:rFonts w:ascii="Times New Roman" w:eastAsia="Times New Roman" w:hAnsi="Times New Roman" w:cs="Times New Roman"/>
                <w:kern w:val="0"/>
                <w14:ligatures w14:val="none"/>
              </w:rPr>
            </w:pPr>
            <w:r w:rsidRPr="00BC5B85">
              <w:rPr>
                <w:rFonts w:ascii="Times New Roman" w:eastAsia="Times New Roman" w:hAnsi="Times New Roman" w:cs="Times New Roman"/>
                <w:kern w:val="0"/>
                <w14:ligatures w14:val="none"/>
              </w:rPr>
              <w:t>Basic chatbot, limited knowledge management</w:t>
            </w:r>
          </w:p>
        </w:tc>
      </w:tr>
    </w:tbl>
    <w:p w14:paraId="109BD5F2" w14:textId="77777777" w:rsidR="00BC5B85" w:rsidRPr="00BC5B85" w:rsidRDefault="00BC5B85" w:rsidP="00C043BD">
      <w:pPr>
        <w:shd w:val="clear" w:color="auto" w:fill="FFFFFF"/>
        <w:spacing w:after="0" w:line="240" w:lineRule="auto"/>
        <w:jc w:val="both"/>
        <w:rPr>
          <w:rFonts w:ascii="sofia-pro" w:eastAsia="Times New Roman" w:hAnsi="sofia-pro" w:cs="Times New Roman"/>
          <w:color w:val="333333"/>
          <w:kern w:val="0"/>
          <w:sz w:val="22"/>
          <w:szCs w:val="22"/>
          <w14:ligatures w14:val="none"/>
        </w:rPr>
      </w:pPr>
    </w:p>
    <w:p w14:paraId="456B4D27" w14:textId="77777777" w:rsidR="00BC5B85" w:rsidRPr="00BC5B85" w:rsidRDefault="00BC5B85" w:rsidP="00C043BD">
      <w:pPr>
        <w:numPr>
          <w:ilvl w:val="0"/>
          <w:numId w:val="10"/>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Business and IT Challenges</w:t>
      </w:r>
    </w:p>
    <w:p w14:paraId="407B9966" w14:textId="77777777" w:rsidR="00BC5B85" w:rsidRPr="00BC5B85" w:rsidRDefault="00BC5B85" w:rsidP="00C043BD">
      <w:pPr>
        <w:numPr>
          <w:ilvl w:val="0"/>
          <w:numId w:val="1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AIOps &amp; IT Operations</w:t>
      </w:r>
    </w:p>
    <w:p w14:paraId="60B8BBCA"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 xml:space="preserve">Reactive </w:t>
      </w:r>
      <w:proofErr w:type="gramStart"/>
      <w:r w:rsidRPr="00BC5B85">
        <w:rPr>
          <w:rFonts w:ascii="sofia-pro" w:eastAsia="Times New Roman" w:hAnsi="sofia-pro" w:cs="Times New Roman"/>
          <w:color w:val="333333"/>
          <w:kern w:val="0"/>
          <w:sz w:val="22"/>
          <w:szCs w:val="22"/>
          <w14:ligatures w14:val="none"/>
        </w:rPr>
        <w:t>operations;</w:t>
      </w:r>
      <w:proofErr w:type="gramEnd"/>
      <w:r w:rsidRPr="00BC5B85">
        <w:rPr>
          <w:rFonts w:ascii="sofia-pro" w:eastAsia="Times New Roman" w:hAnsi="sofia-pro" w:cs="Times New Roman"/>
          <w:color w:val="333333"/>
          <w:kern w:val="0"/>
          <w:sz w:val="22"/>
          <w:szCs w:val="22"/>
          <w14:ligatures w14:val="none"/>
        </w:rPr>
        <w:t xml:space="preserve"> unable to predict outages or proactively detect anomalies</w:t>
      </w:r>
    </w:p>
    <w:p w14:paraId="2A091724"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Noise from thousands of alerts per day with poor correlation</w:t>
      </w:r>
    </w:p>
    <w:p w14:paraId="39C982FD"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Lack of unified event view across cloud and on-prem environments</w:t>
      </w:r>
    </w:p>
    <w:p w14:paraId="02B3059F" w14:textId="77777777" w:rsidR="00BC5B85" w:rsidRPr="00BC5B85" w:rsidRDefault="00BC5B85" w:rsidP="00C043BD">
      <w:pPr>
        <w:numPr>
          <w:ilvl w:val="0"/>
          <w:numId w:val="1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ITSM &amp; Digital Workplace</w:t>
      </w:r>
    </w:p>
    <w:p w14:paraId="28EB52D8"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Manual, email-driven triage and routing of incidents</w:t>
      </w:r>
    </w:p>
    <w:p w14:paraId="66D5F725"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Low self-service adoption and ineffective virtual agents</w:t>
      </w:r>
    </w:p>
    <w:p w14:paraId="39772CA5"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Inefficient request fulfillment and inconsistent knowledge management</w:t>
      </w:r>
    </w:p>
    <w:p w14:paraId="2BF8867E"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Poor employee satisfaction with IT services</w:t>
      </w:r>
    </w:p>
    <w:p w14:paraId="784C4D5D" w14:textId="77777777" w:rsidR="00BC5B85" w:rsidRPr="00BC5B85" w:rsidRDefault="00BC5B85" w:rsidP="00C043BD">
      <w:pPr>
        <w:numPr>
          <w:ilvl w:val="0"/>
          <w:numId w:val="1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Infrastructure Visibility</w:t>
      </w:r>
    </w:p>
    <w:p w14:paraId="2240CE77"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Siloed monitoring tools (Datadog, Dynatrace, SolarWinds) with no unified dashboard</w:t>
      </w:r>
    </w:p>
    <w:p w14:paraId="2B3D7171"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Poor visibility into dependencies between infrastructure, applications, and services</w:t>
      </w:r>
    </w:p>
    <w:p w14:paraId="6F35B717"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CMDB incomplete and not trusted by operations teams</w:t>
      </w:r>
    </w:p>
    <w:p w14:paraId="7ABDF2A6" w14:textId="77777777" w:rsidR="00BC5B85" w:rsidRPr="00BC5B85" w:rsidRDefault="00BC5B85" w:rsidP="00C043BD">
      <w:pPr>
        <w:numPr>
          <w:ilvl w:val="0"/>
          <w:numId w:val="1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Automation Deficiency</w:t>
      </w:r>
    </w:p>
    <w:p w14:paraId="6412CFE6"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Limited automation for incident remediation</w:t>
      </w:r>
    </w:p>
    <w:p w14:paraId="40BEA5AA"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No intelligent, agentic workflows tied to incidents or changes</w:t>
      </w:r>
    </w:p>
    <w:p w14:paraId="6CE62EF1" w14:textId="77777777" w:rsidR="00BC5B85" w:rsidRPr="00BC5B85" w:rsidRDefault="00BC5B85" w:rsidP="00C043BD">
      <w:pPr>
        <w:numPr>
          <w:ilvl w:val="0"/>
          <w:numId w:val="11"/>
        </w:numPr>
        <w:shd w:val="clear" w:color="auto" w:fill="FFFFFF"/>
        <w:spacing w:before="100" w:beforeAutospacing="1" w:after="100" w:afterAutospacing="1" w:line="240" w:lineRule="auto"/>
        <w:ind w:left="1125"/>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b/>
          <w:bCs/>
          <w:color w:val="333333"/>
          <w:kern w:val="0"/>
          <w:sz w:val="22"/>
          <w:szCs w:val="22"/>
          <w14:ligatures w14:val="none"/>
        </w:rPr>
        <w:t>Cost &amp; Complexity</w:t>
      </w:r>
    </w:p>
    <w:p w14:paraId="55A3B8A1"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High licensing costs from multiple vendors</w:t>
      </w:r>
    </w:p>
    <w:p w14:paraId="04EED3AE" w14:textId="77777777" w:rsidR="00BC5B85" w:rsidRPr="00BC5B85" w:rsidRDefault="00BC5B85" w:rsidP="00C043BD">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Overlapping toolsets with low ROI</w:t>
      </w:r>
    </w:p>
    <w:p w14:paraId="583F26DC" w14:textId="3E4389E5" w:rsidR="00BC5B85" w:rsidRDefault="00BC5B85" w:rsidP="00855E40">
      <w:pPr>
        <w:numPr>
          <w:ilvl w:val="1"/>
          <w:numId w:val="11"/>
        </w:numPr>
        <w:shd w:val="clear" w:color="auto" w:fill="FFFFFF"/>
        <w:spacing w:before="100" w:beforeAutospacing="1" w:after="100" w:afterAutospacing="1" w:line="240" w:lineRule="auto"/>
        <w:ind w:left="2250"/>
        <w:jc w:val="both"/>
        <w:rPr>
          <w:rFonts w:ascii="sofia-pro" w:eastAsia="Times New Roman" w:hAnsi="sofia-pro" w:cs="Times New Roman"/>
          <w:color w:val="333333"/>
          <w:kern w:val="0"/>
          <w:sz w:val="22"/>
          <w:szCs w:val="22"/>
          <w14:ligatures w14:val="none"/>
        </w:rPr>
      </w:pPr>
      <w:r w:rsidRPr="00BC5B85">
        <w:rPr>
          <w:rFonts w:ascii="sofia-pro" w:eastAsia="Times New Roman" w:hAnsi="sofia-pro" w:cs="Times New Roman"/>
          <w:color w:val="333333"/>
          <w:kern w:val="0"/>
          <w:sz w:val="22"/>
          <w:szCs w:val="22"/>
          <w14:ligatures w14:val="none"/>
        </w:rPr>
        <w:t>Time-consuming tool integrations and maintenance.</w:t>
      </w:r>
    </w:p>
    <w:p w14:paraId="60BB1E42" w14:textId="77777777" w:rsidR="00453181" w:rsidRDefault="00453181" w:rsidP="00453181">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p>
    <w:p w14:paraId="09BBB879" w14:textId="77777777" w:rsidR="00E2637D" w:rsidRPr="00E2637D" w:rsidRDefault="00E2637D" w:rsidP="00E2637D">
      <w:pPr>
        <w:shd w:val="clear" w:color="auto" w:fill="FFFFFF"/>
        <w:spacing w:after="203" w:line="240" w:lineRule="auto"/>
        <w:jc w:val="both"/>
        <w:outlineLvl w:val="1"/>
        <w:rPr>
          <w:rFonts w:ascii="sofia-pro" w:eastAsia="Times New Roman" w:hAnsi="sofia-pro" w:cs="Times New Roman"/>
          <w:b/>
          <w:bCs/>
          <w:color w:val="333333"/>
          <w:kern w:val="0"/>
          <w:sz w:val="30"/>
          <w:szCs w:val="30"/>
          <w14:ligatures w14:val="none"/>
        </w:rPr>
      </w:pPr>
      <w:r w:rsidRPr="00E2637D">
        <w:rPr>
          <w:rFonts w:ascii="sofia-pro" w:eastAsia="Times New Roman" w:hAnsi="sofia-pro" w:cs="Times New Roman"/>
          <w:b/>
          <w:bCs/>
          <w:color w:val="333333"/>
          <w:kern w:val="0"/>
          <w:sz w:val="30"/>
          <w:szCs w:val="30"/>
          <w14:ligatures w14:val="none"/>
        </w:rPr>
        <w:lastRenderedPageBreak/>
        <w:t xml:space="preserve">Recent Meeting Minutes, Meeting with Karen Smith and Joe Belson (2 weeks ago) </w:t>
      </w:r>
    </w:p>
    <w:p w14:paraId="01A0BCCC"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b/>
          <w:bCs/>
          <w:color w:val="333333"/>
          <w:kern w:val="0"/>
          <w:sz w:val="22"/>
          <w:szCs w:val="22"/>
          <w:lang w:val="en-GB"/>
          <w14:ligatures w14:val="none"/>
        </w:rPr>
        <w:t>Attendees</w:t>
      </w:r>
      <w:r w:rsidRPr="00E2637D">
        <w:rPr>
          <w:rFonts w:ascii="sofia-pro" w:eastAsia="Times New Roman" w:hAnsi="sofia-pro" w:cs="Times New Roman"/>
          <w:color w:val="333333"/>
          <w:kern w:val="0"/>
          <w:sz w:val="22"/>
          <w:szCs w:val="22"/>
          <w:lang w:val="en-GB"/>
          <w14:ligatures w14:val="none"/>
        </w:rPr>
        <w:t xml:space="preserve">: </w:t>
      </w:r>
    </w:p>
    <w:p w14:paraId="0E77927D"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Apex: Karen Smith (Dir. Service Support, Internal Business Services), Joe Belson (Dir. Infrastructure, Distributed Systems)</w:t>
      </w:r>
    </w:p>
    <w:p w14:paraId="1C3B779E" w14:textId="45FEB2FE"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BMC: Sales Account Manager and BDR who closed the meeting with Joe after a PG campaign </w:t>
      </w:r>
    </w:p>
    <w:p w14:paraId="30689BD7"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b/>
          <w:bCs/>
          <w:color w:val="333333"/>
          <w:kern w:val="0"/>
          <w:sz w:val="22"/>
          <w:szCs w:val="22"/>
          <w:lang w:val="en-GB"/>
          <w14:ligatures w14:val="none"/>
        </w:rPr>
        <w:t>Notes</w:t>
      </w:r>
      <w:r w:rsidRPr="00E2637D">
        <w:rPr>
          <w:rFonts w:ascii="sofia-pro" w:eastAsia="Times New Roman" w:hAnsi="sofia-pro" w:cs="Times New Roman"/>
          <w:color w:val="333333"/>
          <w:kern w:val="0"/>
          <w:sz w:val="22"/>
          <w:szCs w:val="22"/>
          <w:lang w:val="en-GB"/>
          <w14:ligatures w14:val="none"/>
        </w:rPr>
        <w:t>:</w:t>
      </w:r>
    </w:p>
    <w:p w14:paraId="382F421D"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Recent outage affected online banking (+6M users) and ATMs located in California (+3500). CIO prioritizing now AIOps initiatives to anticipate problems being more proactive and reduce costs. Joe admitted they do not have control and visibility about services, applications and underlying technologies. Karen commented they have plans to apply AI/ML/Agentic AI into Service Management processes but waiting a platform upgrade.</w:t>
      </w:r>
    </w:p>
    <w:p w14:paraId="08081ACF"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Current state: </w:t>
      </w:r>
    </w:p>
    <w:p w14:paraId="39F91EE9" w14:textId="7A89065B" w:rsidR="00E2637D" w:rsidRPr="003F4A6E" w:rsidRDefault="00E2637D" w:rsidP="003F4A6E">
      <w:pPr>
        <w:pStyle w:val="ListParagraph"/>
        <w:numPr>
          <w:ilvl w:val="1"/>
          <w:numId w:val="13"/>
        </w:num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3F4A6E">
        <w:rPr>
          <w:rFonts w:ascii="sofia-pro" w:eastAsia="Times New Roman" w:hAnsi="sofia-pro" w:cs="Times New Roman"/>
          <w:color w:val="333333"/>
          <w:kern w:val="0"/>
          <w:sz w:val="22"/>
          <w:szCs w:val="22"/>
          <w:lang w:val="en-GB"/>
          <w14:ligatures w14:val="none"/>
        </w:rPr>
        <w:t xml:space="preserve">Service Desk and other ITSM (Change-Asset-SLM) processes: ServiceNow. Previously, Apex Global Bank used Remedy </w:t>
      </w:r>
      <w:proofErr w:type="spellStart"/>
      <w:r w:rsidRPr="003F4A6E">
        <w:rPr>
          <w:rFonts w:ascii="sofia-pro" w:eastAsia="Times New Roman" w:hAnsi="sofia-pro" w:cs="Times New Roman"/>
          <w:color w:val="333333"/>
          <w:kern w:val="0"/>
          <w:sz w:val="22"/>
          <w:szCs w:val="22"/>
          <w:lang w:val="en-GB"/>
          <w14:ligatures w14:val="none"/>
        </w:rPr>
        <w:t>Onpremise</w:t>
      </w:r>
      <w:proofErr w:type="spellEnd"/>
      <w:r w:rsidRPr="003F4A6E">
        <w:rPr>
          <w:rFonts w:ascii="sofia-pro" w:eastAsia="Times New Roman" w:hAnsi="sofia-pro" w:cs="Times New Roman"/>
          <w:color w:val="333333"/>
          <w:kern w:val="0"/>
          <w:sz w:val="22"/>
          <w:szCs w:val="22"/>
          <w:lang w:val="en-GB"/>
          <w14:ligatures w14:val="none"/>
        </w:rPr>
        <w:t xml:space="preserve"> v7.1, 4y ago. </w:t>
      </w:r>
    </w:p>
    <w:p w14:paraId="2523B4D3" w14:textId="261C8B16" w:rsidR="00E2637D" w:rsidRPr="003F4A6E" w:rsidRDefault="00E2637D" w:rsidP="003F4A6E">
      <w:pPr>
        <w:pStyle w:val="ListParagraph"/>
        <w:numPr>
          <w:ilvl w:val="1"/>
          <w:numId w:val="13"/>
        </w:num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3F4A6E">
        <w:rPr>
          <w:rFonts w:ascii="sofia-pro" w:eastAsia="Times New Roman" w:hAnsi="sofia-pro" w:cs="Times New Roman"/>
          <w:color w:val="333333"/>
          <w:kern w:val="0"/>
          <w:sz w:val="22"/>
          <w:szCs w:val="22"/>
          <w:lang w:val="en-GB"/>
          <w14:ligatures w14:val="none"/>
        </w:rPr>
        <w:t xml:space="preserve">Multiple monitoring solutions: Microsoft SCOM, AWS and GCP for cloud services, Splunk, Microfocus and Datadog. Cisco for networks. </w:t>
      </w:r>
    </w:p>
    <w:p w14:paraId="65DCD6DF" w14:textId="0E2F851B" w:rsidR="00E2637D" w:rsidRPr="003F4A6E" w:rsidRDefault="00E2637D" w:rsidP="003F4A6E">
      <w:pPr>
        <w:pStyle w:val="ListParagraph"/>
        <w:numPr>
          <w:ilvl w:val="1"/>
          <w:numId w:val="13"/>
        </w:num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3F4A6E">
        <w:rPr>
          <w:rFonts w:ascii="sofia-pro" w:eastAsia="Times New Roman" w:hAnsi="sofia-pro" w:cs="Times New Roman"/>
          <w:color w:val="333333"/>
          <w:kern w:val="0"/>
          <w:sz w:val="22"/>
          <w:szCs w:val="22"/>
          <w:lang w:val="en-GB"/>
          <w14:ligatures w14:val="none"/>
        </w:rPr>
        <w:t xml:space="preserve">Hybrid environment: </w:t>
      </w:r>
      <w:proofErr w:type="spellStart"/>
      <w:r w:rsidRPr="003F4A6E">
        <w:rPr>
          <w:rFonts w:ascii="sofia-pro" w:eastAsia="Times New Roman" w:hAnsi="sofia-pro" w:cs="Times New Roman"/>
          <w:color w:val="333333"/>
          <w:kern w:val="0"/>
          <w:sz w:val="22"/>
          <w:szCs w:val="22"/>
          <w:lang w:val="en-GB"/>
          <w14:ligatures w14:val="none"/>
        </w:rPr>
        <w:t>onpremise</w:t>
      </w:r>
      <w:proofErr w:type="spellEnd"/>
      <w:r w:rsidRPr="003F4A6E">
        <w:rPr>
          <w:rFonts w:ascii="sofia-pro" w:eastAsia="Times New Roman" w:hAnsi="sofia-pro" w:cs="Times New Roman"/>
          <w:color w:val="333333"/>
          <w:kern w:val="0"/>
          <w:sz w:val="22"/>
          <w:szCs w:val="22"/>
          <w:lang w:val="en-GB"/>
          <w14:ligatures w14:val="none"/>
        </w:rPr>
        <w:t xml:space="preserve"> applications, moving many of them and new services to AWS and GCP.</w:t>
      </w:r>
    </w:p>
    <w:p w14:paraId="642C0925" w14:textId="657291C4" w:rsidR="00E2637D" w:rsidRPr="003F4A6E" w:rsidRDefault="00E2637D" w:rsidP="003F4A6E">
      <w:pPr>
        <w:pStyle w:val="ListParagraph"/>
        <w:numPr>
          <w:ilvl w:val="1"/>
          <w:numId w:val="13"/>
        </w:num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3F4A6E">
        <w:rPr>
          <w:rFonts w:ascii="sofia-pro" w:eastAsia="Times New Roman" w:hAnsi="sofia-pro" w:cs="Times New Roman"/>
          <w:color w:val="333333"/>
          <w:kern w:val="0"/>
          <w:sz w:val="22"/>
          <w:szCs w:val="22"/>
          <w:lang w:val="en-GB"/>
          <w14:ligatures w14:val="none"/>
        </w:rPr>
        <w:t xml:space="preserve">CMDB is updated from ServiceNow </w:t>
      </w:r>
      <w:proofErr w:type="gramStart"/>
      <w:r w:rsidRPr="003F4A6E">
        <w:rPr>
          <w:rFonts w:ascii="sofia-pro" w:eastAsia="Times New Roman" w:hAnsi="sofia-pro" w:cs="Times New Roman"/>
          <w:color w:val="333333"/>
          <w:kern w:val="0"/>
          <w:sz w:val="22"/>
          <w:szCs w:val="22"/>
          <w:lang w:val="en-GB"/>
          <w14:ligatures w14:val="none"/>
        </w:rPr>
        <w:t>Discovery</w:t>
      </w:r>
      <w:proofErr w:type="gramEnd"/>
      <w:r w:rsidRPr="003F4A6E">
        <w:rPr>
          <w:rFonts w:ascii="sofia-pro" w:eastAsia="Times New Roman" w:hAnsi="sofia-pro" w:cs="Times New Roman"/>
          <w:color w:val="333333"/>
          <w:kern w:val="0"/>
          <w:sz w:val="22"/>
          <w:szCs w:val="22"/>
          <w:lang w:val="en-GB"/>
          <w14:ligatures w14:val="none"/>
        </w:rPr>
        <w:t xml:space="preserve"> but information seems to be inaccurate. ServiceNow contract expires in less than 9 months.</w:t>
      </w:r>
    </w:p>
    <w:p w14:paraId="0867AC02" w14:textId="7A414A11" w:rsidR="00E2637D" w:rsidRPr="003F4A6E" w:rsidRDefault="00E2637D" w:rsidP="003F4A6E">
      <w:pPr>
        <w:pStyle w:val="ListParagraph"/>
        <w:numPr>
          <w:ilvl w:val="1"/>
          <w:numId w:val="13"/>
        </w:num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3F4A6E">
        <w:rPr>
          <w:rFonts w:ascii="sofia-pro" w:eastAsia="Times New Roman" w:hAnsi="sofia-pro" w:cs="Times New Roman"/>
          <w:color w:val="333333"/>
          <w:kern w:val="0"/>
          <w:sz w:val="22"/>
          <w:szCs w:val="22"/>
          <w:lang w:val="en-GB"/>
          <w14:ligatures w14:val="none"/>
        </w:rPr>
        <w:t>Service Management and IT Operations Management are integrated using multiple mechanisms.</w:t>
      </w:r>
    </w:p>
    <w:p w14:paraId="0C3E7ADB"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Looking for </w:t>
      </w:r>
      <w:proofErr w:type="gramStart"/>
      <w:r w:rsidRPr="00E2637D">
        <w:rPr>
          <w:rFonts w:ascii="sofia-pro" w:eastAsia="Times New Roman" w:hAnsi="sofia-pro" w:cs="Times New Roman"/>
          <w:color w:val="333333"/>
          <w:kern w:val="0"/>
          <w:sz w:val="22"/>
          <w:szCs w:val="22"/>
          <w:lang w:val="en-GB"/>
          <w14:ligatures w14:val="none"/>
        </w:rPr>
        <w:t>processes</w:t>
      </w:r>
      <w:proofErr w:type="gramEnd"/>
      <w:r w:rsidRPr="00E2637D">
        <w:rPr>
          <w:rFonts w:ascii="sofia-pro" w:eastAsia="Times New Roman" w:hAnsi="sofia-pro" w:cs="Times New Roman"/>
          <w:color w:val="333333"/>
          <w:kern w:val="0"/>
          <w:sz w:val="22"/>
          <w:szCs w:val="22"/>
          <w:lang w:val="en-GB"/>
          <w14:ligatures w14:val="none"/>
        </w:rPr>
        <w:t xml:space="preserve"> optimization and platforms consolidation under AIOps framework.</w:t>
      </w:r>
    </w:p>
    <w:p w14:paraId="53FBEAE4"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Branches and ATM support is currently managed outside ServiceNow platform, using an in-house application developed in Java many years ago. </w:t>
      </w:r>
    </w:p>
    <w:p w14:paraId="026F03AD" w14:textId="77777777" w:rsidR="00E2637D" w:rsidRPr="00E2637D"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Karen was a Remedy user in the past, bad experience and seems to be happy with ServiceNow.</w:t>
      </w:r>
    </w:p>
    <w:p w14:paraId="511F45F6" w14:textId="77ECA4F6" w:rsidR="00453181" w:rsidRPr="00BC5B85" w:rsidRDefault="00E2637D" w:rsidP="00E2637D">
      <w:pPr>
        <w:shd w:val="clear" w:color="auto" w:fill="FFFFFF"/>
        <w:spacing w:before="100" w:beforeAutospacing="1" w:after="100" w:afterAutospacing="1" w:line="240" w:lineRule="auto"/>
        <w:jc w:val="both"/>
        <w:rPr>
          <w:rFonts w:ascii="sofia-pro" w:eastAsia="Times New Roman" w:hAnsi="sofia-pro" w:cs="Times New Roman"/>
          <w:color w:val="333333"/>
          <w:kern w:val="0"/>
          <w:sz w:val="22"/>
          <w:szCs w:val="22"/>
          <w14:ligatures w14:val="none"/>
        </w:rPr>
      </w:pPr>
      <w:r w:rsidRPr="00E2637D">
        <w:rPr>
          <w:rFonts w:ascii="sofia-pro" w:eastAsia="Times New Roman" w:hAnsi="sofia-pro" w:cs="Times New Roman"/>
          <w:color w:val="333333"/>
          <w:kern w:val="0"/>
          <w:sz w:val="22"/>
          <w:szCs w:val="22"/>
          <w:lang w:val="en-GB"/>
          <w14:ligatures w14:val="none"/>
        </w:rPr>
        <w:t xml:space="preserve">   - Joe joined Apex 6 months ago, from </w:t>
      </w:r>
      <w:proofErr w:type="spellStart"/>
      <w:r w:rsidRPr="00E2637D">
        <w:rPr>
          <w:rFonts w:ascii="sofia-pro" w:eastAsia="Times New Roman" w:hAnsi="sofia-pro" w:cs="Times New Roman"/>
          <w:color w:val="333333"/>
          <w:kern w:val="0"/>
          <w:sz w:val="22"/>
          <w:szCs w:val="22"/>
          <w:lang w:val="en-GB"/>
          <w14:ligatures w14:val="none"/>
        </w:rPr>
        <w:t>Ebay</w:t>
      </w:r>
      <w:proofErr w:type="spellEnd"/>
      <w:r w:rsidRPr="00E2637D">
        <w:rPr>
          <w:rFonts w:ascii="sofia-pro" w:eastAsia="Times New Roman" w:hAnsi="sofia-pro" w:cs="Times New Roman"/>
          <w:color w:val="333333"/>
          <w:kern w:val="0"/>
          <w:sz w:val="22"/>
          <w:szCs w:val="22"/>
          <w:lang w:val="en-GB"/>
          <w14:ligatures w14:val="none"/>
        </w:rPr>
        <w:t xml:space="preserve">. Had great experience with BMC </w:t>
      </w:r>
      <w:proofErr w:type="spellStart"/>
      <w:r w:rsidRPr="00E2637D">
        <w:rPr>
          <w:rFonts w:ascii="sofia-pro" w:eastAsia="Times New Roman" w:hAnsi="sofia-pro" w:cs="Times New Roman"/>
          <w:color w:val="333333"/>
          <w:kern w:val="0"/>
          <w:sz w:val="22"/>
          <w:szCs w:val="22"/>
          <w:lang w:val="en-GB"/>
          <w14:ligatures w14:val="none"/>
        </w:rPr>
        <w:t>Truesight</w:t>
      </w:r>
      <w:proofErr w:type="spellEnd"/>
      <w:r w:rsidRPr="00E2637D">
        <w:rPr>
          <w:rFonts w:ascii="sofia-pro" w:eastAsia="Times New Roman" w:hAnsi="sofia-pro" w:cs="Times New Roman"/>
          <w:color w:val="333333"/>
          <w:kern w:val="0"/>
          <w:sz w:val="22"/>
          <w:szCs w:val="22"/>
          <w:lang w:val="en-GB"/>
          <w14:ligatures w14:val="none"/>
        </w:rPr>
        <w:t xml:space="preserve"> Operations Management and BMC Discovery.</w:t>
      </w:r>
    </w:p>
    <w:p w14:paraId="0FF0C5C6" w14:textId="31A93AE4" w:rsidR="00E37F84" w:rsidRDefault="00855E40" w:rsidP="00855E40">
      <w:pPr>
        <w:jc w:val="both"/>
      </w:pPr>
      <w:r>
        <w:rPr>
          <w:noProof/>
        </w:rPr>
        <w:lastRenderedPageBreak/>
        <w:drawing>
          <wp:inline distT="0" distB="0" distL="0" distR="0" wp14:anchorId="44450DAD" wp14:editId="21371C2E">
            <wp:extent cx="8626809" cy="4569628"/>
            <wp:effectExtent l="0" t="3492" r="6032" b="0"/>
            <wp:docPr id="7385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295" name=""/>
                    <pic:cNvPicPr/>
                  </pic:nvPicPr>
                  <pic:blipFill>
                    <a:blip r:embed="rId5"/>
                    <a:stretch>
                      <a:fillRect/>
                    </a:stretch>
                  </pic:blipFill>
                  <pic:spPr>
                    <a:xfrm rot="16200000">
                      <a:off x="0" y="0"/>
                      <a:ext cx="8660014" cy="4587217"/>
                    </a:xfrm>
                    <a:prstGeom prst="rect">
                      <a:avLst/>
                    </a:prstGeom>
                  </pic:spPr>
                </pic:pic>
              </a:graphicData>
            </a:graphic>
          </wp:inline>
        </w:drawing>
      </w:r>
    </w:p>
    <w:sectPr w:rsidR="00E37F84" w:rsidSect="00AB55EC">
      <w:pgSz w:w="12240" w:h="15840"/>
      <w:pgMar w:top="123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fia-pro">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936"/>
    <w:multiLevelType w:val="multilevel"/>
    <w:tmpl w:val="71F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6972CA"/>
    <w:multiLevelType w:val="multilevel"/>
    <w:tmpl w:val="0CBA7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2F5477"/>
    <w:multiLevelType w:val="hybridMultilevel"/>
    <w:tmpl w:val="406A6D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294DF7"/>
    <w:multiLevelType w:val="multilevel"/>
    <w:tmpl w:val="7020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D505F"/>
    <w:multiLevelType w:val="multilevel"/>
    <w:tmpl w:val="0D9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1D4FF3"/>
    <w:multiLevelType w:val="multilevel"/>
    <w:tmpl w:val="AC6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9B159F"/>
    <w:multiLevelType w:val="multilevel"/>
    <w:tmpl w:val="72D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65621D"/>
    <w:multiLevelType w:val="multilevel"/>
    <w:tmpl w:val="883C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485EDB"/>
    <w:multiLevelType w:val="multilevel"/>
    <w:tmpl w:val="095429A2"/>
    <w:lvl w:ilvl="0">
      <w:start w:val="1"/>
      <w:numFmt w:val="decimal"/>
      <w:lvlText w:val="%1."/>
      <w:lvlJc w:val="left"/>
      <w:pPr>
        <w:tabs>
          <w:tab w:val="num" w:pos="720"/>
        </w:tabs>
        <w:ind w:left="720" w:hanging="360"/>
      </w:pPr>
    </w:lvl>
    <w:lvl w:ilvl="1">
      <w:numFmt w:val="bullet"/>
      <w:lvlText w:val="-"/>
      <w:lvlJc w:val="left"/>
      <w:pPr>
        <w:ind w:left="1440" w:hanging="360"/>
      </w:pPr>
      <w:rPr>
        <w:rFonts w:ascii="sofia-pro" w:eastAsia="Times New Roman" w:hAnsi="sofia-pro"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92283"/>
    <w:multiLevelType w:val="multilevel"/>
    <w:tmpl w:val="684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927962"/>
    <w:multiLevelType w:val="multilevel"/>
    <w:tmpl w:val="CDD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551B30"/>
    <w:multiLevelType w:val="hybridMultilevel"/>
    <w:tmpl w:val="0182585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C0D50DE"/>
    <w:multiLevelType w:val="multilevel"/>
    <w:tmpl w:val="5962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5583342">
    <w:abstractNumId w:val="6"/>
  </w:num>
  <w:num w:numId="2" w16cid:durableId="868760110">
    <w:abstractNumId w:val="0"/>
  </w:num>
  <w:num w:numId="3" w16cid:durableId="1198663117">
    <w:abstractNumId w:val="5"/>
  </w:num>
  <w:num w:numId="4" w16cid:durableId="1109204090">
    <w:abstractNumId w:val="10"/>
  </w:num>
  <w:num w:numId="5" w16cid:durableId="1745178711">
    <w:abstractNumId w:val="3"/>
  </w:num>
  <w:num w:numId="6" w16cid:durableId="65954209">
    <w:abstractNumId w:val="9"/>
  </w:num>
  <w:num w:numId="7" w16cid:durableId="1429236761">
    <w:abstractNumId w:val="4"/>
  </w:num>
  <w:num w:numId="8" w16cid:durableId="185027726">
    <w:abstractNumId w:val="7"/>
  </w:num>
  <w:num w:numId="9" w16cid:durableId="259140483">
    <w:abstractNumId w:val="1"/>
  </w:num>
  <w:num w:numId="10" w16cid:durableId="1305742823">
    <w:abstractNumId w:val="8"/>
  </w:num>
  <w:num w:numId="11" w16cid:durableId="811682028">
    <w:abstractNumId w:val="12"/>
  </w:num>
  <w:num w:numId="12" w16cid:durableId="692851513">
    <w:abstractNumId w:val="2"/>
  </w:num>
  <w:num w:numId="13" w16cid:durableId="1093285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85"/>
    <w:rsid w:val="00280E9B"/>
    <w:rsid w:val="003B2B09"/>
    <w:rsid w:val="003F4A6E"/>
    <w:rsid w:val="00453181"/>
    <w:rsid w:val="006202EA"/>
    <w:rsid w:val="00855E40"/>
    <w:rsid w:val="00AB55EC"/>
    <w:rsid w:val="00B736C0"/>
    <w:rsid w:val="00BC5B85"/>
    <w:rsid w:val="00C043BD"/>
    <w:rsid w:val="00D25909"/>
    <w:rsid w:val="00E2637D"/>
    <w:rsid w:val="00E37F84"/>
    <w:rsid w:val="00F30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2A76"/>
  <w15:chartTrackingRefBased/>
  <w15:docId w15:val="{9ECC7F1E-A317-BE46-AE5F-F850E2A5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B85"/>
    <w:rPr>
      <w:rFonts w:eastAsiaTheme="majorEastAsia" w:cstheme="majorBidi"/>
      <w:color w:val="272727" w:themeColor="text1" w:themeTint="D8"/>
    </w:rPr>
  </w:style>
  <w:style w:type="paragraph" w:styleId="Title">
    <w:name w:val="Title"/>
    <w:basedOn w:val="Normal"/>
    <w:next w:val="Normal"/>
    <w:link w:val="TitleChar"/>
    <w:uiPriority w:val="10"/>
    <w:qFormat/>
    <w:rsid w:val="00BC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B85"/>
    <w:pPr>
      <w:spacing w:before="160"/>
      <w:jc w:val="center"/>
    </w:pPr>
    <w:rPr>
      <w:i/>
      <w:iCs/>
      <w:color w:val="404040" w:themeColor="text1" w:themeTint="BF"/>
    </w:rPr>
  </w:style>
  <w:style w:type="character" w:customStyle="1" w:styleId="QuoteChar">
    <w:name w:val="Quote Char"/>
    <w:basedOn w:val="DefaultParagraphFont"/>
    <w:link w:val="Quote"/>
    <w:uiPriority w:val="29"/>
    <w:rsid w:val="00BC5B85"/>
    <w:rPr>
      <w:i/>
      <w:iCs/>
      <w:color w:val="404040" w:themeColor="text1" w:themeTint="BF"/>
    </w:rPr>
  </w:style>
  <w:style w:type="paragraph" w:styleId="ListParagraph">
    <w:name w:val="List Paragraph"/>
    <w:basedOn w:val="Normal"/>
    <w:uiPriority w:val="34"/>
    <w:qFormat/>
    <w:rsid w:val="00BC5B85"/>
    <w:pPr>
      <w:ind w:left="720"/>
      <w:contextualSpacing/>
    </w:pPr>
  </w:style>
  <w:style w:type="character" w:styleId="IntenseEmphasis">
    <w:name w:val="Intense Emphasis"/>
    <w:basedOn w:val="DefaultParagraphFont"/>
    <w:uiPriority w:val="21"/>
    <w:qFormat/>
    <w:rsid w:val="00BC5B85"/>
    <w:rPr>
      <w:i/>
      <w:iCs/>
      <w:color w:val="0F4761" w:themeColor="accent1" w:themeShade="BF"/>
    </w:rPr>
  </w:style>
  <w:style w:type="paragraph" w:styleId="IntenseQuote">
    <w:name w:val="Intense Quote"/>
    <w:basedOn w:val="Normal"/>
    <w:next w:val="Normal"/>
    <w:link w:val="IntenseQuoteChar"/>
    <w:uiPriority w:val="30"/>
    <w:qFormat/>
    <w:rsid w:val="00BC5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B85"/>
    <w:rPr>
      <w:i/>
      <w:iCs/>
      <w:color w:val="0F4761" w:themeColor="accent1" w:themeShade="BF"/>
    </w:rPr>
  </w:style>
  <w:style w:type="character" w:styleId="IntenseReference">
    <w:name w:val="Intense Reference"/>
    <w:basedOn w:val="DefaultParagraphFont"/>
    <w:uiPriority w:val="32"/>
    <w:qFormat/>
    <w:rsid w:val="00BC5B85"/>
    <w:rPr>
      <w:b/>
      <w:bCs/>
      <w:smallCaps/>
      <w:color w:val="0F4761" w:themeColor="accent1" w:themeShade="BF"/>
      <w:spacing w:val="5"/>
    </w:rPr>
  </w:style>
  <w:style w:type="character" w:styleId="Strong">
    <w:name w:val="Strong"/>
    <w:basedOn w:val="DefaultParagraphFont"/>
    <w:uiPriority w:val="22"/>
    <w:qFormat/>
    <w:rsid w:val="00BC5B85"/>
    <w:rPr>
      <w:b/>
      <w:bCs/>
    </w:rPr>
  </w:style>
  <w:style w:type="paragraph" w:styleId="NormalWeb">
    <w:name w:val="Normal (Web)"/>
    <w:basedOn w:val="Normal"/>
    <w:uiPriority w:val="99"/>
    <w:semiHidden/>
    <w:unhideWhenUsed/>
    <w:rsid w:val="00BC5B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1600</Words>
  <Characters>9809</Characters>
  <Application>Microsoft Office Word</Application>
  <DocSecurity>0</DocSecurity>
  <Lines>200</Lines>
  <Paragraphs>137</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Rubio Frontón</dc:creator>
  <cp:keywords/>
  <dc:description/>
  <cp:lastModifiedBy>Jose Luis Rubio Frontón</cp:lastModifiedBy>
  <cp:revision>10</cp:revision>
  <dcterms:created xsi:type="dcterms:W3CDTF">2025-12-18T21:16:00Z</dcterms:created>
  <dcterms:modified xsi:type="dcterms:W3CDTF">2026-01-13T10:05:00Z</dcterms:modified>
</cp:coreProperties>
</file>