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arlow-bold.ttf" ContentType="application/x-font-ttf"/>
  <Override PartName="/word/fonts/Barlow-boldItalic.ttf" ContentType="application/x-font-ttf"/>
  <Override PartName="/word/fonts/Barlow-italic.ttf" ContentType="application/x-font-ttf"/>
  <Override PartName="/word/fonts/Barlow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800" w:lineRule="auto"/>
        <w:jc w:val="center"/>
        <w:rPr>
          <w:rFonts w:ascii="Barlow" w:cs="Barlow" w:eastAsia="Barlow" w:hAnsi="Barlow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color w:val="000000"/>
          <w:sz w:val="24"/>
          <w:szCs w:val="24"/>
          <w:rtl w:val="0"/>
        </w:rPr>
        <w:t xml:space="preserve">RESIDÊNCIA TECNOLÓGICA EM DADOS E IA</w:t>
      </w:r>
    </w:p>
    <w:p w:rsidR="00000000" w:rsidDel="00000000" w:rsidP="00000000" w:rsidRDefault="00000000" w:rsidRPr="00000000" w14:paraId="00000002">
      <w:pPr>
        <w:spacing w:after="120" w:before="300" w:lineRule="auto"/>
        <w:jc w:val="center"/>
        <w:rPr>
          <w:rFonts w:ascii="Barlow" w:cs="Barlow" w:eastAsia="Barlow" w:hAnsi="Barlow"/>
          <w:b w:val="1"/>
          <w:bCs w:val="1"/>
          <w:color w:val="1e276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300" w:lineRule="auto"/>
        <w:jc w:val="center"/>
        <w:rPr>
          <w:rFonts w:ascii="Barlow" w:cs="Barlow" w:eastAsia="Barlow" w:hAnsi="Barlow"/>
          <w:b w:val="1"/>
          <w:bCs w:val="1"/>
          <w:color w:val="1e276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300" w:lineRule="auto"/>
        <w:jc w:val="center"/>
        <w:rPr>
          <w:rFonts w:ascii="Barlow" w:cs="Barlow" w:eastAsia="Barlow" w:hAnsi="Barlow"/>
          <w:b w:val="1"/>
          <w:bCs w:val="1"/>
          <w:color w:val="1e276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300" w:lineRule="auto"/>
        <w:jc w:val="center"/>
        <w:rPr>
          <w:rFonts w:ascii="Barlow" w:cs="Barlow" w:eastAsia="Barlow" w:hAnsi="Barlow"/>
          <w:b w:val="1"/>
          <w:bCs w:val="1"/>
          <w:color w:val="1e276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300" w:lineRule="auto"/>
        <w:jc w:val="left"/>
        <w:rPr>
          <w:rFonts w:ascii="Barlow" w:cs="Barlow" w:eastAsia="Barlow" w:hAnsi="Barlow"/>
          <w:b w:val="1"/>
          <w:bCs w:val="1"/>
          <w:color w:val="1e276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300" w:lineRule="auto"/>
        <w:jc w:val="center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color w:val="1e2761"/>
          <w:sz w:val="52"/>
          <w:szCs w:val="52"/>
          <w:rtl w:val="0"/>
        </w:rPr>
        <w:t xml:space="preserve">Relatório Técnico do Projeto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500" w:lineRule="auto"/>
        <w:jc w:val="center"/>
        <w:rPr>
          <w:rFonts w:ascii="Barlow" w:cs="Barlow" w:eastAsia="Barlow" w:hAnsi="Barlow"/>
          <w:sz w:val="24"/>
          <w:szCs w:val="24"/>
        </w:rPr>
      </w:pPr>
      <w:r/>
      <w:r>
        <w:rPr>
          <w:rFonts w:ascii="Barlow" w:hAnsi="Barlow"/>
          <w:i w:val="0"/>
          <w:color w:val="1B1F2E"/>
          <w:sz w:val="22"/>
        </w:rPr>
        <w:t>Predição de Risco em Seguro de Frotas PJ (Trillia RiskPack)</w:t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Barlow" w:cs="Barlow" w:eastAsia="Barlow" w:hAnsi="Barlow"/>
        </w:rPr>
      </w:pPr>
      <w:r w:rsidDel="00000000" w:rsidR="00000000" w:rsidRPr="00000000">
        <w:br w:type="page"/>
      </w:r>
      <w:r w:rsidDel="00000000" w:rsidR="00000000" w:rsidRPr="00000000">
        <w:rPr>
          <w:rFonts w:ascii="Barlow" w:cs="Barlow" w:eastAsia="Barlow" w:hAnsi="Barlow"/>
          <w:rtl w:val="0"/>
        </w:rPr>
        <w:t xml:space="preserve">1. Resumo Executivo</w:t>
      </w:r>
    </w:p>
    <w:p w:rsidR="00000000" w:rsidDel="00000000" w:rsidP="00000000" w:rsidRDefault="00000000" w:rsidRPr="00000000" w14:paraId="0000000B">
      <w:pPr>
        <w:spacing w:after="200" w:lineRule="auto"/>
        <w:rPr>
          <w:rFonts w:ascii="Barlow" w:cs="Barlow" w:eastAsia="Barlow" w:hAnsi="Barlow"/>
          <w:i w:val="1"/>
          <w:iCs w:val="1"/>
          <w:color w:val="7a8399"/>
          <w:sz w:val="21"/>
          <w:szCs w:val="21"/>
        </w:rPr>
      </w:pPr>
      <w:r w:rsidDel="00000000" w:rsidR="00000000" w:rsidRPr="00000000">
        <w:rPr>
          <w:rFonts w:ascii="Barlow" w:cs="Barlow" w:eastAsia="Barlow" w:hAnsi="Barlow"/>
          <w:i w:val="1"/>
          <w:iCs w:val="1"/>
          <w:color w:val="7a8399"/>
          <w:sz w:val="21"/>
          <w:szCs w:val="21"/>
          <w:rtl w:val="0"/>
        </w:rPr>
        <w:t xml:space="preserve">➔ Apresente, em uma página, uma visão geral do projeto.</w:t>
      </w:r>
    </w:p>
    <w:p w:rsidR="00000000" w:rsidDel="00000000" w:rsidP="00000000" w:rsidRDefault="00000000" w:rsidRPr="00000000" w14:paraId="0000000C">
      <w:pPr>
        <w:pStyle w:val="Heading2"/>
        <w:spacing w:after="120" w:before="260" w:lineRule="auto"/>
        <w:rPr>
          <w:rFonts w:ascii="Barlow" w:cs="Barlow" w:eastAsia="Barlow" w:hAnsi="Barlow"/>
          <w:sz w:val="48"/>
          <w:szCs w:val="48"/>
        </w:rPr>
      </w:pPr>
      <w:bookmarkStart w:colFirst="0" w:colLast="0" w:name="_hkp7r9b2mzx8" w:id="0"/>
      <w:bookmarkEnd w:id="0"/>
      <w:r w:rsidDel="00000000" w:rsidR="00000000" w:rsidRPr="00000000">
        <w:rPr>
          <w:rFonts w:ascii="Barlow" w:cs="Barlow" w:eastAsia="Barlow" w:hAnsi="Barlow"/>
          <w:rtl w:val="0"/>
        </w:rPr>
        <w:t xml:space="preserve">Informações do Time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0"/>
        </w:trPr>
        <w:tc>
          <w:tcPr>
            <w:shd w:fill="f4f7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color w:val="1e2761"/>
                <w:sz w:val="21"/>
                <w:szCs w:val="21"/>
                <w:rtl w:val="0"/>
              </w:rPr>
              <w:t xml:space="preserve">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Barlow" w:cs="Barlow" w:eastAsia="Barlow" w:hAnsi="Barlow"/>
              </w:rPr>
            </w:pPr>
            <w:r/>
            <w:r>
              <w:rPr>
                <w:rFonts w:ascii="Barlow" w:hAnsi="Barlow"/>
                <w:i w:val="0"/>
                <w:color w:val="1B1F2E"/>
                <w:sz w:val="22"/>
              </w:rPr>
              <w:t>Grupo 5</w:t>
            </w:r>
          </w:p>
        </w:tc>
      </w:tr>
      <w:tr>
        <w:trPr>
          <w:cantSplit w:val="0"/>
          <w:tblHeader w:val="0"/>
        </w:trPr>
        <w:tc>
          <w:tcPr>
            <w:shd w:fill="f4f7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color w:val="1e2761"/>
                <w:sz w:val="21"/>
                <w:szCs w:val="21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Barlow" w:cs="Barlow" w:eastAsia="Barlow" w:hAnsi="Barlow"/>
              </w:rPr>
            </w:pPr>
            <w:r/>
            <w:r>
              <w:rPr>
                <w:rFonts w:ascii="Barlow" w:hAnsi="Barlow"/>
                <w:i w:val="0"/>
                <w:color w:val="1B1F2E"/>
                <w:sz w:val="22"/>
              </w:rPr>
              <w:t>Breno, Danyllo, Ernesto, Juliana, Karine e Rayanne</w:t>
            </w:r>
          </w:p>
        </w:tc>
      </w:tr>
      <w:tr>
        <w:trPr>
          <w:cantSplit w:val="0"/>
          <w:tblHeader w:val="0"/>
        </w:trPr>
        <w:tc>
          <w:tcPr>
            <w:shd w:fill="f4f7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color w:val="1e2761"/>
                <w:sz w:val="21"/>
                <w:szCs w:val="21"/>
                <w:rtl w:val="0"/>
              </w:rPr>
              <w:t xml:space="preserve">Mentor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Barlow" w:cs="Barlow" w:eastAsia="Barlow" w:hAnsi="Barlow"/>
              </w:rPr>
            </w:pPr>
            <w:r/>
            <w:r>
              <w:rPr>
                <w:rFonts w:ascii="Barlow" w:hAnsi="Barlow"/>
                <w:i w:val="0"/>
                <w:color w:val="1B1F2E"/>
                <w:sz w:val="22"/>
              </w:rPr>
              <w:t>Equipe Trillia / Residência em Dados e IA</w:t>
            </w:r>
          </w:p>
        </w:tc>
      </w:tr>
      <w:tr>
        <w:trPr>
          <w:cantSplit w:val="0"/>
          <w:tblHeader w:val="0"/>
        </w:trPr>
        <w:tc>
          <w:tcPr>
            <w:shd w:fill="f4f7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color w:val="1e2761"/>
                <w:sz w:val="21"/>
                <w:szCs w:val="21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Barlow" w:cs="Barlow" w:eastAsia="Barlow" w:hAnsi="Barlow"/>
              </w:rPr>
            </w:pPr>
            <w:r/>
            <w:r>
              <w:rPr>
                <w:rFonts w:ascii="Barlow" w:hAnsi="Barlow"/>
                <w:i w:val="0"/>
                <w:color w:val="1B1F2E"/>
                <w:sz w:val="22"/>
              </w:rPr>
              <w:t>Trillia</w:t>
            </w:r>
          </w:p>
        </w:tc>
      </w:tr>
      <w:tr>
        <w:trPr>
          <w:cantSplit w:val="0"/>
          <w:tblHeader w:val="0"/>
        </w:trPr>
        <w:tc>
          <w:tcPr>
            <w:shd w:fill="f4f7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color w:val="1e2761"/>
                <w:sz w:val="21"/>
                <w:szCs w:val="21"/>
                <w:rtl w:val="0"/>
              </w:rPr>
              <w:t xml:space="preserve">Desafio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Barlow" w:cs="Barlow" w:eastAsia="Barlow" w:hAnsi="Barlow"/>
              </w:rPr>
            </w:pPr>
            <w:r/>
            <w:r>
              <w:rPr>
                <w:rFonts w:ascii="Barlow" w:hAnsi="Barlow"/>
                <w:i w:val="0"/>
                <w:color w:val="1B1F2E"/>
                <w:sz w:val="22"/>
              </w:rPr>
              <w:t>Predição de Risco em Seguro de Frotas Automotivas PJ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spacing w:after="120" w:before="26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Qual era o problema?</w:t>
      </w:r>
    </w:p>
    <w:p w:rsidR="00000000" w:rsidDel="00000000" w:rsidP="00000000" w:rsidRDefault="00000000" w:rsidRPr="00000000" w14:paraId="00000018">
      <w:pPr>
        <w:spacing w:after="240" w:lineRule="auto"/>
        <w:rPr>
          <w:rFonts w:ascii="Barlow" w:cs="Barlow" w:eastAsia="Barlow" w:hAnsi="Barlow"/>
        </w:rPr>
      </w:pPr>
      <w:r/>
      <w:r>
        <w:rPr>
          <w:rFonts w:ascii="Barlow" w:hAnsi="Barlow"/>
          <w:i w:val="0"/>
          <w:color w:val="1B1F2E"/>
          <w:sz w:val="22"/>
        </w:rPr>
        <w:t>Sem inteligência analítica pré-emissão, seguradoras aceitam ou subprecificam frotas automotivas PJ de alto risco, elevando despesas com indenizações e reduzindo a rentabilidade. Na carteira analisada, sinistros em frotas de altíssimo risco geraram milhões em perdas que poderiam ser evitadas ou mitigadas com scoring preditivo no momento da subscrição.</w:t>
      </w:r>
    </w:p>
    <w:p w:rsidR="00000000" w:rsidDel="00000000" w:rsidP="00000000" w:rsidRDefault="00000000" w:rsidRPr="00000000" w14:paraId="00000019">
      <w:pPr>
        <w:pStyle w:val="Heading2"/>
        <w:spacing w:after="120" w:before="26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Como ele foi resolvido?</w:t>
      </w:r>
    </w:p>
    <w:p w:rsidR="00000000" w:rsidDel="00000000" w:rsidP="00000000" w:rsidRDefault="00000000" w:rsidRPr="00000000" w14:paraId="0000001A">
      <w:pPr>
        <w:spacing w:after="240" w:lineRule="auto"/>
        <w:rPr>
          <w:rFonts w:ascii="Barlow" w:cs="Barlow" w:eastAsia="Barlow" w:hAnsi="Barlow"/>
        </w:rPr>
      </w:pPr>
      <w:r/>
      <w:r>
        <w:rPr>
          <w:rFonts w:ascii="Barlow" w:hAnsi="Barlow"/>
          <w:i w:val="0"/>
          <w:color w:val="1B1F2E"/>
          <w:sz w:val="22"/>
        </w:rPr>
        <w:t>Desenvolveu-se uma solução completa de Machine Learning (Random Forest treinado com truncamento temporal e split Out-of-Time de 49 meses contínuos) integrado a um Motor de Decisão XML 3-Way (Trillia RiskPack). O pipeline executa seleção estrita de variáveis pelo Filtro Tríplice e classifica apólices em Aprovado (fast-track), Aceito com Condição (exigência de GPS e sobretaxa) e Recusado.</w:t>
      </w:r>
    </w:p>
    <w:p w:rsidR="00000000" w:rsidDel="00000000" w:rsidP="00000000" w:rsidRDefault="00000000" w:rsidRPr="00000000" w14:paraId="0000001B">
      <w:pPr>
        <w:pStyle w:val="Heading2"/>
        <w:spacing w:after="120" w:before="26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Quais foram os principais resultados?</w:t>
      </w:r>
    </w:p>
    <w:p w:rsidR="00000000" w:rsidDel="00000000" w:rsidP="00000000" w:rsidRDefault="00000000" w:rsidRPr="00000000" w14:paraId="0000001C">
      <w:pPr>
        <w:spacing w:after="240" w:lineRule="auto"/>
        <w:rPr>
          <w:rFonts w:ascii="Barlow" w:cs="Barlow" w:eastAsia="Barlow" w:hAnsi="Barlow"/>
        </w:rPr>
      </w:pPr>
      <w:r/>
      <w:r>
        <w:rPr>
          <w:rFonts w:ascii="Barlow" w:hAnsi="Barlow"/>
          <w:i w:val="0"/>
          <w:color w:val="1B1F2E"/>
          <w:sz w:val="22"/>
        </w:rPr>
        <w:t>O modelo Random Forest OOT atingiu AUC-ROC de 0,92, concentrando 82,15% de todos os sinistros nos Decis 1 a 3 (44,9% no Decil 1 isolado). Na simulação operacional, o Motor Trillia aprovou automaticamente 65,3% da carteira (2.569 apólices em fast-track), recusou 12,4% (487 apólices) e resgatou 137 frotas de alto risco exigindo rastreador GPS obrigatório e agravamento tarifário de +15%.</w:t>
      </w:r>
    </w:p>
    <w:p w:rsidR="00000000" w:rsidDel="00000000" w:rsidP="00000000" w:rsidRDefault="00000000" w:rsidRPr="00000000" w14:paraId="0000001D">
      <w:pPr>
        <w:pStyle w:val="Heading2"/>
        <w:spacing w:after="120" w:before="26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Qual o impacto esperado?</w:t>
      </w:r>
    </w:p>
    <w:p w:rsidR="00000000" w:rsidDel="00000000" w:rsidP="00000000" w:rsidRDefault="00000000" w:rsidRPr="00000000" w14:paraId="0000001E">
      <w:pPr>
        <w:spacing w:after="240" w:lineRule="auto"/>
        <w:rPr>
          <w:rFonts w:ascii="Barlow" w:cs="Barlow" w:eastAsia="Barlow" w:hAnsi="Barlow"/>
        </w:rPr>
      </w:pPr>
      <w:r/>
      <w:r>
        <w:rPr>
          <w:rFonts w:ascii="Barlow" w:hAnsi="Barlow"/>
          <w:i w:val="0"/>
          <w:color w:val="1B1F2E"/>
          <w:sz w:val="22"/>
        </w:rPr>
        <w:t>Gerou-se um impacto financeiro direto simulado de R$ 5,13M em sinistros evitados (recusal sumária de 114 frotas com sinistro real barradas) e R$ 760K em receita adicional por agravamento tarifário nos decis de maior risco, aumentando a rentabilidade operacional da seguradora sem reduzir o volume de vendas elegíveis.</w:t>
      </w:r>
    </w:p>
    <w:p w:rsidR="00000000" w:rsidDel="00000000" w:rsidP="00000000" w:rsidRDefault="00000000" w:rsidRPr="00000000" w14:paraId="0000001F">
      <w:pPr>
        <w:pStyle w:val="Heading1"/>
        <w:spacing w:after="160" w:before="42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2. Contexto do Negócio [Desafio]</w:t>
      </w:r>
    </w:p>
    <w:p w:rsidR="00000000" w:rsidDel="00000000" w:rsidP="00000000" w:rsidRDefault="00000000" w:rsidRPr="00000000" w14:paraId="00000020">
      <w:pPr>
        <w:spacing w:after="20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i w:val="1"/>
          <w:iCs w:val="1"/>
          <w:color w:val="7a8399"/>
          <w:sz w:val="21"/>
          <w:szCs w:val="21"/>
          <w:rtl w:val="0"/>
        </w:rPr>
        <w:t xml:space="preserve">➔ Descreva os itens abaixo.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Contexto do Desafio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i w:val="0"/>
          <w:iCs w:val="0"/>
          <w:smallCaps w:val="0"/>
          <w:strike w:val="0"/>
          <w:color w:val="1b1f2e"/>
          <w:sz w:val="22"/>
          <w:szCs w:val="22"/>
          <w:u w:val="none"/>
          <w:shd w:fill="auto" w:val="clear"/>
          <w:vertAlign w:val="baseline"/>
          <w:rtl w:val="0"/>
        </w:rPr>
        <w:t xml:space="preserve">Área responsável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i w:val="0"/>
          <w:iCs w:val="0"/>
          <w:smallCaps w:val="0"/>
          <w:strike w:val="0"/>
          <w:color w:val="1b1f2e"/>
          <w:sz w:val="22"/>
          <w:szCs w:val="22"/>
          <w:u w:val="none"/>
          <w:shd w:fill="auto" w:val="clear"/>
          <w:vertAlign w:val="baseline"/>
          <w:rtl w:val="0"/>
        </w:rPr>
        <w:t xml:space="preserve">Problema enfrentado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i w:val="0"/>
          <w:iCs w:val="0"/>
          <w:smallCaps w:val="0"/>
          <w:strike w:val="0"/>
          <w:color w:val="1b1f2e"/>
          <w:sz w:val="22"/>
          <w:szCs w:val="22"/>
          <w:u w:val="none"/>
          <w:shd w:fill="auto" w:val="clear"/>
          <w:vertAlign w:val="baseline"/>
          <w:rtl w:val="0"/>
        </w:rPr>
        <w:t xml:space="preserve">Objetivos do desafio</w:t>
      </w:r>
    </w:p>
    <w:p w:rsidR="00000000" w:rsidDel="00000000" w:rsidP="00000000" w:rsidRDefault="00000000" w:rsidRPr="00000000" w14:paraId="00000025">
      <w:pPr>
        <w:spacing w:after="240" w:lineRule="auto"/>
        <w:rPr>
          <w:rFonts w:ascii="Barlow" w:cs="Barlow" w:eastAsia="Barlow" w:hAnsi="Barlow"/>
        </w:rPr>
      </w:pPr>
      <w:r/>
      <w:r>
        <w:rPr>
          <w:rFonts w:ascii="Barlow" w:hAnsi="Barlow"/>
          <w:i w:val="0"/>
          <w:color w:val="1B1F2E"/>
          <w:sz w:val="22"/>
        </w:rPr>
        <w:t>• Contexto do Desafio: A Trillia provê inteligência de risco para o mercado segurador. O desafio aplica inteligência artificial e modelos preditivos no segmento de frotas automotivas PJ no momento imediatamente anterior à emissão da apólice.</w:t>
      </w:r>
      <w:r>
        <w:br/>
      </w:r>
      <w:r>
        <w:rPr>
          <w:rFonts w:ascii="Barlow" w:hAnsi="Barlow"/>
          <w:i w:val="0"/>
          <w:color w:val="1B1F2E"/>
          <w:sz w:val="22"/>
        </w:rPr>
        <w:t>• Área responsável: Subscrição, Precificação Atuarial e Gestão de Risco de Frotas PJ.</w:t>
      </w:r>
      <w:r>
        <w:br/>
      </w:r>
      <w:r>
        <w:rPr>
          <w:rFonts w:ascii="Barlow" w:hAnsi="Barlow"/>
          <w:i w:val="0"/>
          <w:color w:val="1B1F2E"/>
          <w:sz w:val="22"/>
        </w:rPr>
        <w:t>• Problema enfrentado: Assimetria de informação na subscrição inicial, levando à aceitação de frotas sinistradas sem o devido agravamento tarifário ou recusa prévia.</w:t>
      </w:r>
      <w:r>
        <w:br/>
      </w:r>
      <w:r>
        <w:rPr>
          <w:rFonts w:ascii="Barlow" w:hAnsi="Barlow"/>
          <w:i w:val="0"/>
          <w:color w:val="1B1F2E"/>
          <w:sz w:val="22"/>
        </w:rPr>
        <w:t>• Objetivos do desafio: Estimar a probabilidade de sinistro de casco (ALVO_CASCO) e implementar uma política automatizada de subscrição 3-Way para otimizar diretamente o resultado operacional da seguradora.</w:t>
      </w:r>
    </w:p>
    <w:p w:rsidR="00000000" w:rsidDel="00000000" w:rsidP="00000000" w:rsidRDefault="00000000" w:rsidRPr="00000000" w14:paraId="00000026">
      <w:pPr>
        <w:pStyle w:val="Heading1"/>
        <w:spacing w:after="160" w:before="420" w:lineRule="auto"/>
        <w:rPr>
          <w:rFonts w:ascii="Barlow" w:cs="Barlow" w:eastAsia="Barlow" w:hAnsi="Bar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160" w:before="42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3. Perguntas de Negócio</w:t>
      </w:r>
    </w:p>
    <w:p w:rsidR="00000000" w:rsidDel="00000000" w:rsidP="00000000" w:rsidRDefault="00000000" w:rsidRPr="00000000" w14:paraId="00000028">
      <w:pPr>
        <w:spacing w:after="20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i w:val="1"/>
          <w:iCs w:val="1"/>
          <w:color w:val="7a8399"/>
          <w:sz w:val="21"/>
          <w:szCs w:val="21"/>
          <w:rtl w:val="0"/>
        </w:rPr>
        <w:t xml:space="preserve">➔ Exemplos: quais clientes possuem maior risco de evasão? Como reduzir custos? Como prever demanda? Como automatizar determinada atividade?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rFonts w:ascii="Barlow" w:cs="Barlow" w:eastAsia="Barlow" w:hAnsi="Barlow"/>
        </w:rPr>
      </w:pPr>
      <w:r/>
      <w:r>
        <w:rPr>
          <w:rFonts w:ascii="Barlow" w:hAnsi="Barlow"/>
          <w:i w:val="0"/>
          <w:color w:val="1B1F2E"/>
          <w:sz w:val="22"/>
        </w:rPr>
        <w:t>1. É possível identificar precocemente as frotas PJ com altíssimo risco de sinistro de casco antes da emissão da apólice?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rFonts w:ascii="Barlow" w:cs="Barlow" w:eastAsia="Barlow" w:hAnsi="Barlow"/>
        </w:rPr>
      </w:pPr>
      <w:r/>
      <w:r>
        <w:rPr>
          <w:rFonts w:ascii="Barlow" w:hAnsi="Barlow"/>
          <w:i w:val="0"/>
          <w:color w:val="1B1F2E"/>
          <w:sz w:val="22"/>
        </w:rPr>
        <w:t>2. Como automatizar o fluxo de subscrição, liberando apólices de baixo risco em fast-track e resgatando frotas limítrofes com condicionantes?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rFonts w:ascii="Barlow" w:cs="Barlow" w:eastAsia="Barlow" w:hAnsi="Barlow"/>
        </w:rPr>
      </w:pPr>
      <w:r/>
      <w:r>
        <w:rPr>
          <w:rFonts w:ascii="Barlow" w:hAnsi="Barlow"/>
          <w:i w:val="0"/>
          <w:color w:val="1B1F2E"/>
          <w:sz w:val="22"/>
        </w:rPr>
        <w:t>3. Qual o impacto financeiro (sinistros evitados e receita extra por agravamento) gerado pela implantação do Motor de Decisão Trillia RiskPack?</w:t>
      </w:r>
    </w:p>
    <w:p w:rsidR="00000000" w:rsidDel="00000000" w:rsidP="00000000" w:rsidRDefault="00000000" w:rsidRPr="00000000" w14:paraId="0000002C">
      <w:pPr>
        <w:pStyle w:val="Heading1"/>
        <w:spacing w:after="160" w:before="42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4. Base de Dados</w:t>
      </w:r>
    </w:p>
    <w:p w:rsidR="00000000" w:rsidDel="00000000" w:rsidP="00000000" w:rsidRDefault="00000000" w:rsidRPr="00000000" w14:paraId="0000002D">
      <w:pPr>
        <w:spacing w:after="20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i w:val="1"/>
          <w:iCs w:val="1"/>
          <w:color w:val="7a8399"/>
          <w:sz w:val="21"/>
          <w:szCs w:val="21"/>
          <w:rtl w:val="0"/>
        </w:rPr>
        <w:t xml:space="preserve">➔ Descrição da base.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f4f7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1"/>
                <w:szCs w:val="21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Barlow" w:cs="Barlow" w:eastAsia="Barlow" w:hAnsi="Barlow"/>
              </w:rPr>
            </w:pPr>
            <w:r/>
            <w:r>
              <w:rPr>
                <w:rFonts w:ascii="Barlow" w:hAnsi="Barlow"/>
                <w:i w:val="0"/>
                <w:color w:val="1B1F2E"/>
                <w:sz w:val="22"/>
              </w:rPr>
              <w:t>Bureau Trillia/Neurotech (base de mercado enriquecida com dados PJ, anonimizada)</w:t>
            </w:r>
          </w:p>
        </w:tc>
      </w:tr>
      <w:tr>
        <w:trPr>
          <w:cantSplit w:val="0"/>
          <w:tblHeader w:val="0"/>
        </w:trPr>
        <w:tc>
          <w:tcPr>
            <w:shd w:fill="f4f7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1"/>
                <w:szCs w:val="21"/>
                <w:rtl w:val="0"/>
              </w:rPr>
              <w:t xml:space="preserve">Quantidade de 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Barlow" w:cs="Barlow" w:eastAsia="Barlow" w:hAnsi="Barlow"/>
              </w:rPr>
            </w:pPr>
            <w:r/>
            <w:r>
              <w:rPr>
                <w:rFonts w:ascii="Barlow" w:hAnsi="Barlow"/>
                <w:i w:val="0"/>
                <w:color w:val="1B1F2E"/>
                <w:sz w:val="22"/>
              </w:rPr>
              <w:t>3.932 apólices (registros)</w:t>
            </w:r>
          </w:p>
        </w:tc>
      </w:tr>
      <w:tr>
        <w:trPr>
          <w:cantSplit w:val="0"/>
          <w:tblHeader w:val="0"/>
        </w:trPr>
        <w:tc>
          <w:tcPr>
            <w:shd w:fill="f4f7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1"/>
                <w:szCs w:val="21"/>
                <w:rtl w:val="0"/>
              </w:rPr>
              <w:t xml:space="preserve">Quantidade de 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Barlow" w:cs="Barlow" w:eastAsia="Barlow" w:hAnsi="Barlow"/>
              </w:rPr>
            </w:pPr>
            <w:r/>
            <w:r>
              <w:rPr>
                <w:rFonts w:ascii="Barlow" w:hAnsi="Barlow"/>
                <w:i w:val="0"/>
                <w:color w:val="1B1F2E"/>
                <w:sz w:val="22"/>
              </w:rPr>
              <w:t>102 variáveis (colunas)</w:t>
            </w:r>
          </w:p>
        </w:tc>
      </w:tr>
      <w:tr>
        <w:trPr>
          <w:cantSplit w:val="0"/>
          <w:tblHeader w:val="0"/>
        </w:trPr>
        <w:tc>
          <w:tcPr>
            <w:shd w:fill="f4f7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1"/>
                <w:szCs w:val="21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Barlow" w:cs="Barlow" w:eastAsia="Barlow" w:hAnsi="Barlow"/>
              </w:rPr>
            </w:pPr>
            <w:r/>
            <w:r>
              <w:rPr>
                <w:rFonts w:ascii="Barlow" w:hAnsi="Barlow"/>
                <w:i w:val="0"/>
                <w:color w:val="1B1F2E"/>
                <w:sz w:val="22"/>
              </w:rPr>
              <w:t>Mai/2020 a Mai/2024 (49 meses contínuos)</w:t>
            </w:r>
          </w:p>
        </w:tc>
      </w:tr>
      <w:tr>
        <w:trPr>
          <w:cantSplit w:val="0"/>
          <w:tblHeader w:val="0"/>
        </w:trPr>
        <w:tc>
          <w:tcPr>
            <w:shd w:fill="f4f7f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Barlow" w:cs="Barlow" w:eastAsia="Barlow" w:hAnsi="Barlow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sz w:val="21"/>
                <w:szCs w:val="21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Barlow" w:cs="Barlow" w:eastAsia="Barlow" w:hAnsi="Barlow"/>
              </w:rPr>
            </w:pPr>
            <w:r/>
            <w:r>
              <w:rPr>
                <w:rFonts w:ascii="Barlow" w:hAnsi="Barlow"/>
                <w:i w:val="0"/>
                <w:color w:val="1B1F2E"/>
                <w:sz w:val="22"/>
              </w:rPr>
              <w:t>CSV (cesar_residencia_trillia_frota_pj_mercado.csv)</w:t>
            </w:r>
          </w:p>
        </w:tc>
      </w:tr>
    </w:tbl>
    <w:p w:rsidR="00000000" w:rsidDel="00000000" w:rsidP="00000000" w:rsidRDefault="00000000" w:rsidRPr="00000000" w14:paraId="00000038">
      <w:pPr>
        <w:pStyle w:val="Heading1"/>
        <w:spacing w:after="160" w:before="42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5. Entendimento dos Dados</w:t>
      </w:r>
    </w:p>
    <w:p w:rsidR="00000000" w:rsidDel="00000000" w:rsidP="00000000" w:rsidRDefault="00000000" w:rsidRPr="00000000" w14:paraId="00000039">
      <w:pPr>
        <w:spacing w:after="20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i w:val="1"/>
          <w:iCs w:val="1"/>
          <w:color w:val="7a8399"/>
          <w:sz w:val="21"/>
          <w:szCs w:val="21"/>
          <w:rtl w:val="0"/>
        </w:rPr>
        <w:t xml:space="preserve">➔ Apresente: variáveis, tipos, dados faltantes, inconsistências, distribuição. Insira gráficos e tabelas.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Rule="auto"/>
        <w:rPr>
          <w:rFonts w:ascii="Barlow" w:cs="Barlow" w:eastAsia="Barlow" w:hAnsi="Barlow"/>
        </w:rPr>
      </w:pPr>
      <w:r/>
      <w:r>
        <w:rPr>
          <w:rFonts w:ascii="Barlow" w:hAnsi="Barlow"/>
          <w:i w:val="0"/>
          <w:color w:val="1B1F2E"/>
          <w:sz w:val="22"/>
        </w:rPr>
        <w:t>A base de dados é composta por 3.932 apólices e 102 variáveis (76 geográficas, 4 judiciais/reclamações, 19 corporativas/mercadológicas, 2 identificadores/temporais e 1 alvo binário).</w:t>
      </w:r>
      <w:r>
        <w:br/>
      </w:r>
      <w:r>
        <w:rPr>
          <w:rFonts w:ascii="Barlow" w:hAnsi="Barlow"/>
          <w:i w:val="0"/>
          <w:color w:val="1B1F2E"/>
          <w:sz w:val="22"/>
        </w:rPr>
      </w:r>
      <w:r>
        <w:br/>
      </w:r>
      <w:r>
        <w:rPr>
          <w:rFonts w:ascii="Barlow" w:hAnsi="Barlow"/>
          <w:i w:val="0"/>
          <w:color w:val="1B1F2E"/>
          <w:sz w:val="22"/>
        </w:rPr>
        <w:t>• Distribuição da Variável Alvo (ALVO_CASCO): 3.551 empresas sem sinistro (90,31%) e 381 empresas com sinistro (9,69%), apresentando razão de desbalanceamento de 9,3:1.</w:t>
      </w:r>
      <w:r>
        <w:br/>
      </w:r>
      <w:r>
        <w:rPr>
          <w:rFonts w:ascii="Barlow" w:hAnsi="Barlow"/>
          <w:i w:val="0"/>
          <w:color w:val="1B1F2E"/>
          <w:sz w:val="22"/>
        </w:rPr>
        <w:t>• Análise de Completude (Nulos): Apenas 3 variáveis apresentaram mais de 5% de nulos (PORTE_FATURAMENTO_PRESUMIDO com 13,5%, RISCO_LIDERANCA com 5,6% e CONCENTRACAO_SOCIETARIA com 5,1%). As demais possuem completude superior a 94%.</w:t>
      </w:r>
      <w:r>
        <w:br/>
      </w:r>
      <w:r>
        <w:rPr>
          <w:rFonts w:ascii="Barlow" w:hAnsi="Barlow"/>
          <w:i w:val="0"/>
          <w:color w:val="1B1F2E"/>
          <w:sz w:val="22"/>
        </w:rPr>
        <w:t>• Destaques Setoriais (Seção CNAE): Setores S (Outras Atividades de Serviços - 18,0%) e Q (Saúde - 17,1%) apresentaram sinistro quase 2x superior à média da carteira (9,69%). O setor G (Comércio) concentra 33,5% da carteira com 10,8% de sinistro. O setor M (Atividades Profissionais) registrou o menor risco (4,7%).</w:t>
      </w:r>
      <w:r>
        <w:br/>
      </w:r>
      <w:r>
        <w:rPr>
          <w:rFonts w:ascii="Barlow" w:hAnsi="Barlow"/>
          <w:i w:val="0"/>
          <w:color w:val="1B1F2E"/>
          <w:sz w:val="22"/>
        </w:rPr>
        <w:t>• Maturação Temporal: A análise da evolução temporal revelou maturação completa em 2021-2022 (taxa de sinistro ~11,7%), maturação parcial em 2023 (9,4%) e forte lag de regulação nos dados de 2024 (2,9%), indicando a necessidade de truncamento temporal.</w:t>
      </w:r>
    </w:p>
    <w:p w:rsidR="00000000" w:rsidDel="00000000" w:rsidP="00000000" w:rsidRDefault="00000000" w:rsidRPr="00000000" w14:paraId="0000003B">
      <w:pPr>
        <w:pStyle w:val="Heading1"/>
        <w:spacing w:after="160" w:before="42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6. Preparação dos Dados</w:t>
      </w:r>
    </w:p>
    <w:p w:rsidR="00000000" w:rsidDel="00000000" w:rsidP="00000000" w:rsidRDefault="00000000" w:rsidRPr="00000000" w14:paraId="0000003C">
      <w:pPr>
        <w:spacing w:after="20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i w:val="1"/>
          <w:iCs w:val="1"/>
          <w:color w:val="7a8399"/>
          <w:sz w:val="21"/>
          <w:szCs w:val="21"/>
          <w:rtl w:val="0"/>
        </w:rPr>
        <w:t xml:space="preserve">➔ Descreva os itens abaixo.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i w:val="0"/>
          <w:iCs w:val="0"/>
          <w:smallCaps w:val="0"/>
          <w:strike w:val="0"/>
          <w:color w:val="1b1f2e"/>
          <w:sz w:val="22"/>
          <w:szCs w:val="22"/>
          <w:u w:val="none"/>
          <w:shd w:fill="auto" w:val="clear"/>
          <w:vertAlign w:val="baseline"/>
          <w:rtl w:val="0"/>
        </w:rPr>
        <w:t xml:space="preserve">Limpeza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i w:val="0"/>
          <w:iCs w:val="0"/>
          <w:smallCaps w:val="0"/>
          <w:strike w:val="0"/>
          <w:color w:val="1b1f2e"/>
          <w:sz w:val="22"/>
          <w:szCs w:val="22"/>
          <w:u w:val="none"/>
          <w:shd w:fill="auto" w:val="clear"/>
          <w:vertAlign w:val="baseline"/>
          <w:rtl w:val="0"/>
        </w:rPr>
        <w:t xml:space="preserve">Tratamento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i w:val="0"/>
          <w:iCs w:val="0"/>
          <w:smallCaps w:val="0"/>
          <w:strike w:val="0"/>
          <w:color w:val="1b1f2e"/>
          <w:sz w:val="22"/>
          <w:szCs w:val="22"/>
          <w:u w:val="none"/>
          <w:shd w:fill="auto" w:val="clear"/>
          <w:vertAlign w:val="baseline"/>
          <w:rtl w:val="0"/>
        </w:rPr>
        <w:t xml:space="preserve">Transformação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i w:val="0"/>
          <w:iCs w:val="0"/>
          <w:smallCaps w:val="0"/>
          <w:strike w:val="0"/>
          <w:color w:val="1b1f2e"/>
          <w:sz w:val="22"/>
          <w:szCs w:val="22"/>
          <w:u w:val="none"/>
          <w:shd w:fill="auto" w:val="clear"/>
          <w:vertAlign w:val="baseline"/>
          <w:rtl w:val="0"/>
        </w:rPr>
        <w:t xml:space="preserve">Normalização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i w:val="0"/>
          <w:iCs w:val="0"/>
          <w:smallCaps w:val="0"/>
          <w:strike w:val="0"/>
          <w:color w:val="1b1f2e"/>
          <w:sz w:val="22"/>
          <w:szCs w:val="22"/>
          <w:u w:val="none"/>
          <w:shd w:fill="auto" w:val="clear"/>
          <w:vertAlign w:val="baseline"/>
          <w:rtl w:val="0"/>
        </w:rPr>
        <w:t xml:space="preserve">Criação de variáveis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i w:val="0"/>
          <w:iCs w:val="0"/>
          <w:smallCaps w:val="0"/>
          <w:strike w:val="0"/>
          <w:color w:val="1b1f2e"/>
          <w:sz w:val="22"/>
          <w:szCs w:val="22"/>
          <w:u w:val="none"/>
          <w:shd w:fill="auto" w:val="clear"/>
          <w:vertAlign w:val="baseline"/>
          <w:rtl w:val="0"/>
        </w:rPr>
        <w:t xml:space="preserve">Engenharia de atributos</w:t>
      </w:r>
    </w:p>
    <w:p w:rsidR="00000000" w:rsidDel="00000000" w:rsidP="00000000" w:rsidRDefault="00000000" w:rsidRPr="00000000" w14:paraId="00000043">
      <w:pPr>
        <w:spacing w:after="240" w:lineRule="auto"/>
        <w:rPr>
          <w:rFonts w:ascii="Barlow" w:cs="Barlow" w:eastAsia="Barlow" w:hAnsi="Barlow"/>
        </w:rPr>
      </w:pPr>
      <w:r/>
      <w:r>
        <w:rPr>
          <w:rFonts w:ascii="Barlow" w:hAnsi="Barlow"/>
          <w:i w:val="0"/>
          <w:color w:val="1B1F2E"/>
          <w:sz w:val="22"/>
        </w:rPr>
        <w:t>• Limpeza e Imputação: Remoção de variáveis com vacância &gt;20% e imputação pela mediana nas variáveis numéricas de baixa taxa de ausência.</w:t>
      </w:r>
      <w:r>
        <w:br/>
      </w:r>
      <w:r>
        <w:rPr>
          <w:rFonts w:ascii="Barlow" w:hAnsi="Barlow"/>
          <w:i w:val="0"/>
          <w:color w:val="1B1F2E"/>
          <w:sz w:val="22"/>
        </w:rPr>
        <w:t>• Truncamento Temporal e Split Out-of-Time (OOT): Para eliminar falsos negativos causados pelo lag de regulação em 2024, truncou-se a base em Fev/2024 (3.742 apólices maduras, descartando 190 registros de Mar-Mai/2024). A amostra foi dividida em Treino (Mai/2020 a Jun/2023: 3.162 apólices, 337 sinistros - 10,66%) e Teste OOT (Jul/2023 a Fev/2024: 580 apólices, 40 sinistros - 6,90%).</w:t>
      </w:r>
      <w:r>
        <w:br/>
      </w:r>
      <w:r>
        <w:rPr>
          <w:rFonts w:ascii="Barlow" w:hAnsi="Barlow"/>
          <w:i w:val="0"/>
          <w:color w:val="1B1F2E"/>
          <w:sz w:val="22"/>
        </w:rPr>
        <w:t>• Filtro Tríplice de Seleção de Variáveis: Redução de 102 para 14 variáveis chave, avaliando estritamente na amostra de treino: (1) Missing Rate (&lt;20%), (2) Poder Discriminante via Mutual Information (MI Score) e (3) Estabilidade temporal via Teste Kolmogorov-Smirnov (KS Drift).</w:t>
      </w:r>
    </w:p>
    <w:p w:rsidR="00000000" w:rsidDel="00000000" w:rsidP="00000000" w:rsidRDefault="00000000" w:rsidRPr="00000000" w14:paraId="00000044">
      <w:pPr>
        <w:pStyle w:val="Heading1"/>
        <w:spacing w:after="160" w:before="420" w:lineRule="auto"/>
        <w:rPr>
          <w:rFonts w:ascii="Barlow" w:cs="Barlow" w:eastAsia="Barlow" w:hAnsi="Bar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160" w:before="42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7. Desenvolvimento da Solução</w:t>
      </w:r>
    </w:p>
    <w:p w:rsidR="00000000" w:rsidDel="00000000" w:rsidP="00000000" w:rsidRDefault="00000000" w:rsidRPr="00000000" w14:paraId="00000046">
      <w:pPr>
        <w:pStyle w:val="Heading2"/>
        <w:spacing w:after="120" w:before="26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Estratégia adotada</w:t>
      </w:r>
    </w:p>
    <w:p w:rsidR="00000000" w:rsidDel="00000000" w:rsidP="00000000" w:rsidRDefault="00000000" w:rsidRPr="00000000" w14:paraId="00000047">
      <w:pPr>
        <w:spacing w:after="240" w:lineRule="auto"/>
        <w:rPr>
          <w:rFonts w:ascii="Barlow" w:cs="Barlow" w:eastAsia="Barlow" w:hAnsi="Barlow"/>
        </w:rPr>
      </w:pPr>
      <w:r/>
      <w:r>
        <w:rPr>
          <w:rFonts w:ascii="Barlow" w:hAnsi="Barlow"/>
          <w:i w:val="0"/>
          <w:color w:val="1B1F2E"/>
          <w:sz w:val="22"/>
        </w:rPr>
        <w:t>Adotou-se a metodologia CRISP-DM completa. Treinou-se um algoritmo Random Forest Classifier (n_estimators=100, max_depth=6) para estimar a probabilidade individual de sinistro de casco. Os scores gerados foram estratificados em 10 Decis de Risco e alimentaram a engine do Motor de Decisão XML 3-Way (Trillia RiskPack), contendo 2 regras de knock-out e 4 regras de roteamento.</w:t>
      </w:r>
    </w:p>
    <w:p w:rsidR="00000000" w:rsidDel="00000000" w:rsidP="00000000" w:rsidRDefault="00000000" w:rsidRPr="00000000" w14:paraId="00000048">
      <w:pPr>
        <w:pStyle w:val="Heading2"/>
        <w:spacing w:after="120" w:before="26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Ferramentas utilizadas</w:t>
      </w:r>
    </w:p>
    <w:p w:rsidR="00000000" w:rsidDel="00000000" w:rsidP="00000000" w:rsidRDefault="00000000" w:rsidRPr="00000000" w14:paraId="00000049">
      <w:pPr>
        <w:spacing w:after="20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i w:val="1"/>
          <w:iCs w:val="1"/>
          <w:color w:val="7a8399"/>
          <w:sz w:val="21"/>
          <w:szCs w:val="21"/>
          <w:rtl w:val="0"/>
        </w:rPr>
        <w:t xml:space="preserve">➔ Ex.: Python, Pandas, Power BI, SQL, Scikit-Learn, OpenAI, LangChain,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Rule="auto"/>
        <w:rPr>
          <w:rFonts w:ascii="Barlow" w:cs="Barlow" w:eastAsia="Barlow" w:hAnsi="Barlow"/>
        </w:rPr>
      </w:pPr>
      <w:r/>
      <w:r>
        <w:rPr>
          <w:rFonts w:ascii="Barlow" w:hAnsi="Barlow"/>
          <w:i w:val="0"/>
          <w:color w:val="1B1F2E"/>
          <w:sz w:val="22"/>
        </w:rPr>
        <w:t>Python 3.12, Scikit-Learn (RandomForest, Metrics), Pandas, NumPy, Seaborn, Matplotlib, XML (DecisionRunnerNotation) e Google Colab.</w:t>
      </w:r>
    </w:p>
    <w:p w:rsidR="00000000" w:rsidDel="00000000" w:rsidP="00000000" w:rsidRDefault="00000000" w:rsidRPr="00000000" w14:paraId="0000004B">
      <w:pPr>
        <w:pStyle w:val="Heading2"/>
        <w:spacing w:after="120" w:before="26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Arquitetura da solução</w:t>
      </w:r>
    </w:p>
    <w:p w:rsidR="00000000" w:rsidDel="00000000" w:rsidP="00000000" w:rsidRDefault="00000000" w:rsidRPr="00000000" w14:paraId="0000004C">
      <w:pPr>
        <w:spacing w:after="20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i w:val="1"/>
          <w:iCs w:val="1"/>
          <w:color w:val="7a8399"/>
          <w:sz w:val="21"/>
          <w:szCs w:val="21"/>
          <w:rtl w:val="0"/>
        </w:rPr>
        <w:t xml:space="preserve">➔ Insira um fluxograma simples.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Rule="auto"/>
        <w:rPr>
          <w:rFonts w:ascii="Barlow" w:cs="Barlow" w:eastAsia="Barlow" w:hAnsi="Barlow"/>
        </w:rPr>
      </w:pPr>
      <w:r/>
      <w:r>
        <w:rPr>
          <w:rFonts w:ascii="Barlow" w:hAnsi="Barlow"/>
          <w:i w:val="0"/>
          <w:color w:val="1B1F2E"/>
          <w:sz w:val="22"/>
        </w:rPr>
        <w:t>CSV Bureau (102 vars) → Truncamento Temporal OOT (3.742 apólices) → Filtro Tríplice (14 vars) → RandomForest OOT (n=100, depth=6) → Probabilidade &amp; 10 Decis → Motor XML Trillia (Knockouts + Roteamento) → Decisão 3-Way + Precificação Financeira.</w:t>
      </w:r>
    </w:p>
    <w:p w:rsidR="00000000" w:rsidDel="00000000" w:rsidP="00000000" w:rsidRDefault="00000000" w:rsidRPr="00000000" w14:paraId="0000004E">
      <w:pPr>
        <w:pStyle w:val="Heading1"/>
        <w:spacing w:after="160" w:before="42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8. Resultados</w:t>
      </w:r>
    </w:p>
    <w:p w:rsidR="00000000" w:rsidDel="00000000" w:rsidP="00000000" w:rsidRDefault="00000000" w:rsidRPr="00000000" w14:paraId="0000004F">
      <w:pPr>
        <w:spacing w:after="20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i w:val="1"/>
          <w:iCs w:val="1"/>
          <w:color w:val="7a8399"/>
          <w:sz w:val="21"/>
          <w:szCs w:val="21"/>
          <w:rtl w:val="0"/>
        </w:rPr>
        <w:t xml:space="preserve">➔ Apresente o dashboard, modelo ou aplicação desenvolvida, incluindo imagens.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lineRule="auto"/>
        <w:rPr>
          <w:rFonts w:ascii="Barlow" w:cs="Barlow" w:eastAsia="Barlow" w:hAnsi="Barlow"/>
        </w:rPr>
      </w:pPr>
      <w:r/>
      <w:r>
        <w:rPr>
          <w:rFonts w:ascii="Barlow" w:hAnsi="Barlow"/>
          <w:i w:val="0"/>
          <w:color w:val="1B1F2E"/>
          <w:sz w:val="22"/>
        </w:rPr>
        <w:t>O modelo Random Forest em validação Out-of-Time (OOT) alcançou AUC-ROC de 0,92, demonstrando forte capacidade de generalização e separabilidade.</w:t>
      </w:r>
      <w:r>
        <w:br/>
      </w:r>
      <w:r>
        <w:rPr>
          <w:rFonts w:ascii="Barlow" w:hAnsi="Barlow"/>
          <w:i w:val="0"/>
          <w:color w:val="1B1F2E"/>
          <w:sz w:val="22"/>
        </w:rPr>
      </w:r>
      <w:r>
        <w:br/>
      </w:r>
      <w:r>
        <w:rPr>
          <w:rFonts w:ascii="Barlow" w:hAnsi="Barlow"/>
          <w:i w:val="0"/>
          <w:color w:val="1B1F2E"/>
          <w:sz w:val="22"/>
        </w:rPr>
        <w:t>• Ordenação por Decil: Concentração de 82,15% de todos os sinistros da base nos Decis 1 a 3 (sendo 44,9% concentrados isoladamente no Decil 1).</w:t>
      </w:r>
      <w:r>
        <w:br/>
      </w:r>
      <w:r>
        <w:rPr>
          <w:rFonts w:ascii="Barlow" w:hAnsi="Barlow"/>
          <w:i w:val="0"/>
          <w:color w:val="1B1F2E"/>
          <w:sz w:val="22"/>
        </w:rPr>
        <w:t>• Volumetria Operacional do Motor (3,932 apólices):</w:t>
      </w:r>
      <w:r>
        <w:br/>
      </w:r>
      <w:r>
        <w:rPr>
          <w:rFonts w:ascii="Barlow" w:hAnsi="Barlow"/>
          <w:i w:val="0"/>
          <w:color w:val="1B1F2E"/>
          <w:sz w:val="22"/>
        </w:rPr>
        <w:t xml:space="preserve">  - APROVADO: 2.569 apólices (65,34%) liberadas via fast-track automático.</w:t>
      </w:r>
      <w:r>
        <w:br/>
      </w:r>
      <w:r>
        <w:rPr>
          <w:rFonts w:ascii="Barlow" w:hAnsi="Barlow"/>
          <w:i w:val="0"/>
          <w:color w:val="1B1F2E"/>
          <w:sz w:val="22"/>
        </w:rPr>
        <w:t xml:space="preserve">  - ACEITO COM CONDIÇÃO: 876 apólices (22,28%), resgatando 137 frotas de alto risco com exigência de rastreador GPS e sobretaxa de +15%.</w:t>
      </w:r>
      <w:r>
        <w:br/>
      </w:r>
      <w:r>
        <w:rPr>
          <w:rFonts w:ascii="Barlow" w:hAnsi="Barlow"/>
          <w:i w:val="0"/>
          <w:color w:val="1B1F2E"/>
          <w:sz w:val="22"/>
        </w:rPr>
        <w:t xml:space="preserve">  - RECUSADO: 487 apólices (12,39%) de altíssimo risco barradas pelo motor.</w:t>
      </w:r>
      <w:r>
        <w:br/>
      </w:r>
      <w:r>
        <w:rPr>
          <w:rFonts w:ascii="Barlow" w:hAnsi="Barlow"/>
          <w:i w:val="0"/>
          <w:color w:val="1B1F2E"/>
          <w:sz w:val="22"/>
        </w:rPr>
        <w:t>• Projeção de Impacto Financeiro (Premissas: Prêmio R$ 10.000 / Sinistro R$ 45.000):</w:t>
      </w:r>
      <w:r>
        <w:br/>
      </w:r>
      <w:r>
        <w:rPr>
          <w:rFonts w:ascii="Barlow" w:hAnsi="Barlow"/>
          <w:i w:val="0"/>
          <w:color w:val="1B1F2E"/>
          <w:sz w:val="22"/>
        </w:rPr>
        <w:t xml:space="preserve">  - Faturamento Total Emitido: R$ 35,21M</w:t>
      </w:r>
      <w:r>
        <w:br/>
      </w:r>
      <w:r>
        <w:rPr>
          <w:rFonts w:ascii="Barlow" w:hAnsi="Barlow"/>
          <w:i w:val="0"/>
          <w:color w:val="1B1F2E"/>
          <w:sz w:val="22"/>
        </w:rPr>
        <w:t xml:space="preserve">  - Sinistros Evitados (Recusal Sumária): R$ 5,13M (114 frotas com sinistro real barradas)</w:t>
      </w:r>
      <w:r>
        <w:br/>
      </w:r>
      <w:r>
        <w:rPr>
          <w:rFonts w:ascii="Barlow" w:hAnsi="Barlow"/>
          <w:i w:val="0"/>
          <w:color w:val="1B1F2E"/>
          <w:sz w:val="22"/>
        </w:rPr>
        <w:t xml:space="preserve">  - Receita Adicional por Agravamento: R$ 760K</w:t>
      </w:r>
    </w:p>
    <w:p w:rsidR="00000000" w:rsidDel="00000000" w:rsidP="00000000" w:rsidRDefault="00000000" w:rsidRPr="00000000" w14:paraId="00000051">
      <w:pPr>
        <w:pStyle w:val="Heading1"/>
        <w:spacing w:after="160" w:before="42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9. Insights</w:t>
      </w:r>
    </w:p>
    <w:p w:rsidR="00000000" w:rsidDel="00000000" w:rsidP="00000000" w:rsidRDefault="00000000" w:rsidRPr="00000000" w14:paraId="00000052">
      <w:pPr>
        <w:pStyle w:val="Heading2"/>
        <w:spacing w:after="120" w:before="26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O que foi descoberto?</w:t>
      </w:r>
    </w:p>
    <w:p w:rsidR="00000000" w:rsidDel="00000000" w:rsidP="00000000" w:rsidRDefault="00000000" w:rsidRPr="00000000" w14:paraId="00000053">
      <w:pPr>
        <w:spacing w:after="240" w:lineRule="auto"/>
        <w:rPr>
          <w:rFonts w:ascii="Barlow" w:cs="Barlow" w:eastAsia="Barlow" w:hAnsi="Barlow"/>
        </w:rPr>
      </w:pPr>
      <w:r/>
      <w:r>
        <w:rPr>
          <w:rFonts w:ascii="Barlow" w:hAnsi="Barlow"/>
          <w:i w:val="0"/>
          <w:color w:val="1B1F2E"/>
          <w:sz w:val="22"/>
        </w:rPr>
        <w:t>1. Concentração extrema de sinistros nos decis superiores: 82,15% dos sinistros pertencem aos Decis 1 a 3.</w:t>
      </w:r>
      <w:r>
        <w:br/>
      </w:r>
      <w:r>
        <w:rPr>
          <w:rFonts w:ascii="Barlow" w:hAnsi="Barlow"/>
          <w:i w:val="0"/>
          <w:color w:val="1B1F2E"/>
          <w:sz w:val="22"/>
        </w:rPr>
        <w:t>2. O lag de regulação em dados recentes (2024) gera falsos negativos se não tratado — o truncamento temporal foi crucial para a estabilidade do modelo.</w:t>
      </w:r>
      <w:r>
        <w:br/>
      </w:r>
      <w:r>
        <w:rPr>
          <w:rFonts w:ascii="Barlow" w:hAnsi="Barlow"/>
          <w:i w:val="0"/>
          <w:color w:val="1B1F2E"/>
          <w:sz w:val="22"/>
        </w:rPr>
        <w:t>3. Setor CNAE e métricas de concentração de área de risco foram os principais preditores de sinistro.</w:t>
      </w:r>
    </w:p>
    <w:p w:rsidR="00000000" w:rsidDel="00000000" w:rsidP="00000000" w:rsidRDefault="00000000" w:rsidRPr="00000000" w14:paraId="00000054">
      <w:pPr>
        <w:pStyle w:val="Heading2"/>
        <w:spacing w:after="120" w:before="260" w:lineRule="auto"/>
        <w:rPr>
          <w:rFonts w:ascii="Barlow" w:cs="Barlow" w:eastAsia="Barlow" w:hAnsi="Barlow"/>
        </w:rPr>
      </w:pPr>
      <w:r/>
      <w:r>
        <w:rPr>
          <w:rFonts w:ascii="Barlow" w:hAnsi="Barlow"/>
          <w:i w:val="0"/>
          <w:color w:val="1B1F2E"/>
          <w:sz w:val="22"/>
        </w:rPr>
        <w:t>1. Automatizar a aprovação imediata (fast-track) para 65% das propostas de baixo risco, reduzindo custo operacional de subscrição manual.</w:t>
      </w:r>
      <w:r>
        <w:br/>
      </w:r>
      <w:r>
        <w:rPr>
          <w:rFonts w:ascii="Barlow" w:hAnsi="Barlow"/>
          <w:i w:val="0"/>
          <w:color w:val="1B1F2E"/>
          <w:sz w:val="22"/>
        </w:rPr>
        <w:t>2. Exigir dispositivo telemétrico (GPS) e tarifa agravada em +15% para frotas de médio/alto risco (Decis 1 a 3).</w:t>
      </w:r>
    </w:p>
    <w:p w:rsidR="00000000" w:rsidDel="00000000" w:rsidP="00000000" w:rsidRDefault="00000000" w:rsidRPr="00000000" w14:paraId="00000055">
      <w:pPr>
        <w:spacing w:after="240" w:lineRule="auto"/>
        <w:rPr>
          <w:rFonts w:ascii="Barlow" w:cs="Barlow" w:eastAsia="Barlow" w:hAnsi="Barlow"/>
        </w:rPr>
      </w:pPr>
      <w:r/>
      <w:r>
        <w:rPr>
          <w:rFonts w:ascii="Barlow" w:hAnsi="Barlow"/>
          <w:i w:val="0"/>
          <w:color w:val="1B1F2E"/>
          <w:sz w:val="22"/>
        </w:rPr>
        <w:t>1. Automatizar a aprovação imediata (fast-track) para 65% das propostas de baixo risco, reduzindo custo operacional de subscrição manual.</w:t>
      </w:r>
      <w:r>
        <w:br/>
      </w:r>
      <w:r>
        <w:rPr>
          <w:rFonts w:ascii="Barlow" w:hAnsi="Barlow"/>
          <w:i w:val="0"/>
          <w:color w:val="1B1F2E"/>
          <w:sz w:val="22"/>
        </w:rPr>
        <w:t>2. Exigir dispositivo telemétrico (GPS) e tarifa agravada em +15% para frotas de médio/alto risco (Decis 1 a 3).</w:t>
      </w:r>
    </w:p>
    <w:p w:rsidR="00000000" w:rsidDel="00000000" w:rsidP="00000000" w:rsidRDefault="00000000" w:rsidRPr="00000000" w14:paraId="00000056">
      <w:pPr>
        <w:pStyle w:val="Heading2"/>
        <w:spacing w:after="120" w:before="26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Quais oportunidades foram encontradas?</w:t>
      </w:r>
    </w:p>
    <w:p w:rsidR="00000000" w:rsidDel="00000000" w:rsidP="00000000" w:rsidRDefault="00000000" w:rsidRPr="00000000" w14:paraId="00000057">
      <w:pPr>
        <w:spacing w:after="240" w:lineRule="auto"/>
        <w:rPr>
          <w:rFonts w:ascii="Barlow" w:cs="Barlow" w:eastAsia="Barlow" w:hAnsi="Barlow"/>
        </w:rPr>
      </w:pPr>
      <w:r/>
      <w:r>
        <w:rPr>
          <w:rFonts w:ascii="Barlow" w:hAnsi="Barlow"/>
          <w:i w:val="0"/>
          <w:color w:val="9AA3B2"/>
          <w:sz w:val="22"/>
        </w:rPr>
        <w:t>1. Resgate de 137 frotas de alto risco que seriam recusadas em políticas tradicionais, gerando R$ 760K de receita extra por agravamento.</w:t>
      </w:r>
      <w:r>
        <w:br/>
      </w:r>
      <w:r>
        <w:rPr>
          <w:rFonts w:ascii="Barlow" w:hAnsi="Barlow"/>
          <w:i w:val="0"/>
          <w:color w:val="9AA3B2"/>
          <w:sz w:val="22"/>
        </w:rPr>
        <w:t>2. Economia direta de R$ 5,13M no fundo de reserva da seguradora barrando 114 frotas com sinistro real.</w:t>
      </w:r>
    </w:p>
    <w:p w:rsidR="00000000" w:rsidDel="00000000" w:rsidP="00000000" w:rsidRDefault="00000000" w:rsidRPr="00000000" w14:paraId="00000058">
      <w:pPr>
        <w:pStyle w:val="Heading1"/>
        <w:spacing w:after="160" w:before="42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10. Limitações</w:t>
      </w:r>
    </w:p>
    <w:p w:rsidR="00000000" w:rsidDel="00000000" w:rsidP="00000000" w:rsidRDefault="00000000" w:rsidRPr="00000000" w14:paraId="00000059">
      <w:pPr>
        <w:pStyle w:val="Heading2"/>
        <w:spacing w:after="120" w:before="26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O que dificultou o projeto?</w:t>
      </w:r>
    </w:p>
    <w:p w:rsidR="00000000" w:rsidDel="00000000" w:rsidP="00000000" w:rsidRDefault="00000000" w:rsidRPr="00000000" w14:paraId="0000005A">
      <w:pPr>
        <w:spacing w:after="240" w:lineRule="auto"/>
        <w:rPr>
          <w:rFonts w:ascii="Barlow" w:cs="Barlow" w:eastAsia="Barlow" w:hAnsi="Barlow"/>
        </w:rPr>
      </w:pPr>
      <w:r/>
      <w:r>
        <w:rPr>
          <w:rFonts w:ascii="Barlow" w:hAnsi="Barlow"/>
          <w:i w:val="0"/>
          <w:color w:val="1B1F2E"/>
          <w:sz w:val="22"/>
        </w:rPr>
        <w:t>1. Base com alvo binário condensado (ALVO_CASCO), sem discriminação entre perda parcial, perda total, roubo/furto e RCF.</w:t>
      </w:r>
      <w:r>
        <w:br/>
      </w:r>
      <w:r>
        <w:rPr>
          <w:rFonts w:ascii="Barlow" w:hAnsi="Barlow"/>
          <w:i w:val="0"/>
          <w:color w:val="1B1F2E"/>
          <w:sz w:val="22"/>
        </w:rPr>
        <w:t>2. Ausência de tratamento de atributos categóricos geográficos de alta cardinalidade na versão inicial do modelo.</w:t>
      </w:r>
    </w:p>
    <w:p w:rsidR="00000000" w:rsidDel="00000000" w:rsidP="00000000" w:rsidRDefault="00000000" w:rsidRPr="00000000" w14:paraId="0000005B">
      <w:pPr>
        <w:pStyle w:val="Heading2"/>
        <w:spacing w:after="120" w:before="260" w:lineRule="auto"/>
        <w:rPr>
          <w:rFonts w:ascii="Barlow" w:cs="Barlow" w:eastAsia="Barlow" w:hAnsi="Barlow"/>
        </w:rPr>
      </w:pPr>
      <w:r/>
      <w:r>
        <w:rPr>
          <w:rFonts w:ascii="Barlow" w:hAnsi="Barlow"/>
          <w:i w:val="0"/>
          <w:color w:val="1B1F2E"/>
          <w:sz w:val="22"/>
        </w:rPr>
        <w:t>1. Incorporar Target Encoding / Ordinal Encoding para variáveis categóricas de localização.</w:t>
      </w:r>
      <w:r>
        <w:br/>
      </w:r>
      <w:r>
        <w:rPr>
          <w:rFonts w:ascii="Barlow" w:hAnsi="Barlow"/>
          <w:i w:val="0"/>
          <w:color w:val="1B1F2E"/>
          <w:sz w:val="22"/>
        </w:rPr>
        <w:t>2. Aplicação de técnicas de calibração de probabilidade para otimização da precificação atuarial.</w:t>
      </w:r>
    </w:p>
    <w:p w:rsidR="00000000" w:rsidDel="00000000" w:rsidP="00000000" w:rsidRDefault="00000000" w:rsidRPr="00000000" w14:paraId="0000005C">
      <w:pPr>
        <w:spacing w:after="240" w:lineRule="auto"/>
        <w:rPr>
          <w:rFonts w:ascii="Barlow" w:cs="Barlow" w:eastAsia="Barlow" w:hAnsi="Barlow"/>
        </w:rPr>
      </w:pPr>
      <w:r/>
      <w:r>
        <w:rPr>
          <w:rFonts w:ascii="Barlow" w:hAnsi="Barlow"/>
          <w:i w:val="0"/>
          <w:color w:val="9AA3B2"/>
          <w:sz w:val="22"/>
        </w:rPr>
        <w:t>1. Incorporar Target Encoding / Ordinal Encoding para variáveis categóricas de localização.</w:t>
      </w:r>
      <w:r>
        <w:br/>
      </w:r>
      <w:r>
        <w:rPr>
          <w:rFonts w:ascii="Barlow" w:hAnsi="Barlow"/>
          <w:i w:val="0"/>
          <w:color w:val="9AA3B2"/>
          <w:sz w:val="22"/>
        </w:rPr>
        <w:t>2. Aplicação de técnicas de calibração de probabilidade para otimização da precificação atuarial.</w:t>
      </w:r>
      <w:r>
        <w:br/>
      </w:r>
      <w:r>
        <w:rPr>
          <w:rFonts w:ascii="Barlow" w:hAnsi="Barlow"/>
          <w:i w:val="0"/>
          <w:color w:val="9AA3B2"/>
          <w:sz w:val="22"/>
        </w:rPr>
        <w:t>3. Estruturação de monitoramento contínuo em produção para acompanhamento de data drift.</w:t>
      </w:r>
    </w:p>
    <w:p w:rsidR="00000000" w:rsidDel="00000000" w:rsidP="00000000" w:rsidRDefault="00000000" w:rsidRPr="00000000" w14:paraId="0000005D">
      <w:pPr>
        <w:pStyle w:val="Heading1"/>
        <w:spacing w:after="160" w:before="420" w:lineRule="auto"/>
        <w:rPr>
          <w:rFonts w:ascii="Barlow" w:cs="Barlow" w:eastAsia="Barlow" w:hAnsi="Bar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after="160" w:before="42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11. Próximos Passos</w:t>
      </w:r>
    </w:p>
    <w:p w:rsidR="00000000" w:rsidDel="00000000" w:rsidP="00000000" w:rsidRDefault="00000000" w:rsidRPr="00000000" w14:paraId="0000005F">
      <w:pPr>
        <w:spacing w:after="20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i w:val="1"/>
          <w:iCs w:val="1"/>
          <w:color w:val="7a8399"/>
          <w:sz w:val="21"/>
          <w:szCs w:val="21"/>
          <w:rtl w:val="0"/>
        </w:rPr>
        <w:t xml:space="preserve">➔ Descreva evoluções futuras para a solução.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lineRule="auto"/>
        <w:rPr>
          <w:rFonts w:ascii="Barlow" w:cs="Barlow" w:eastAsia="Barlow" w:hAnsi="Barlow"/>
        </w:rPr>
      </w:pPr>
      <w:r/>
      <w:r>
        <w:rPr>
          <w:rFonts w:ascii="Barlow" w:hAnsi="Barlow"/>
          <w:i w:val="0"/>
          <w:color w:val="1B1F2E"/>
          <w:sz w:val="22"/>
        </w:rPr>
        <w:t>• Curto Prazo: Testar algoritmos gradientes (LightGBM e XGBoost) com otimização de hiperparâmetros e incluir variáveis categóricas geográficas com Target Encoding.</w:t>
      </w:r>
      <w:r>
        <w:br/>
      </w:r>
      <w:r>
        <w:rPr>
          <w:rFonts w:ascii="Barlow" w:hAnsi="Barlow"/>
          <w:i w:val="0"/>
          <w:color w:val="1B1F2E"/>
          <w:sz w:val="22"/>
        </w:rPr>
        <w:t>• Médio Prazo: Disponibilizar o Motor de Decisão Trillia via API REST e estruturar dashboard de monitoramento de performance e data drift em tempo real.</w:t>
      </w:r>
      <w:r>
        <w:br/>
      </w:r>
      <w:r>
        <w:rPr>
          <w:rFonts w:ascii="Barlow" w:hAnsi="Barlow"/>
          <w:i w:val="0"/>
          <w:color w:val="1B1F2E"/>
          <w:sz w:val="22"/>
        </w:rPr>
        <w:t>• Longo Prazo: Expandir a predição para coberturas específicas (RCF, Roubo/Furto) e integrar dados telemétricos de IoT/rastreadores para retreino contínuo do modelo.</w:t>
      </w:r>
    </w:p>
    <w:p w:rsidR="00000000" w:rsidDel="00000000" w:rsidP="00000000" w:rsidRDefault="00000000" w:rsidRPr="00000000" w14:paraId="00000061">
      <w:pPr>
        <w:pStyle w:val="Heading1"/>
        <w:spacing w:after="160" w:before="42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12. Referências</w:t>
      </w:r>
    </w:p>
    <w:p w:rsidR="00000000" w:rsidDel="00000000" w:rsidP="00000000" w:rsidRDefault="00000000" w:rsidRPr="00000000" w14:paraId="00000062">
      <w:pPr>
        <w:spacing w:after="20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i w:val="1"/>
          <w:iCs w:val="1"/>
          <w:color w:val="7a8399"/>
          <w:sz w:val="21"/>
          <w:szCs w:val="21"/>
          <w:rtl w:val="0"/>
        </w:rPr>
        <w:t xml:space="preserve">➔ Liste a bibliografia e fontes utilizadas.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lineRule="auto"/>
        <w:rPr>
          <w:rFonts w:ascii="Barlow" w:cs="Barlow" w:eastAsia="Barlow" w:hAnsi="Barlow"/>
        </w:rPr>
      </w:pPr>
      <w:r/>
      <w:r>
        <w:rPr>
          <w:rFonts w:ascii="Barlow" w:hAnsi="Barlow"/>
          <w:i w:val="0"/>
          <w:color w:val="1B1F2E"/>
          <w:sz w:val="22"/>
        </w:rPr>
        <w:t>[1] CRISP-DM Consortium. Cross-Industry Standard Process for Data Mining. 2000.</w:t>
      </w:r>
      <w:r>
        <w:br/>
      </w:r>
      <w:r>
        <w:rPr>
          <w:rFonts w:ascii="Barlow" w:hAnsi="Barlow"/>
          <w:i w:val="0"/>
          <w:color w:val="1B1F2E"/>
          <w:sz w:val="22"/>
        </w:rPr>
        <w:t>[2] Breiman, L. Random Forests. Machine Learning, 45(1), 5-32. 2001.</w:t>
      </w:r>
      <w:r>
        <w:br/>
      </w:r>
      <w:r>
        <w:rPr>
          <w:rFonts w:ascii="Barlow" w:hAnsi="Barlow"/>
          <w:i w:val="0"/>
          <w:color w:val="1B1F2E"/>
          <w:sz w:val="22"/>
        </w:rPr>
        <w:t>[3] Bureau Trillia/Neurotech. Base de Dados de Frotas PJ Enriquecida. 2024.</w:t>
      </w:r>
    </w:p>
    <w:sectPr>
      <w:headerReference r:id="rId6" w:type="default"/>
      <w:footerReference r:id="rId7" w:type="default"/>
      <w:pgSz w:h="15840" w:w="12240" w:orient="portrait"/>
      <w:pgMar w:bottom="1440" w:top="1440" w:left="1350" w:right="13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>
        <w:rFonts w:ascii="Barlow" w:cs="Barlow" w:eastAsia="Barlow" w:hAnsi="Barlow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3690938" cy="36561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690938" cy="36561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3162300</wp:posOffset>
          </wp:positionH>
          <wp:positionV relativeFrom="paragraph">
            <wp:posOffset>-180974</wp:posOffset>
          </wp:positionV>
          <wp:extent cx="919163" cy="440162"/>
          <wp:effectExtent b="0" l="0" r="0" t="0"/>
          <wp:wrapNone/>
          <wp:docPr descr="(Original)Trillia_Endosso_Vertical.png" id="2" name="image2.png"/>
          <a:graphic>
            <a:graphicData uri="http://schemas.openxmlformats.org/drawingml/2006/picture">
              <pic:pic>
                <pic:nvPicPr>
                  <pic:cNvPr descr="(Original)Trillia_Endosso_Vertical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9163" cy="44016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2286000</wp:posOffset>
          </wp:positionH>
          <wp:positionV relativeFrom="paragraph">
            <wp:posOffset>-171449</wp:posOffset>
          </wp:positionV>
          <wp:extent cx="704850" cy="419911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4850" cy="41991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b1f2e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0"/>
      <w:iCs w:val="0"/>
      <w:smallCaps w:val="0"/>
      <w:strike w:val="0"/>
      <w:color w:val="1e2761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0"/>
      <w:iCs w:val="0"/>
      <w:smallCaps w:val="0"/>
      <w:strike w:val="0"/>
      <w:color w:val="1e2761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b1f2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