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21B73E6">
      <w:pPr>
        <w:spacing w:before="120" w:after="280"/>
        <w:jc w:val="center"/>
      </w:pPr>
      <w:r>
        <w:rPr>
          <w:rFonts w:ascii="Times New Roman" w:hAnsi="Times New Roman"/>
          <w:b/>
          <w:sz w:val="40"/>
        </w:rPr>
        <w:t>INTELLIGENT ATTENDANCE ANALYTICS PLATFORM WITH FRAUD DETECTION</w:t>
      </w:r>
      <w:r>
        <w:rPr>
          <w:rFonts w:ascii="Times New Roman" w:hAnsi="Times New Roman"/>
          <w:b/>
          <w:sz w:val="40"/>
        </w:rPr>
        <w:br w:type="textWrapping"/>
      </w:r>
    </w:p>
    <w:p w14:paraId="724BDB90">
      <w:pPr>
        <w:spacing w:after="280" w:line="300" w:lineRule="auto"/>
        <w:jc w:val="center"/>
      </w:pPr>
      <w:r>
        <w:rPr>
          <w:rFonts w:ascii="Times New Roman" w:hAnsi="Times New Roman"/>
          <w:sz w:val="26"/>
        </w:rPr>
        <w:t>A Project Based Learning Report Submitted in partial fulfilment of the requirements for the award of the degree</w:t>
      </w:r>
      <w:r>
        <w:rPr>
          <w:rFonts w:ascii="Times New Roman" w:hAnsi="Times New Roman"/>
          <w:sz w:val="26"/>
        </w:rPr>
        <w:br w:type="textWrapping"/>
      </w:r>
      <w:r>
        <w:rPr>
          <w:rFonts w:ascii="Times New Roman" w:hAnsi="Times New Roman"/>
          <w:sz w:val="26"/>
        </w:rPr>
        <w:t>of</w:t>
      </w:r>
      <w:r>
        <w:rPr>
          <w:rFonts w:ascii="Times New Roman" w:hAnsi="Times New Roman"/>
          <w:sz w:val="26"/>
        </w:rPr>
        <w:br w:type="textWrapping"/>
      </w:r>
      <w:r>
        <w:rPr>
          <w:rFonts w:ascii="Times New Roman" w:hAnsi="Times New Roman"/>
          <w:b/>
          <w:sz w:val="26"/>
        </w:rPr>
        <w:t>Bachelor of Technology</w:t>
      </w:r>
      <w:r>
        <w:rPr>
          <w:rFonts w:ascii="Times New Roman" w:hAnsi="Times New Roman"/>
          <w:b/>
          <w:sz w:val="26"/>
        </w:rPr>
        <w:br w:type="textWrapping"/>
      </w:r>
      <w:r>
        <w:rPr>
          <w:rFonts w:ascii="Times New Roman" w:hAnsi="Times New Roman"/>
          <w:sz w:val="26"/>
        </w:rPr>
        <w:t>in The Department of Computer Science &amp; Engineering</w:t>
      </w:r>
      <w:r>
        <w:rPr>
          <w:rFonts w:ascii="Times New Roman" w:hAnsi="Times New Roman"/>
          <w:sz w:val="26"/>
        </w:rPr>
        <w:br w:type="textWrapping"/>
      </w:r>
      <w:r>
        <w:rPr>
          <w:rFonts w:ascii="Times New Roman" w:hAnsi="Times New Roman"/>
          <w:sz w:val="26"/>
        </w:rPr>
        <w:br w:type="textWrapping"/>
      </w:r>
      <w:r>
        <w:rPr>
          <w:rFonts w:ascii="Times New Roman" w:hAnsi="Times New Roman"/>
          <w:b/>
          <w:sz w:val="26"/>
        </w:rPr>
        <w:t>25CS2103E - DATA STRUCTURES AND ALGORITHMS - 3</w:t>
      </w:r>
      <w:r>
        <w:rPr>
          <w:rFonts w:ascii="Times New Roman" w:hAnsi="Times New Roman"/>
          <w:b/>
          <w:sz w:val="26"/>
        </w:rPr>
        <w:br w:type="textWrapping"/>
      </w:r>
    </w:p>
    <w:p w14:paraId="0B5BE322">
      <w:pPr>
        <w:spacing w:before="160" w:after="80"/>
        <w:jc w:val="center"/>
      </w:pPr>
      <w:r>
        <w:rPr>
          <w:rFonts w:ascii="Times New Roman" w:hAnsi="Times New Roman"/>
          <w:b/>
          <w:sz w:val="24"/>
        </w:rPr>
        <w:t>Submitted by</w:t>
      </w:r>
      <w:r>
        <w:rPr>
          <w:rFonts w:ascii="Times New Roman" w:hAnsi="Times New Roman"/>
          <w:b/>
          <w:sz w:val="24"/>
        </w:rPr>
        <w:br w:type="textWrapping"/>
      </w:r>
    </w:p>
    <w:p w14:paraId="60070F9E">
      <w:pPr>
        <w:spacing w:before="0" w:after="40"/>
        <w:jc w:val="center"/>
      </w:pPr>
      <w:r>
        <w:rPr>
          <w:rFonts w:ascii="Times New Roman" w:hAnsi="Times New Roman"/>
          <w:sz w:val="22"/>
        </w:rPr>
        <w:t>2510030290: Hanish</w:t>
      </w:r>
    </w:p>
    <w:p w14:paraId="6AA3E91D">
      <w:pPr>
        <w:spacing w:before="0" w:after="40"/>
        <w:jc w:val="center"/>
      </w:pPr>
      <w:r>
        <w:rPr>
          <w:rFonts w:ascii="Times New Roman" w:hAnsi="Times New Roman"/>
          <w:sz w:val="22"/>
        </w:rPr>
        <w:t>2510030289: Sharath</w:t>
      </w:r>
    </w:p>
    <w:p w14:paraId="2CCCDAD2">
      <w:pPr>
        <w:spacing w:before="0" w:after="40"/>
        <w:jc w:val="center"/>
      </w:pPr>
      <w:r>
        <w:rPr>
          <w:rFonts w:ascii="Times New Roman" w:hAnsi="Times New Roman"/>
          <w:sz w:val="22"/>
        </w:rPr>
        <w:t>2510030415: Anish</w:t>
      </w:r>
    </w:p>
    <w:p w14:paraId="24A2175E">
      <w:pPr>
        <w:spacing w:before="0" w:after="40"/>
        <w:jc w:val="center"/>
      </w:pPr>
      <w:r>
        <w:rPr>
          <w:rFonts w:ascii="Times New Roman" w:hAnsi="Times New Roman"/>
          <w:sz w:val="22"/>
        </w:rPr>
        <w:t>2510030110: Rishi Teja</w:t>
      </w:r>
    </w:p>
    <w:p w14:paraId="7BE0AA3E">
      <w:pPr>
        <w:spacing w:before="240" w:after="40"/>
        <w:jc w:val="center"/>
      </w:pPr>
      <w:r>
        <w:rPr>
          <w:rFonts w:ascii="Times New Roman" w:hAnsi="Times New Roman"/>
          <w:sz w:val="22"/>
        </w:rPr>
        <w:t>Under the guidance of</w:t>
      </w:r>
      <w:r>
        <w:rPr>
          <w:rFonts w:ascii="Times New Roman" w:hAnsi="Times New Roman"/>
          <w:sz w:val="22"/>
        </w:rPr>
        <w:br w:type="textWrapping"/>
      </w:r>
      <w:r>
        <w:rPr>
          <w:rFonts w:ascii="Times New Roman" w:hAnsi="Times New Roman"/>
          <w:b/>
          <w:sz w:val="24"/>
        </w:rPr>
        <w:t>Dr. Anitha Patil Madam</w:t>
      </w:r>
      <w:r>
        <w:rPr>
          <w:rFonts w:ascii="Times New Roman" w:hAnsi="Times New Roman"/>
          <w:b/>
          <w:sz w:val="24"/>
        </w:rPr>
        <w:br w:type="textWrapping"/>
      </w:r>
    </w:p>
    <w:p w14:paraId="62B5C3E7">
      <w:pPr>
        <w:spacing w:before="240" w:after="80"/>
        <w:jc w:val="center"/>
      </w:pPr>
      <w:r>
        <w:drawing>
          <wp:inline distT="0" distB="0" distL="114300" distR="114300">
            <wp:extent cx="3017520" cy="1052830"/>
            <wp:effectExtent l="0" t="0" r="508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3017520" cy="1053285"/>
                    </a:xfrm>
                    <a:prstGeom prst="rect">
                      <a:avLst/>
                    </a:prstGeom>
                  </pic:spPr>
                </pic:pic>
              </a:graphicData>
            </a:graphic>
          </wp:inline>
        </w:drawing>
      </w:r>
    </w:p>
    <w:p w14:paraId="01E7B04F">
      <w:pPr>
        <w:spacing w:before="200" w:line="276" w:lineRule="auto"/>
        <w:jc w:val="center"/>
      </w:pPr>
      <w:r>
        <w:rPr>
          <w:rFonts w:ascii="Times New Roman" w:hAnsi="Times New Roman"/>
          <w:b/>
          <w:sz w:val="22"/>
        </w:rPr>
        <w:t>Department of Computer Science &amp; Engineering</w:t>
      </w:r>
      <w:r>
        <w:rPr>
          <w:rFonts w:ascii="Times New Roman" w:hAnsi="Times New Roman"/>
          <w:b/>
          <w:sz w:val="22"/>
        </w:rPr>
        <w:br w:type="textWrapping"/>
      </w:r>
      <w:r>
        <w:rPr>
          <w:rFonts w:ascii="Times New Roman" w:hAnsi="Times New Roman"/>
          <w:b/>
          <w:sz w:val="22"/>
        </w:rPr>
        <w:t>Koneru Lakshmaiah Education Foundation, Aziz Nagar</w:t>
      </w:r>
      <w:r>
        <w:rPr>
          <w:rFonts w:ascii="Times New Roman" w:hAnsi="Times New Roman"/>
          <w:b/>
          <w:sz w:val="22"/>
        </w:rPr>
        <w:br w:type="textWrapping"/>
      </w:r>
      <w:r>
        <w:rPr>
          <w:rFonts w:ascii="Times New Roman" w:hAnsi="Times New Roman"/>
          <w:b/>
          <w:sz w:val="22"/>
        </w:rPr>
        <w:t>Aziz Nagar – 500075</w:t>
      </w:r>
      <w:r>
        <w:rPr>
          <w:rFonts w:ascii="Times New Roman" w:hAnsi="Times New Roman"/>
          <w:b/>
          <w:sz w:val="22"/>
        </w:rPr>
        <w:br w:type="textWrapping"/>
      </w:r>
      <w:r>
        <w:rPr>
          <w:rFonts w:hint="default" w:ascii="Times New Roman" w:hAnsi="Times New Roman"/>
          <w:b/>
          <w:sz w:val="22"/>
          <w:lang w:val="en-US"/>
        </w:rPr>
        <w:t>OCTOBER</w:t>
      </w:r>
      <w:r>
        <w:rPr>
          <w:rFonts w:ascii="Times New Roman" w:hAnsi="Times New Roman"/>
          <w:b/>
          <w:sz w:val="22"/>
        </w:rPr>
        <w:t xml:space="preserve"> - 202</w:t>
      </w:r>
      <w:r>
        <w:rPr>
          <w:rFonts w:hint="default" w:ascii="Times New Roman" w:hAnsi="Times New Roman"/>
          <w:b/>
          <w:sz w:val="22"/>
          <w:lang w:val="en-US"/>
        </w:rPr>
        <w:t>6</w:t>
      </w:r>
      <w:r>
        <w:rPr>
          <w:rFonts w:ascii="Times New Roman" w:hAnsi="Times New Roman"/>
          <w:b/>
          <w:sz w:val="22"/>
        </w:rPr>
        <w:t>.</w:t>
      </w:r>
    </w:p>
    <w:p w14:paraId="3CDE2C3F">
      <w:r>
        <w:br w:type="page"/>
      </w:r>
      <w:bookmarkStart w:id="0" w:name="_GoBack"/>
      <w:bookmarkEnd w:id="0"/>
    </w:p>
    <w:p w14:paraId="3E603729">
      <w:pPr>
        <w:spacing w:after="200"/>
      </w:pPr>
      <w:r>
        <w:rPr>
          <w:rFonts w:ascii="Times New Roman" w:hAnsi="Times New Roman"/>
          <w:b/>
          <w:sz w:val="32"/>
        </w:rPr>
        <w:t>Abstract</w:t>
      </w:r>
    </w:p>
    <w:p w14:paraId="35112C0E">
      <w:pPr>
        <w:spacing w:before="0" w:after="160" w:line="276" w:lineRule="auto"/>
        <w:jc w:val="left"/>
      </w:pPr>
      <w:r>
        <w:rPr>
          <w:rFonts w:ascii="Times New Roman" w:hAnsi="Times New Roman"/>
          <w:b w:val="0"/>
          <w:i w:val="0"/>
          <w:sz w:val="22"/>
        </w:rPr>
        <w:t>Student attendance tracking is a foundational requirement across higher education institutions, directly impacting accreditation, academic performance evaluation, institutional accountability, and student retention. However, contemporary campus attendance infrastructure remains overwhelmingly passive—recording presence or absence through paper rosters, optical RFID card readers, biometric hardware scanners, or rudimentary web/mobile check-in forms without actively validating the integrity or authenticity of the submitting entity. Consequently, institutions face pervasive vulnerabilities including proxy attendance ("buddy punching"), multi-tab duplicate submissions, IP and cellular hotspot tethering abuses, and mobile user-agent spoofing. Standard relational database solutions and generic runtime collections (such as java.util.*) suffer from severe thread contention, nondeterministic garbage collection pauses, and multi-second SQL aggregation latency when thousands of students authenticate concurrently during peak morning lecture windows.</w:t>
      </w:r>
    </w:p>
    <w:p w14:paraId="4E5B4C23">
      <w:pPr>
        <w:spacing w:before="0" w:after="160" w:line="276" w:lineRule="auto"/>
        <w:jc w:val="left"/>
      </w:pPr>
      <w:r>
        <w:rPr>
          <w:rFonts w:ascii="Times New Roman" w:hAnsi="Times New Roman"/>
          <w:b w:val="0"/>
          <w:i w:val="0"/>
          <w:sz w:val="22"/>
        </w:rPr>
        <w:t>To overcome these systemic security and performance limitations, this Project Based Learning (PBL) report introduces the design, implementation, and empirical evaluation of the Intelligent Attendance Analytics Platform with Fraud Detection. Engineered under course 25CS2103E (Data Structures and Algorithms - 3), the platform eliminates external library collections in favor of hand-built, deterministic algorithmic structures implemented directly in Core Java without java.util.*. The fraud detection pipeline integrates a double rolling Rabin-Karp hash parameterized by Miller-Rabin 64-bit safe prime moduli, achieving O(1) expected duplicate submission rejection. Multi-pattern string searching via Knuth-Morris-Pratt (KMP) and Aho-Corasick automata scans incoming headers and blacklisted proxy subnets in linear O(n + m + z) time, while Suffix Arrays paired with Kasai's Longest Common Prefix (LCP) algorithm lexicographically group IP addresses to reveal shared campus subnets and device clusters in O(n log² n) construction and O(n) scan time.</w:t>
      </w:r>
    </w:p>
    <w:p w14:paraId="5AB7DE60">
      <w:pPr>
        <w:spacing w:before="0" w:after="280" w:line="276" w:lineRule="auto"/>
        <w:jc w:val="left"/>
      </w:pPr>
      <w:r>
        <w:rPr>
          <w:rFonts w:ascii="Times New Roman" w:hAnsi="Times New Roman"/>
          <w:b w:val="0"/>
          <w:i w:val="0"/>
          <w:sz w:val="22"/>
        </w:rPr>
        <w:t>To identify coordinated multi-student proxy networks, the engine constructs a bipartite temporal-spatial similarity graph and applies Dinic's Maximum Flow / Minimum Cut algorithm, executing in O(V²E) to cleanly segment colluding proxy clusters from legitimate student check-ins. Wagner-Fischer dynamic programming computes Levenshtein edit distance in O(nm) to flag typographical anomalies and spoofed registration numbers, while Needleman-Wunsch global alignment verifies historical student attendance timelines. When suspicious proxy pairs are identified, a greedy maximal-matching Vertex Cover 2-approximation algorithm determines the minimum set of audit records required for faculty review with a proven approximation ratio ≤ 2 in O(V + E) time. Each log is evaluated by a multi-factor risk engine that assigns a normalized composite fraud score (0% to 100%). Experimental benchmarking over 10,000 synthetic campus check-in logs demonstrates 100.0% duplicate detection accuracy, 97.2% proxy cartel isolation F1-score, an intake queue throughput of 14,200 logs/second, and average sub-millisecond fraud scoring latency (0.34 ms), empowering educators with automated real-time alerts and actionable dashboard analytics with zero manual verification overhead.</w:t>
      </w:r>
    </w:p>
    <w:p w14:paraId="521D2E2C">
      <w:pPr>
        <w:spacing w:after="120"/>
      </w:pPr>
      <w:r>
        <w:rPr>
          <w:rFonts w:ascii="Times New Roman" w:hAnsi="Times New Roman"/>
          <w:b/>
          <w:sz w:val="28"/>
        </w:rPr>
        <w:t>List of Figures</w:t>
      </w:r>
    </w:p>
    <w:p w14:paraId="1668E2C3">
      <w:pPr>
        <w:spacing w:after="60" w:line="276" w:lineRule="auto"/>
      </w:pPr>
      <w:r>
        <w:rPr>
          <w:rFonts w:ascii="Times New Roman" w:hAnsi="Times New Roman"/>
          <w:sz w:val="21"/>
        </w:rPr>
        <w:t xml:space="preserve">Figure 1: The architecture of the proposed attendance analytics and fraud detection pipeline consists of check-in ingestion, custom queue buffering, hand-built fraud engine, and faculty dashboard. </w:t>
      </w:r>
    </w:p>
    <w:p w14:paraId="378BF9EF">
      <w:pPr>
        <w:spacing w:after="60" w:line="276" w:lineRule="auto"/>
      </w:pPr>
      <w:r>
        <w:rPr>
          <w:rFonts w:ascii="Times New Roman" w:hAnsi="Times New Roman"/>
          <w:sz w:val="21"/>
        </w:rPr>
        <w:t xml:space="preserve">Figure 2: Algorithmic performance benchmarks comparing duplicate check latency, Dinic min-cut isolation speed, multi-pattern string scan, and vertex cover approximation. </w:t>
      </w:r>
    </w:p>
    <w:p w14:paraId="64FD1F88">
      <w:pPr>
        <w:spacing w:after="60" w:line="276" w:lineRule="auto"/>
      </w:pPr>
      <w:r>
        <w:rPr>
          <w:rFonts w:ascii="Times New Roman" w:hAnsi="Times New Roman"/>
          <w:sz w:val="21"/>
        </w:rPr>
        <w:t xml:space="preserve">Figure 3: Fraud detection analytics showing class-wise distribution, fraud score density with cutoff threshold, weekly attendance trend, and classification confusion matrix. </w:t>
      </w:r>
    </w:p>
    <w:p w14:paraId="554BC242">
      <w:pPr>
        <w:spacing w:before="200" w:after="120"/>
      </w:pPr>
      <w:r>
        <w:rPr>
          <w:rFonts w:ascii="Times New Roman" w:hAnsi="Times New Roman"/>
          <w:b/>
          <w:sz w:val="28"/>
        </w:rPr>
        <w:t>List of Tables</w:t>
      </w:r>
    </w:p>
    <w:p w14:paraId="4442E6D0">
      <w:pPr>
        <w:spacing w:after="60" w:line="276" w:lineRule="auto"/>
      </w:pPr>
      <w:r>
        <w:rPr>
          <w:rFonts w:ascii="Times New Roman" w:hAnsi="Times New Roman"/>
          <w:sz w:val="21"/>
        </w:rPr>
        <w:t xml:space="preserve">Table 1: Comparison of Model 1, Model 2, Model 3 and Proposed Integrated Platform. </w:t>
      </w:r>
    </w:p>
    <w:p w14:paraId="3EC4BB96">
      <w:pPr>
        <w:spacing w:after="60" w:line="276" w:lineRule="auto"/>
      </w:pPr>
      <w:r>
        <w:rPr>
          <w:rFonts w:ascii="Times New Roman" w:hAnsi="Times New Roman"/>
          <w:sz w:val="21"/>
        </w:rPr>
        <w:t xml:space="preserve">Table 2: Confusion matrix classification report of Model 3, or our best Model. </w:t>
      </w:r>
    </w:p>
    <w:p w14:paraId="7F7354B3">
      <w:pPr>
        <w:spacing w:after="60" w:line="276" w:lineRule="auto"/>
      </w:pPr>
      <w:r>
        <w:rPr>
          <w:rFonts w:ascii="Times New Roman" w:hAnsi="Times New Roman"/>
          <w:sz w:val="21"/>
        </w:rPr>
        <w:t xml:space="preserve">Table 3: Theoretical Complexity and Empirical Execution Benchmarks of Hand-Built DSA Components. </w:t>
      </w:r>
    </w:p>
    <w:p w14:paraId="1C680C88">
      <w:pPr>
        <w:spacing w:after="60" w:line="276" w:lineRule="auto"/>
      </w:pPr>
      <w:r>
        <w:rPr>
          <w:rFonts w:ascii="Times New Roman" w:hAnsi="Times New Roman"/>
          <w:sz w:val="21"/>
        </w:rPr>
        <w:t xml:space="preserve">Table 4: Faculty Portal Real-Time Dashboard View and Student Anomaly Classification Log (Prototype Mock Data). </w:t>
      </w:r>
    </w:p>
    <w:p w14:paraId="60504112">
      <w:pPr>
        <w:spacing w:before="200" w:after="120"/>
      </w:pPr>
      <w:r>
        <w:rPr>
          <w:rFonts w:ascii="Times New Roman" w:hAnsi="Times New Roman"/>
          <w:b/>
          <w:sz w:val="28"/>
        </w:rPr>
        <w:t>Table of Contents</w:t>
      </w:r>
    </w:p>
    <w:p w14:paraId="01A64CEA">
      <w:pPr>
        <w:spacing w:after="50"/>
      </w:pPr>
      <w:r>
        <w:rPr>
          <w:rFonts w:ascii="Times New Roman" w:hAnsi="Times New Roman"/>
          <w:sz w:val="20"/>
        </w:rPr>
        <w:t>1. Introduction</w:t>
      </w:r>
    </w:p>
    <w:p w14:paraId="523DD384">
      <w:pPr>
        <w:spacing w:after="50"/>
      </w:pPr>
      <w:r>
        <w:rPr>
          <w:rFonts w:ascii="Times New Roman" w:hAnsi="Times New Roman"/>
          <w:sz w:val="20"/>
        </w:rPr>
        <w:t xml:space="preserve">   1.1 Traditional Attendance Dilemmas in Higher Education</w:t>
      </w:r>
    </w:p>
    <w:p w14:paraId="554AADC1">
      <w:pPr>
        <w:spacing w:after="50"/>
      </w:pPr>
      <w:r>
        <w:rPr>
          <w:rFonts w:ascii="Times New Roman" w:hAnsi="Times New Roman"/>
          <w:sz w:val="20"/>
        </w:rPr>
        <w:t xml:space="preserve">   1.2 Vulnerabilities: Proxy Attendance, Retries, and Subnet Exploits</w:t>
      </w:r>
    </w:p>
    <w:p w14:paraId="60E18EAC">
      <w:pPr>
        <w:spacing w:after="50"/>
      </w:pPr>
      <w:r>
        <w:rPr>
          <w:rFonts w:ascii="Times New Roman" w:hAnsi="Times New Roman"/>
          <w:sz w:val="20"/>
        </w:rPr>
        <w:t xml:space="preserve">   1.3 Concurrency Saturation and Runtime Library Bottlenecks</w:t>
      </w:r>
    </w:p>
    <w:p w14:paraId="584F8E5A">
      <w:pPr>
        <w:spacing w:after="50"/>
      </w:pPr>
      <w:r>
        <w:rPr>
          <w:rFonts w:ascii="Times New Roman" w:hAnsi="Times New Roman"/>
          <w:sz w:val="20"/>
        </w:rPr>
        <w:t xml:space="preserve">   1.4 Core Algorithmic Contributions and Non-Library Design</w:t>
      </w:r>
    </w:p>
    <w:p w14:paraId="4DAFA89A">
      <w:pPr>
        <w:spacing w:after="50"/>
      </w:pPr>
      <w:r>
        <w:rPr>
          <w:rFonts w:ascii="Times New Roman" w:hAnsi="Times New Roman"/>
          <w:sz w:val="20"/>
        </w:rPr>
        <w:t>2. Methodology</w:t>
      </w:r>
    </w:p>
    <w:p w14:paraId="32E48964">
      <w:pPr>
        <w:spacing w:after="50"/>
      </w:pPr>
      <w:r>
        <w:rPr>
          <w:rFonts w:ascii="Times New Roman" w:hAnsi="Times New Roman"/>
          <w:sz w:val="20"/>
        </w:rPr>
        <w:t xml:space="preserve">   Selecting a Template (Heading 2)</w:t>
      </w:r>
    </w:p>
    <w:p w14:paraId="75E671B3">
      <w:pPr>
        <w:spacing w:after="50"/>
      </w:pPr>
      <w:r>
        <w:rPr>
          <w:rFonts w:ascii="Times New Roman" w:hAnsi="Times New Roman"/>
          <w:sz w:val="20"/>
        </w:rPr>
        <w:t xml:space="preserve">   2.1 System Architecture and Data Ingestion Pipeline</w:t>
      </w:r>
    </w:p>
    <w:p w14:paraId="29BA4C64">
      <w:pPr>
        <w:spacing w:after="50"/>
      </w:pPr>
      <w:r>
        <w:rPr>
          <w:rFonts w:ascii="Times New Roman" w:hAnsi="Times New Roman"/>
          <w:sz w:val="20"/>
        </w:rPr>
        <w:t xml:space="preserve">   2.2 Hand-Built Data Structures (Zero java.util.* Collections)</w:t>
      </w:r>
    </w:p>
    <w:p w14:paraId="5A6D396F">
      <w:pPr>
        <w:spacing w:after="50"/>
      </w:pPr>
      <w:r>
        <w:rPr>
          <w:rFonts w:ascii="Times New Roman" w:hAnsi="Times New Roman"/>
          <w:sz w:val="20"/>
        </w:rPr>
        <w:t xml:space="preserve">   2.3 Deterministic Duplicate Detection via Rabin-Karp &amp; Miller-Rabin</w:t>
      </w:r>
    </w:p>
    <w:p w14:paraId="77C01345">
      <w:pPr>
        <w:spacing w:after="50"/>
      </w:pPr>
      <w:r>
        <w:rPr>
          <w:rFonts w:ascii="Times New Roman" w:hAnsi="Times New Roman"/>
          <w:sz w:val="20"/>
        </w:rPr>
        <w:t xml:space="preserve">   2.4 Multi-Pattern Subnet &amp; Header Scanning via KMP &amp; Aho-Corasick</w:t>
      </w:r>
    </w:p>
    <w:p w14:paraId="2C46BF97">
      <w:pPr>
        <w:spacing w:after="50"/>
      </w:pPr>
      <w:r>
        <w:rPr>
          <w:rFonts w:ascii="Times New Roman" w:hAnsi="Times New Roman"/>
          <w:sz w:val="20"/>
        </w:rPr>
        <w:t xml:space="preserve">   2.5 Shared Subnet &amp; Device Clustering via Suffix Array &amp; Kasai's LCP</w:t>
      </w:r>
    </w:p>
    <w:p w14:paraId="64FC7EAE">
      <w:pPr>
        <w:spacing w:after="50"/>
      </w:pPr>
      <w:r>
        <w:rPr>
          <w:rFonts w:ascii="Times New Roman" w:hAnsi="Times New Roman"/>
          <w:sz w:val="20"/>
        </w:rPr>
        <w:t xml:space="preserve">   2.6 Anomaly Detection via Wagner-Fischer DP &amp; Sequence Alignment</w:t>
      </w:r>
    </w:p>
    <w:p w14:paraId="34068CD1">
      <w:pPr>
        <w:spacing w:after="50"/>
      </w:pPr>
      <w:r>
        <w:rPr>
          <w:rFonts w:ascii="Times New Roman" w:hAnsi="Times New Roman"/>
          <w:sz w:val="20"/>
        </w:rPr>
        <w:t xml:space="preserve">   2.7 Proxy Cartel Isolation via Dinic's Maximum Flow / Minimum Cut</w:t>
      </w:r>
    </w:p>
    <w:p w14:paraId="032C7D30">
      <w:pPr>
        <w:spacing w:after="50"/>
      </w:pPr>
      <w:r>
        <w:rPr>
          <w:rFonts w:ascii="Times New Roman" w:hAnsi="Times New Roman"/>
          <w:sz w:val="20"/>
        </w:rPr>
        <w:t xml:space="preserve">   2.8 Faculty Audit Optimization via Vertex Cover 2-Approximation</w:t>
      </w:r>
    </w:p>
    <w:p w14:paraId="31A02B64">
      <w:pPr>
        <w:spacing w:after="50"/>
      </w:pPr>
      <w:r>
        <w:rPr>
          <w:rFonts w:ascii="Times New Roman" w:hAnsi="Times New Roman"/>
          <w:sz w:val="20"/>
        </w:rPr>
        <w:t xml:space="preserve">   2.9 Multi-Factor Composite Fraud Scoring Engine</w:t>
      </w:r>
    </w:p>
    <w:p w14:paraId="4A98D04E">
      <w:pPr>
        <w:spacing w:after="50"/>
      </w:pPr>
      <w:r>
        <w:rPr>
          <w:rFonts w:ascii="Times New Roman" w:hAnsi="Times New Roman"/>
          <w:sz w:val="20"/>
        </w:rPr>
        <w:t>3. Experiments</w:t>
      </w:r>
    </w:p>
    <w:p w14:paraId="7F93E079">
      <w:pPr>
        <w:spacing w:after="50"/>
      </w:pPr>
      <w:r>
        <w:rPr>
          <w:rFonts w:ascii="Times New Roman" w:hAnsi="Times New Roman"/>
          <w:sz w:val="20"/>
        </w:rPr>
        <w:t xml:space="preserve">   3.1 Experimental Testbed Setup and Canonical Attendance Dataset</w:t>
      </w:r>
    </w:p>
    <w:p w14:paraId="693EAB6F">
      <w:pPr>
        <w:spacing w:after="50"/>
      </w:pPr>
      <w:r>
        <w:rPr>
          <w:rFonts w:ascii="Times New Roman" w:hAnsi="Times New Roman"/>
          <w:sz w:val="20"/>
        </w:rPr>
        <w:t xml:space="preserve">   3.2 Evaluation across Five Canonical Test Scenarios</w:t>
      </w:r>
    </w:p>
    <w:p w14:paraId="58443543">
      <w:pPr>
        <w:spacing w:after="50"/>
      </w:pPr>
      <w:r>
        <w:rPr>
          <w:rFonts w:ascii="Times New Roman" w:hAnsi="Times New Roman"/>
          <w:sz w:val="20"/>
        </w:rPr>
        <w:t xml:space="preserve">   3.3 Scalability, Collision Resistance, and Queue Stress Testing</w:t>
      </w:r>
    </w:p>
    <w:p w14:paraId="022B14A8">
      <w:pPr>
        <w:spacing w:after="50"/>
      </w:pPr>
      <w:r>
        <w:rPr>
          <w:rFonts w:ascii="Times New Roman" w:hAnsi="Times New Roman"/>
          <w:sz w:val="20"/>
        </w:rPr>
        <w:t>4. Results</w:t>
      </w:r>
    </w:p>
    <w:p w14:paraId="1D640259">
      <w:pPr>
        <w:spacing w:after="50"/>
      </w:pPr>
      <w:r>
        <w:rPr>
          <w:rFonts w:ascii="Times New Roman" w:hAnsi="Times New Roman"/>
          <w:sz w:val="20"/>
        </w:rPr>
        <w:t xml:space="preserve">   4.1 Model Performance Comparison (Table 1)</w:t>
      </w:r>
    </w:p>
    <w:p w14:paraId="41EB5CA5">
      <w:pPr>
        <w:spacing w:after="50"/>
      </w:pPr>
      <w:r>
        <w:rPr>
          <w:rFonts w:ascii="Times New Roman" w:hAnsi="Times New Roman"/>
          <w:sz w:val="20"/>
        </w:rPr>
        <w:t xml:space="preserve">   4.2 Confusion Matrix Classification Report (Table 2)</w:t>
      </w:r>
    </w:p>
    <w:p w14:paraId="34439D48">
      <w:pPr>
        <w:spacing w:after="50"/>
      </w:pPr>
      <w:r>
        <w:rPr>
          <w:rFonts w:ascii="Times New Roman" w:hAnsi="Times New Roman"/>
          <w:sz w:val="20"/>
        </w:rPr>
        <w:t xml:space="preserve">   4.3 Algorithmic Execution Benchmarks (Table 3)</w:t>
      </w:r>
    </w:p>
    <w:p w14:paraId="51987091">
      <w:pPr>
        <w:spacing w:after="50"/>
      </w:pPr>
      <w:r>
        <w:rPr>
          <w:rFonts w:ascii="Times New Roman" w:hAnsi="Times New Roman"/>
          <w:sz w:val="20"/>
        </w:rPr>
        <w:t xml:space="preserve">   4.4 Faculty Dashboard Portal Evaluation (Table 4)</w:t>
      </w:r>
    </w:p>
    <w:p w14:paraId="4FFA65E7">
      <w:pPr>
        <w:spacing w:after="50"/>
      </w:pPr>
      <w:r>
        <w:rPr>
          <w:rFonts w:ascii="Times New Roman" w:hAnsi="Times New Roman"/>
          <w:sz w:val="20"/>
        </w:rPr>
        <w:t>5. Conclusion and Future Work</w:t>
      </w:r>
    </w:p>
    <w:p w14:paraId="4EB9CE8A">
      <w:pPr>
        <w:spacing w:after="50"/>
      </w:pPr>
      <w:r>
        <w:rPr>
          <w:rFonts w:ascii="Times New Roman" w:hAnsi="Times New Roman"/>
          <w:sz w:val="20"/>
        </w:rPr>
        <w:t>6. References</w:t>
      </w:r>
    </w:p>
    <w:p w14:paraId="070EA7CC">
      <w:r>
        <w:br w:type="page"/>
      </w:r>
    </w:p>
    <w:p w14:paraId="4342A650">
      <w:pPr>
        <w:spacing w:before="120" w:after="240"/>
        <w:jc w:val="center"/>
      </w:pPr>
      <w:r>
        <w:rPr>
          <w:rFonts w:ascii="Times New Roman" w:hAnsi="Times New Roman"/>
          <w:b/>
          <w:sz w:val="48"/>
        </w:rPr>
        <w:t>INTELLIGENT ATTENDANCE ANALYTICS PLATFORM WITH FRAUD DETECTION</w:t>
      </w:r>
    </w:p>
    <w:p w14:paraId="30730CA4">
      <w:r>
        <w:rPr>
          <w:rFonts w:ascii="Times New Roman" w:hAnsi="Times New Roman"/>
          <w:i/>
          <w:sz w:val="20"/>
        </w:rPr>
        <w:t>Note: Maintain Document format as it is in terms of font size and font theme.</w:t>
      </w:r>
      <w:r>
        <w:rPr>
          <w:rFonts w:ascii="Times New Roman" w:hAnsi="Times New Roman"/>
          <w:i/>
          <w:sz w:val="20"/>
        </w:rPr>
        <w:br w:type="textWrapping"/>
      </w:r>
    </w:p>
    <w:p w14:paraId="53006BA1">
      <w:pPr>
        <w:pStyle w:val="2"/>
        <w:spacing w:before="200" w:after="160"/>
      </w:pPr>
      <w:r>
        <w:t>Introduction</w:t>
      </w:r>
    </w:p>
    <w:p w14:paraId="1D481707">
      <w:pPr>
        <w:spacing w:before="0" w:after="160" w:line="276" w:lineRule="auto"/>
        <w:jc w:val="left"/>
      </w:pPr>
      <w:r>
        <w:rPr>
          <w:rFonts w:ascii="Times New Roman" w:hAnsi="Times New Roman"/>
          <w:b w:val="0"/>
          <w:i w:val="0"/>
          <w:sz w:val="22"/>
        </w:rPr>
        <w:t>In higher education ecosystems, maintaining accurate, verifiable, and tamper-proof student attendance records is essential for fostering academic discipline, evaluating pedagogical efficacy, determining course examination eligibility, and complying with statutory institutional accreditation guidelines. Historically, higher educational institutions have relied on physical attendance registers where faculty members manually call roll or pass a physical sign-in sheet across lecture halls. While straightforward, manual methods consume significant instructional time (frequently 10 to 15 minutes of a 50-minute lecture), are highly susceptible to signature forgery, and lack centralized real-time synchronization. In response to these operational deficiencies, academic campuses have progressively adopted automated check-in technologies including optical Radio-Frequency Identification (RFID) tap cards, optical fingerprint scanners, facial recognition kiosks, and web or mobile-based student attendance portals.</w:t>
      </w:r>
    </w:p>
    <w:p w14:paraId="38563A89">
      <w:pPr>
        <w:spacing w:before="0" w:after="160" w:line="276" w:lineRule="auto"/>
        <w:jc w:val="left"/>
      </w:pPr>
      <w:r>
        <w:rPr>
          <w:rFonts w:ascii="Times New Roman" w:hAnsi="Times New Roman"/>
          <w:b w:val="0"/>
          <w:i w:val="0"/>
          <w:sz w:val="22"/>
        </w:rPr>
        <w:t>Despite technological modernization, existing automated attendance systems operate almost universally in a passive storage paradigm. Traditional platforms treat attendance recording as an isolated data ingestion transaction: the client application captures a student identification token, transmits it across the local network, and appends a raw record into a relational database table without verifying the physical, spatial, or contextual authenticity of the submission. This fundamental design flaw creates extensive attack vectors for attendance manipulation. The most pervasive vulnerability is proxy attendance ("buddy punching"), wherein an attending student enters authentication credentials, one-time passwords (OTPs), or scanned QR codes on behalf of one or more absent peers. With the ubiquitous availability of mobile Wi-Fi tethering, portable 5G hotspots, and virtual private network (VPN) tunneling, students can effortlessly route fraudulent check-in requests through identical or neighboring IP addresses within fractions of a second, completely evading simplistic threshold filters.</w:t>
      </w:r>
    </w:p>
    <w:p w14:paraId="2D4E0448">
      <w:pPr>
        <w:spacing w:before="0" w:after="160" w:line="276" w:lineRule="auto"/>
        <w:jc w:val="left"/>
      </w:pPr>
      <w:r>
        <w:rPr>
          <w:rFonts w:ascii="Times New Roman" w:hAnsi="Times New Roman"/>
          <w:b w:val="0"/>
          <w:i w:val="0"/>
          <w:sz w:val="22"/>
        </w:rPr>
        <w:t>A secondary operational challenge arises from duplicate submissions generated by unstable campus Wi-Fi infrastructure, aggressive client retry logic, and concurrent multi-tab browser sessions. When hundreds of students authenticate within the same two-minute bell schedule window, conventional relational databases experience intense lock contention on primary key indexes and transaction write-ahead logs. Furthermore, standard software backends relying on generic runtime collections (such as java.util.HashMap, java.util.ArrayList, or java.util.LinkedList) introduce substantial memory overhead due to object boxing/unboxing, pointer indirection, and unpredictable Stop-the-World garbage collection pauses. When faculty members subsequently attempt to identify anomalous attendance records after instructional hours, they are forced to perform manual, retroactive spreadsheet audits or execute heavy SQL queries involving expensive table scans and nested joins, resulting in unacceptable diagnostic latency and missed interventions.</w:t>
      </w:r>
    </w:p>
    <w:p w14:paraId="0DF318AA">
      <w:pPr>
        <w:spacing w:before="0" w:after="160" w:line="276" w:lineRule="auto"/>
        <w:jc w:val="left"/>
      </w:pPr>
      <w:r>
        <w:rPr>
          <w:rFonts w:ascii="Times New Roman" w:hAnsi="Times New Roman"/>
          <w:b w:val="0"/>
          <w:i w:val="0"/>
          <w:sz w:val="22"/>
        </w:rPr>
        <w:t>To resolve these systemic shortcomings, an attendance platform must evolve from a passive ledger into an active algorithmic fraud detection engine capable of real-time spatial, temporal, and structural verification. Rather than merely storing timestamps and student identifiers, the backend must actively interrogate incoming telemetry—including origin IP subnets, device user-agent headers, check-in velocity, and cross-student temporal correlation—at the precise millisecond of submission. Furthermore, to sustain extreme throughput and bounded sub-millisecond latency on commodity campus server hardware, the underlying computational engine must be built upon rigorous, custom-engineered Data Structures and Algorithms that bypass heavyweight runtime library overhead.</w:t>
      </w:r>
    </w:p>
    <w:p w14:paraId="744349DF">
      <w:pPr>
        <w:spacing w:before="0" w:after="280" w:line="276" w:lineRule="auto"/>
        <w:jc w:val="left"/>
      </w:pPr>
      <w:r>
        <w:rPr>
          <w:rFonts w:ascii="Times New Roman" w:hAnsi="Times New Roman"/>
          <w:b w:val="0"/>
          <w:i w:val="0"/>
          <w:sz w:val="22"/>
        </w:rPr>
        <w:t>In this Project Based Learning endeavor conducted for course 25CS2103E (Data Structures and Algorithms - 3), we present the Intelligent Attendance Analytics Platform with Fraud Detection. Engineered by a four-member development team under faculty mentorship, the platform synthesizes advanced string matching algorithms, rolling polynomial hashing, dynamic programming string alignment, network maximum flow / minimum cut graph theory, and combinatorial approximation algorithms. All core computational modules are developed in pure Core Java without importing java.util.* collections, establishing a fully deterministic, high-throughput analytics engine. The platform not only rejects duplicate check-ins in O(1) expected time and exposes proxy cartels via min-cut graph partitioning, but also computes a normalized composite fraud risk score (0% to 100%) and publishes live alerts directly to an intuitive faculty dashboard, eliminating manual verification overhead entirely.</w:t>
      </w:r>
    </w:p>
    <w:p w14:paraId="6CB66828">
      <w:pPr>
        <w:pStyle w:val="2"/>
        <w:spacing w:before="240" w:after="160"/>
      </w:pPr>
      <w:r>
        <w:t>METHODOLOGY</w:t>
      </w:r>
    </w:p>
    <w:p w14:paraId="5B06EB31">
      <w:pPr>
        <w:pStyle w:val="3"/>
        <w:spacing w:before="160" w:after="120"/>
      </w:pPr>
      <w:r>
        <w:t>Selecting a Template (Heading 2)</w:t>
      </w:r>
    </w:p>
    <w:p w14:paraId="28B1CA47">
      <w:pPr>
        <w:spacing w:before="0" w:after="160" w:line="276" w:lineRule="auto"/>
        <w:jc w:val="left"/>
      </w:pPr>
      <w:r>
        <w:rPr>
          <w:rFonts w:ascii="Times New Roman" w:hAnsi="Times New Roman"/>
          <w:b w:val="0"/>
          <w:i w:val="0"/>
          <w:sz w:val="22"/>
        </w:rPr>
        <w:t>The diverse fraud patterns of college attendance—such as single-origin proxy cartels, rapid duplicate retries, and spoofed device signatures—cannot be accurately categorized using simple and straightforward threshold filters or standard database queries. To facilitate the categorization of fine-grained classification, we are therefore attempting to select certain early, intermediate, and advanced algorithmic traits as well. A benchmark data set for student attendance logs is used to evaluate the detection pipeline trained and executed using alternating sequential, dynamic programming, and network flow phases. As can be seen in Figure 1, the classification approach in this work has dealt with three distinct models (Model 1: Hash-Based Duplicate Filter, Model 2: String &amp; Dynamic Programming Anomaly Detector, and Model 3: Proposed Integrated Flow and Approximation Engine). In order to build the proposed classification model, hand-built Core Java algorithms (with zero java.util.* collections) are utilized. There is an ingestion layer, a FIFO buffer queue layer, a multi-algorithmic analysis layer, and a faculty output layer, as well as hidden algorithmic layers (transitional model) 2.2. Each of the six hidden algorithmic components here consists of Rabin-Karp Rolling Hash, Miller-Rabin Primality, KMP / Aho-Corasick Automaton, Suffix Array + LCP, Wagner-Fischer / Needleman-Wunsch DP, and Dinic Max-Flow / Min-Cut layers, making up the transitional model 2.2. When there are too many slow database locks, the system throughput declines because disk I/O bottlenecks emerge, and deep queries can't keep pace with morning rush traffic.</w:t>
      </w:r>
    </w:p>
    <w:p w14:paraId="0E137F71">
      <w:pPr>
        <w:spacing w:before="120" w:after="80"/>
        <w:jc w:val="center"/>
      </w:pPr>
      <w:r>
        <w:drawing>
          <wp:inline distT="0" distB="0" distL="114300" distR="114300">
            <wp:extent cx="5669280" cy="3093085"/>
            <wp:effectExtent l="0" t="0" r="762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669280" cy="3093561"/>
                    </a:xfrm>
                    <a:prstGeom prst="rect">
                      <a:avLst/>
                    </a:prstGeom>
                  </pic:spPr>
                </pic:pic>
              </a:graphicData>
            </a:graphic>
          </wp:inline>
        </w:drawing>
      </w:r>
    </w:p>
    <w:p w14:paraId="7D3C7735">
      <w:pPr>
        <w:spacing w:after="200"/>
        <w:jc w:val="center"/>
      </w:pPr>
      <w:r>
        <w:rPr>
          <w:rFonts w:ascii="Times New Roman" w:hAnsi="Times New Roman"/>
          <w:b/>
          <w:sz w:val="20"/>
        </w:rPr>
        <w:t>FIGURE 1: The architecture of the proposed attendance analytics and fraud detection pipeline consists of check-in ingestion, custom queue buffering, hand-built fraud engine, and faculty dashboard.</w:t>
      </w:r>
    </w:p>
    <w:p w14:paraId="4873EB8A">
      <w:pPr>
        <w:spacing w:before="0" w:after="160" w:line="276" w:lineRule="auto"/>
        <w:jc w:val="left"/>
      </w:pPr>
      <w:r>
        <w:rPr>
          <w:rFonts w:ascii="Times New Roman" w:hAnsi="Times New Roman"/>
          <w:b w:val="0"/>
          <w:i w:val="0"/>
          <w:sz w:val="22"/>
        </w:rPr>
        <w:t>Hand-Built Custom Data Structures (Zero java.util.* Collections): A core novelty and foundational design choice of the platform is the complete exclusion of Java runtime collection frameworks (java.util.HashMap, java.util.ArrayList, java.util.PriorityQueue, etc.). While convenient, standard library collections introduce unpredictable memory allocations, pointer indirection, autoboxing overhead, and garbage collection pauses that degrade real-time performance during burst check-in spikes. To achieve optimal performance, we implemented custom low-level data structures from scratch: (a) a primitive array-backed Resizable Array with amortized O(1) appending and automated capacity doubling; (b) a fixed-size Circular Ring Buffer Queue for thread-safe FIFO log ingestion without memory reallocation; (c) a custom Closed-Addressing Hash Table with linked collision resolution tailored for 64-bit integer keys; and (d) a Forward-Star Adjacency Array representing directed flow networks with zero object instantiation overhead per edge.</w:t>
      </w:r>
    </w:p>
    <w:p w14:paraId="5E7394C3">
      <w:pPr>
        <w:spacing w:before="0" w:after="120" w:line="276" w:lineRule="auto"/>
        <w:jc w:val="left"/>
      </w:pPr>
      <w:r>
        <w:rPr>
          <w:rFonts w:ascii="Times New Roman" w:hAnsi="Times New Roman"/>
          <w:b w:val="0"/>
          <w:i w:val="0"/>
          <w:sz w:val="22"/>
        </w:rPr>
        <w:t>Deterministic Duplicate Checking via Rabin-Karp &amp; Miller-Rabin Primality: When an attendance check-in request arrives, the engine must instantaneously determine whether the student has already submitted a record for the active session. Rather than executing a slow database SELECT query or naive string equality scan, each check-in tuple—comprising studentId, lectureSessionId, deviceIdentifier, and timestampWindow—is fingerprinted into a 64-bit composite rolling hash. To ensure near-zero collision probability across millions of check-in events, the engine implements double rolling hashing:</w:t>
      </w:r>
    </w:p>
    <w:p w14:paraId="1F573CB3">
      <w:pPr>
        <w:spacing w:before="0" w:after="120" w:line="276" w:lineRule="auto"/>
        <w:jc w:val="center"/>
      </w:pPr>
      <w:r>
        <w:rPr>
          <w:rFonts w:ascii="Times New Roman" w:hAnsi="Times New Roman"/>
          <w:b w:val="0"/>
          <w:i/>
          <w:sz w:val="21"/>
        </w:rPr>
        <w:t>H₁(S) = (∑_{i=0}^{k-1} S[i] · B₁^{k-1-i}) mod M₁,       H₂(S) = (∑_{i=0}^{k-1} S[i] · B₂^{k-1-i}) mod M₂</w:t>
      </w:r>
    </w:p>
    <w:p w14:paraId="085E96C8">
      <w:pPr>
        <w:spacing w:before="0" w:after="160" w:line="276" w:lineRule="auto"/>
        <w:jc w:val="left"/>
      </w:pPr>
      <w:r>
        <w:rPr>
          <w:rFonts w:ascii="Times New Roman" w:hAnsi="Times New Roman"/>
          <w:b w:val="0"/>
          <w:i w:val="0"/>
          <w:sz w:val="22"/>
        </w:rPr>
        <w:t>where B₁ = 257 and B₂ = 263 represent distinct coprime polynomial bases. To guarantee robust mathematical security against adversarial hash collisions, the large moduli M₁ and M₂ are dynamically selected using the Miller-Rabin probabilistic primality test algorithm with 50 independent rounds of witness testing, ensuring a false prime error probability strictly less than 4⁻⁵⁰ (&lt; 10⁻³⁰). The resulting composite hash key H(S) = (H₁ &lt;&lt; 32) | H₂ indexes into our custom hash table in O(1) expected lookup time. If an identical hash signature is encountered within the same class session, the incoming check-in is instantly flagged as a duplicate retry or replay attempt and blocked before persistent database writes.</w:t>
      </w:r>
    </w:p>
    <w:p w14:paraId="3CAFACA3">
      <w:pPr>
        <w:spacing w:before="0" w:after="160" w:line="276" w:lineRule="auto"/>
        <w:jc w:val="left"/>
      </w:pPr>
      <w:r>
        <w:rPr>
          <w:rFonts w:ascii="Times New Roman" w:hAnsi="Times New Roman"/>
          <w:b w:val="0"/>
          <w:i w:val="0"/>
          <w:sz w:val="22"/>
        </w:rPr>
        <w:t>Multi-Pattern Header &amp; Subnet Scanning via KMP and Aho-Corasick: To detect requests arriving from unauthorized campus subnets, known commercial proxy/VPN IP ranges, or spoofed browser user-agents, the engine scans incoming telemetry text against hundreds of blacklisted signatures simultaneously. A sequential scan using Knuth-Morris-Pratt (KMP) requires O(k · (n + m)) for k target patterns. To achieve high scalability, our engine constructs a hand-built Aho-Corasick trie automaton equipped with character transition links, dictionary failure pointers, and output match sets. Incoming log strings of length n are streamed through the finite state automaton in a single deterministic pass requiring exactly O(n + m + z) time, where m is the cumulative pattern length and z is the total count of pattern occurrences. Matches against blacklisted VPN networks trigger immediate risk score escalation.</w:t>
      </w:r>
    </w:p>
    <w:p w14:paraId="4B943879">
      <w:pPr>
        <w:spacing w:before="0" w:after="160" w:line="276" w:lineRule="auto"/>
        <w:jc w:val="left"/>
      </w:pPr>
      <w:r>
        <w:rPr>
          <w:rFonts w:ascii="Times New Roman" w:hAnsi="Times New Roman"/>
          <w:b w:val="0"/>
          <w:i w:val="0"/>
          <w:sz w:val="22"/>
        </w:rPr>
        <w:t>Shared Subnet &amp; Device Clustering via Suffix Array &amp; Kasai's LCP: In large academic halls, fraudulent students frequently connect multiple devices through a single personal Wi-Fi hotspot, generating consecutive attendance submissions with identical IP prefixes and device headers. To detect these localized subnets, the engine compiles all incoming IP address strings into an integrated character buffer, constructs a Suffix Array using Manber-Myers prefix doubling in O(n log² n) time, and derives the Longest Common Prefix (LCP) array in linear O(n) time using Kasai's algorithm. By evaluating adjacent suffix entries whose LCP exceeds threshold subnet masks (e.g., /24 or /28 subnets), the engine identifies shared network pools in real time without exhaustive pairwise string comparisons.</w:t>
      </w:r>
    </w:p>
    <w:p w14:paraId="73CAA4EE">
      <w:pPr>
        <w:spacing w:before="0" w:after="120" w:line="276" w:lineRule="auto"/>
        <w:jc w:val="left"/>
      </w:pPr>
      <w:r>
        <w:rPr>
          <w:rFonts w:ascii="Times New Roman" w:hAnsi="Times New Roman"/>
          <w:b w:val="0"/>
          <w:i w:val="0"/>
          <w:sz w:val="22"/>
        </w:rPr>
        <w:t>Discrepancy Detection via Wagner-Fischer Edit Distance &amp; Sequence Alignment DP: Student registration numbers submitted through mobile apps occasionally exhibit single-digit typographical errors, optical recognition faults, or intentional spoofing attempts designed to mask proxy submissions. To evaluate string similarity, we implement the Wagner-Fischer Dynamic Programming algorithm to calculate the Levenshtein distance D[i, j] between the submitted identifier S₁ and the official institutional roster entry S₂:</w:t>
      </w:r>
    </w:p>
    <w:p w14:paraId="6AADA2DE">
      <w:pPr>
        <w:spacing w:before="0" w:after="120" w:line="276" w:lineRule="auto"/>
        <w:jc w:val="center"/>
      </w:pPr>
      <w:r>
        <w:rPr>
          <w:rFonts w:ascii="Times New Roman" w:hAnsi="Times New Roman"/>
          <w:b w:val="0"/>
          <w:i/>
          <w:sz w:val="21"/>
        </w:rPr>
        <w:t>D[i, j] = min { D[i-1, j] + 1,   D[i, j-1] + 1,   D[i-1, j-1] + cost(S₁[i], S₂[j]) }</w:t>
      </w:r>
    </w:p>
    <w:p w14:paraId="6308A9E3">
      <w:pPr>
        <w:spacing w:before="0" w:after="160" w:line="276" w:lineRule="auto"/>
        <w:jc w:val="left"/>
      </w:pPr>
      <w:r>
        <w:rPr>
          <w:rFonts w:ascii="Times New Roman" w:hAnsi="Times New Roman"/>
          <w:b w:val="0"/>
          <w:i w:val="0"/>
          <w:sz w:val="22"/>
        </w:rPr>
        <w:t>Pairs exhibiting an edit distance of 1 or 2 are flagged for credential spoofing inspection. Additionally, to compare a student's check-in timeline across a multi-week semester, the engine executes the Needleman-Wunsch global sequence alignment algorithm over discretized temporal arrival vectors. Normal students demonstrate consistent arrival distributions matching cohort trends, whereas proxy recipients exhibit erratic, discontinuous check-in timestamps that deviate sharply from peer alignment profiles.</w:t>
      </w:r>
    </w:p>
    <w:p w14:paraId="6695DF6C">
      <w:pPr>
        <w:spacing w:before="0" w:after="120" w:line="276" w:lineRule="auto"/>
        <w:jc w:val="left"/>
      </w:pPr>
      <w:r>
        <w:rPr>
          <w:rFonts w:ascii="Times New Roman" w:hAnsi="Times New Roman"/>
          <w:b w:val="0"/>
          <w:i w:val="0"/>
          <w:sz w:val="22"/>
        </w:rPr>
        <w:t>Proxy Cartel Isolation via Dinic's Maximum Flow / Minimum Cut Algorithm: Coordinated proxy attendance typically involves one physically present student submitting attendance for 3 to 8 absent peers from a single smartphone or laptop within a narrow temporal window (&lt; 2 seconds). To detect and isolate these proxy cartels, the platform models active lecture check-ins as a directed flow network G = (V, E). Vertices represent individual student submissions, and directed edges are instantiated between student pairs (u, v) if they share identical IP subnets and their check-in timestamps satisfy |t_u - t_v| ≤ 2.0 seconds. Edge capacities are weighted by telemetry affinity: c(u, v) = 1.0 + α · (SubnetMatch) + β · (DeviceSignatureMatch).</w:t>
      </w:r>
    </w:p>
    <w:p w14:paraId="0B85765B">
      <w:pPr>
        <w:spacing w:before="0" w:after="160" w:line="276" w:lineRule="auto"/>
        <w:jc w:val="left"/>
      </w:pPr>
      <w:r>
        <w:rPr>
          <w:rFonts w:ascii="Times New Roman" w:hAnsi="Times New Roman"/>
          <w:b w:val="0"/>
          <w:i w:val="0"/>
          <w:sz w:val="22"/>
        </w:rPr>
        <w:t>To segment colluding student groups from the general student population, a super-source S is connected to suspicious ingress nodes and a super-sink T is connected to verified campus baseline nodes. The engine then executes Dinic's Maximum Flow algorithm. Dinic's algorithm repeatedly constructs a layered level graph using Breadth-First Search (BFS) in O(E) time and pushes blocking flows using Depth-First Search (DFS) with backward edge pruning in O(VE) time per phase, achieving an overall worst-case complexity of O(V²E) (and O(E √V) for unit networks). According to the Max-Flow Min-Cut Theorem, the maximum flow value equals the capacity of the minimum cut (S, T). The residual graph partition reachable from S defines the isolated proxy cartel, separating colluding clusters with mathematical precision.</w:t>
      </w:r>
    </w:p>
    <w:p w14:paraId="23AA6E70">
      <w:pPr>
        <w:spacing w:before="0" w:after="160" w:line="276" w:lineRule="auto"/>
        <w:jc w:val="left"/>
      </w:pPr>
      <w:r>
        <w:rPr>
          <w:rFonts w:ascii="Times New Roman" w:hAnsi="Times New Roman"/>
          <w:b w:val="0"/>
          <w:i w:val="0"/>
          <w:sz w:val="22"/>
        </w:rPr>
        <w:t>Faculty Audit Optimization via Vertex Cover 2-Approximation: Once the set of suspicious proxy pairs E_suspicious is isolated by the min-cut partition, presenting hundreds of pairwise edge comparisons to faculty members would create cognitive overload and defeat the objective of automation. Instead, faculty require the minimum set of student records V' ⊆ V such that every suspicious proxy interaction (u, v) ∈ E_suspicious has at least one endpoint in V' (i.e., a Minimum Vertex Cover). Because Minimum Vertex Cover is NP-hard, finding an exact solution for large classes is computationally intractable. We implement a greedy Maximal Matching 2-Approximation algorithm: the engine iteratively selects an arbitrary uncovered edge (u, v), adds both endpoints u and v to the audit set C, and removes all edges incident to u or v until no edges remain. Because any valid vertex cover must select at least one vertex from each edge in a maximal matching M, and our algorithm selects exactly 2|M| vertices, the size of the constructed audit set is mathematically guaranteed to satisfy |C| ≤ 2 · |C*|, providing a tight 2-approximation in linear O(V + E) time.</w:t>
      </w:r>
    </w:p>
    <w:p w14:paraId="45637C60">
      <w:pPr>
        <w:spacing w:before="0" w:after="120" w:line="276" w:lineRule="auto"/>
        <w:jc w:val="left"/>
      </w:pPr>
      <w:r>
        <w:rPr>
          <w:rFonts w:ascii="Times New Roman" w:hAnsi="Times New Roman"/>
          <w:b w:val="0"/>
          <w:i w:val="0"/>
          <w:sz w:val="22"/>
        </w:rPr>
        <w:t>Multi-Factor Composite Fraud Scoring Engine: To deliver clear, actionable telemetry to educators, the engine synthesizes all algorithmic outputs into a normalized composite fraud score (0% to 100%) for each incoming attendance log:</w:t>
      </w:r>
    </w:p>
    <w:p w14:paraId="24BC4CA0">
      <w:pPr>
        <w:spacing w:before="0" w:after="120" w:line="276" w:lineRule="auto"/>
        <w:jc w:val="center"/>
      </w:pPr>
      <w:r>
        <w:rPr>
          <w:rFonts w:ascii="Times New Roman" w:hAnsi="Times New Roman"/>
          <w:b w:val="0"/>
          <w:i/>
          <w:sz w:val="21"/>
        </w:rPr>
        <w:t>Fraud Score = min(100,  w_dup · S_dup + w_ip · S_ip + w_vel · S_vel + w_pat · S_pat + w_flow · S_flow)</w:t>
      </w:r>
    </w:p>
    <w:p w14:paraId="2A933EFC">
      <w:pPr>
        <w:spacing w:before="0" w:after="280" w:line="276" w:lineRule="auto"/>
        <w:jc w:val="left"/>
      </w:pPr>
      <w:r>
        <w:rPr>
          <w:rFonts w:ascii="Times New Roman" w:hAnsi="Times New Roman"/>
          <w:b w:val="0"/>
          <w:i w:val="0"/>
          <w:sz w:val="22"/>
        </w:rPr>
        <w:t>where calibrated weights are w_dup = 0.35, w_ip = 0.20, w_vel = 0.15, w_pat = 0.10, and w_flow = 0.20. Records scoring below 30% are verified as Genuine Attendance. Scores between 31% and 70% receive a Medium Risk flag (Under Observation), while scores exceeding 70% trigger an immediate High-Risk Faculty Alert (Proxy Alert Raised / Flagged for Review).</w:t>
      </w:r>
    </w:p>
    <w:p w14:paraId="1C2FEBD0">
      <w:pPr>
        <w:pStyle w:val="2"/>
        <w:spacing w:before="240" w:after="160"/>
      </w:pPr>
      <w:r>
        <w:t>EXPERIMENTS</w:t>
      </w:r>
    </w:p>
    <w:p w14:paraId="44B30E84">
      <w:pPr>
        <w:spacing w:before="0" w:after="120" w:line="276" w:lineRule="auto"/>
        <w:jc w:val="left"/>
      </w:pPr>
      <w:r>
        <w:rPr>
          <w:rFonts w:ascii="Times New Roman" w:hAnsi="Times New Roman"/>
          <w:b w:val="0"/>
          <w:i w:val="0"/>
          <w:sz w:val="22"/>
        </w:rPr>
        <w:t>The primary goal is to examine the attendance fraud types' fine-grained classification. Based on the similarities and operational signatures that Genuine Student Attendance (GEN), Duplicate Submissions (DUP), Subnet/IP Proxy Cartels (PRX), and Device/ID Anomalies (ANO) have, we considered these four classes. For the training, benchmark, and evaluation process, we have considered 8,820 attendance logs of GEN class, 540 logs of DUP class, 480 logs of PRX class, and 160 logs of ANO class, making up a comprehensive 10,000-log campus dataset modeled after 120 enrolled students over a 15-week academic semester. Genuine class logs were obtained from verified campus Wi-Fi access points during regular class hours. At the same time, proxy and duplicate data were synthesized to replicate real-world multi-accounting, cellular hotspot tethering, and browser retry bursts.</w:t>
      </w:r>
    </w:p>
    <w:p w14:paraId="26B9104A">
      <w:pPr>
        <w:spacing w:before="0" w:after="120" w:line="276" w:lineRule="auto"/>
        <w:jc w:val="left"/>
      </w:pPr>
      <w:r>
        <w:rPr>
          <w:rFonts w:ascii="Times New Roman" w:hAnsi="Times New Roman"/>
          <w:b w:val="0"/>
          <w:i w:val="0"/>
          <w:sz w:val="22"/>
        </w:rPr>
        <w:t>Validation across Standard Test Scenarios: The engine was evaluated across five canonical test scenarios reflecting real-world campus conditions (matching Slide 9 of the project presentation):</w:t>
      </w:r>
    </w:p>
    <w:p w14:paraId="05C774C6">
      <w:pPr>
        <w:spacing w:before="0" w:after="80" w:line="276" w:lineRule="auto"/>
        <w:jc w:val="left"/>
      </w:pPr>
      <w:r>
        <w:rPr>
          <w:rFonts w:ascii="Times New Roman" w:hAnsi="Times New Roman"/>
          <w:b w:val="0"/>
          <w:i w:val="0"/>
          <w:sz w:val="21"/>
        </w:rPr>
        <w:t>• Test Case 1 (Normal Attendance Check-in): A student submits a check-in with a valid matriculation ID (e.g., 2510030289) from an authentic campus access point IP during the scheduled lecture window. The engine computes a Rabin-Karp double rolling hash miss against previous session logs. The Aho-Corasick automaton confirms zero blacklist matches, and the student's temporal arrival aligns with historical cohort patterns via Needleman-Wunsch sequence alignment. The record is accepted immediately with a calculated fraud score of 0% (Low Risk). Target Algorithm: Rabin-Karp Hash Miss.</w:t>
      </w:r>
    </w:p>
    <w:p w14:paraId="783DC43A">
      <w:pPr>
        <w:spacing w:before="0" w:after="80" w:line="276" w:lineRule="auto"/>
        <w:jc w:val="left"/>
      </w:pPr>
      <w:r>
        <w:rPr>
          <w:rFonts w:ascii="Times New Roman" w:hAnsi="Times New Roman"/>
          <w:b w:val="0"/>
          <w:i w:val="0"/>
          <w:sz w:val="21"/>
        </w:rPr>
        <w:t>• Test Case 2 (Duplicate Submission Attempt): The same student ID submits a second check-in attempt 42 seconds after the initial submission due to a perceived network lag. The rolling hash signature matches the active session hash table entry. The Rabin-Karp verification triggers an instantaneous duplicate match in O(1) time. The duplicate entry is blocked immediately, preventing database pollution, and the client receives an informative acknowledgment. Target Algorithm: Rabin-Karp Hash Match.</w:t>
      </w:r>
    </w:p>
    <w:p w14:paraId="1E2D0076">
      <w:pPr>
        <w:spacing w:before="0" w:after="80" w:line="276" w:lineRule="auto"/>
        <w:jc w:val="left"/>
      </w:pPr>
      <w:r>
        <w:rPr>
          <w:rFonts w:ascii="Times New Roman" w:hAnsi="Times New Roman"/>
          <w:b w:val="0"/>
          <w:i w:val="0"/>
          <w:sz w:val="21"/>
        </w:rPr>
        <w:t>• Test Case 3 (Multi-Student Proxy Cartel): Five distinct student IDs submit check-in requests within a 1.2-second window originating from the identical private IP address (192.168.1.104) and matching mobile Safari browser signatures. Suffix Array LCP analysis flags the shared subnet block, and the network flow builder instantiates a dense 5-clique in the similarity graph. Dinic's algorithm computes the minimum cut in 0.48 ms, cleanly isolating the 5 colluding nodes. The composite fraud scoring engine assigns scores ranging from 85% to 92%, triggering a critical Proxy Alert on the faculty dashboard. Target Algorithm: Dinic Max-Flow / Min-Cut.</w:t>
      </w:r>
    </w:p>
    <w:p w14:paraId="352C6699">
      <w:pPr>
        <w:spacing w:before="0" w:after="80" w:line="276" w:lineRule="auto"/>
        <w:jc w:val="left"/>
      </w:pPr>
      <w:r>
        <w:rPr>
          <w:rFonts w:ascii="Times New Roman" w:hAnsi="Times New Roman"/>
          <w:b w:val="0"/>
          <w:i w:val="0"/>
          <w:sz w:val="21"/>
        </w:rPr>
        <w:t>• Test Case 4 (Spoofed Device and Remote Subnet Submission): A check-in request is received with roll number 2510030415 originating from a public commercial cellular subnet (e.g., 157.48.x.x) with an atypical Android user-agent header. The Aho-Corasick scanner detects an external network pattern, and the Wagner-Fischer edit distance algorithm identifies an anomalous device fingerprint mismatch. The engine assigns a composite fraud score of 90% (High Risk) and tags the record for faculty review under the action status 'Proxy Alert Raised'. Target Algorithm: Aho-Corasick + Edit Distance.</w:t>
      </w:r>
    </w:p>
    <w:p w14:paraId="4FE8F4C4">
      <w:pPr>
        <w:spacing w:before="0" w:after="120" w:line="276" w:lineRule="auto"/>
        <w:jc w:val="left"/>
      </w:pPr>
      <w:r>
        <w:rPr>
          <w:rFonts w:ascii="Times New Roman" w:hAnsi="Times New Roman"/>
          <w:b w:val="0"/>
          <w:i w:val="0"/>
          <w:sz w:val="21"/>
        </w:rPr>
        <w:t>• Test Case 5 (Longitudinal Regularity Verification): Historical attendance timelines across 24 lecture sessions were evaluated for student 2510030110. The Needleman-Wunsch alignment matrix confirmed that the student's arrival times exhibited natural human variance (mean variance ± 3.4 minutes) consistent with physical classroom arrival rather than programmatic proxy submission. The attendance was counted toward the semester aggregate. Target Algorithm: Needleman-Wunsch DP.</w:t>
      </w:r>
    </w:p>
    <w:p w14:paraId="22FD631C">
      <w:pPr>
        <w:spacing w:before="0" w:after="240" w:line="276" w:lineRule="auto"/>
        <w:jc w:val="left"/>
      </w:pPr>
      <w:r>
        <w:rPr>
          <w:rFonts w:ascii="Times New Roman" w:hAnsi="Times New Roman"/>
          <w:b w:val="0"/>
          <w:i/>
          <w:sz w:val="20"/>
        </w:rPr>
        <w:t>Keep your text and graphic files separate until after the text has been formatted and styled. Do not use hard tabs, and limit use of hard returns to only one return at the end of a paragraph. Do not add any kind of pagination anywhere in the paper. Do not number text heads-the template will do that for you.</w:t>
      </w:r>
    </w:p>
    <w:p w14:paraId="2A91CF07">
      <w:pPr>
        <w:pStyle w:val="2"/>
        <w:spacing w:before="240" w:after="160"/>
      </w:pPr>
      <w:r>
        <w:t>RESULTS</w:t>
      </w:r>
    </w:p>
    <w:p w14:paraId="01DFB2DF">
      <w:pPr>
        <w:spacing w:before="0" w:after="120" w:line="276" w:lineRule="auto"/>
        <w:jc w:val="left"/>
      </w:pPr>
      <w:r>
        <w:rPr>
          <w:rFonts w:ascii="Times New Roman" w:hAnsi="Times New Roman"/>
          <w:b w:val="0"/>
          <w:i w:val="0"/>
          <w:sz w:val="22"/>
        </w:rPr>
        <w:t>Further, we have compared the performance of Model 1 (Hash-Based Duplicate Filter), Model 2 (String &amp; Dynamic Programming Anomaly Detector), Model 3 (Proposed Integrated String, DP, Flow &amp; Approximation Engine), and Baseline Conventional System in terms of accuracy as depicted in Table 1. Table 1 shows that Model 3 performed better with an accuracy of 99.1% and proxy cartel isolation precision of 97.5%. The confusion matrix of Model 3, or our best Model, is shown in Table 2. From these results, it is clear that the accuracy and detection precision of our integrated engine significantly outperforms conventional approaches.</w:t>
      </w:r>
    </w:p>
    <w:tbl>
      <w:tblPr>
        <w:tblStyle w:val="12"/>
        <w:tblW w:w="0" w:type="auto"/>
        <w:jc w:val="center"/>
        <w:tblLayout w:type="fixed"/>
        <w:tblCellMar>
          <w:top w:w="0" w:type="dxa"/>
          <w:left w:w="108" w:type="dxa"/>
          <w:bottom w:w="0" w:type="dxa"/>
          <w:right w:w="108" w:type="dxa"/>
        </w:tblCellMar>
      </w:tblPr>
      <w:tblGrid>
        <w:gridCol w:w="2340"/>
        <w:gridCol w:w="2340"/>
        <w:gridCol w:w="2340"/>
        <w:gridCol w:w="2340"/>
      </w:tblGrid>
      <w:tr w14:paraId="58596C6B">
        <w:tblPrEx>
          <w:tblCellMar>
            <w:top w:w="0" w:type="dxa"/>
            <w:left w:w="108" w:type="dxa"/>
            <w:bottom w:w="0" w:type="dxa"/>
            <w:right w:w="108" w:type="dxa"/>
          </w:tblCellMar>
        </w:tblPrEx>
        <w:trPr>
          <w:jc w:val="center"/>
        </w:trPr>
        <w:tc>
          <w:tcPr>
            <w:tcW w:w="2340" w:type="dxa"/>
            <w:shd w:val="clear" w:color="auto" w:fill="E2E8F0"/>
            <w:tcMar>
              <w:top w:w="100" w:type="dxa"/>
              <w:left w:w="120" w:type="dxa"/>
              <w:bottom w:w="100" w:type="dxa"/>
              <w:right w:w="120" w:type="dxa"/>
            </w:tcMar>
          </w:tcPr>
          <w:p w14:paraId="365B49C0">
            <w:r>
              <w:rPr>
                <w:rFonts w:ascii="Times New Roman" w:hAnsi="Times New Roman"/>
                <w:b/>
                <w:sz w:val="19"/>
              </w:rPr>
              <w:t>Model</w:t>
            </w:r>
          </w:p>
        </w:tc>
        <w:tc>
          <w:tcPr>
            <w:tcW w:w="2340" w:type="dxa"/>
            <w:shd w:val="clear" w:color="auto" w:fill="E2E8F0"/>
            <w:tcMar>
              <w:top w:w="100" w:type="dxa"/>
              <w:left w:w="120" w:type="dxa"/>
              <w:bottom w:w="100" w:type="dxa"/>
              <w:right w:w="120" w:type="dxa"/>
            </w:tcMar>
          </w:tcPr>
          <w:p w14:paraId="4A0B24E5">
            <w:r>
              <w:rPr>
                <w:rFonts w:ascii="Times New Roman" w:hAnsi="Times New Roman"/>
                <w:b/>
                <w:sz w:val="19"/>
              </w:rPr>
              <w:t>Duplicate Detection Accuracy (%)</w:t>
            </w:r>
          </w:p>
        </w:tc>
        <w:tc>
          <w:tcPr>
            <w:tcW w:w="2340" w:type="dxa"/>
            <w:shd w:val="clear" w:color="auto" w:fill="E2E8F0"/>
            <w:tcMar>
              <w:top w:w="100" w:type="dxa"/>
              <w:left w:w="120" w:type="dxa"/>
              <w:bottom w:w="100" w:type="dxa"/>
              <w:right w:w="120" w:type="dxa"/>
            </w:tcMar>
          </w:tcPr>
          <w:p w14:paraId="3718E984">
            <w:r>
              <w:rPr>
                <w:rFonts w:ascii="Times New Roman" w:hAnsi="Times New Roman"/>
                <w:b/>
                <w:sz w:val="19"/>
              </w:rPr>
              <w:t>Proxy Cartel Precision (%)</w:t>
            </w:r>
          </w:p>
        </w:tc>
        <w:tc>
          <w:tcPr>
            <w:tcW w:w="2340" w:type="dxa"/>
            <w:shd w:val="clear" w:color="auto" w:fill="E2E8F0"/>
            <w:tcMar>
              <w:top w:w="100" w:type="dxa"/>
              <w:left w:w="120" w:type="dxa"/>
              <w:bottom w:w="100" w:type="dxa"/>
              <w:right w:w="120" w:type="dxa"/>
            </w:tcMar>
          </w:tcPr>
          <w:p w14:paraId="1B937B18">
            <w:r>
              <w:rPr>
                <w:rFonts w:ascii="Times New Roman" w:hAnsi="Times New Roman"/>
                <w:b/>
                <w:sz w:val="19"/>
              </w:rPr>
              <w:t>Ingestion Throughput (ops/sec)</w:t>
            </w:r>
          </w:p>
        </w:tc>
      </w:tr>
      <w:tr w14:paraId="3C264F48">
        <w:tblPrEx>
          <w:tblCellMar>
            <w:top w:w="0" w:type="dxa"/>
            <w:left w:w="108" w:type="dxa"/>
            <w:bottom w:w="0" w:type="dxa"/>
            <w:right w:w="108" w:type="dxa"/>
          </w:tblCellMar>
        </w:tblPrEx>
        <w:trPr>
          <w:jc w:val="center"/>
        </w:trPr>
        <w:tc>
          <w:tcPr>
            <w:tcW w:w="2340" w:type="dxa"/>
            <w:tcMar>
              <w:top w:w="80" w:type="dxa"/>
              <w:left w:w="120" w:type="dxa"/>
              <w:bottom w:w="80" w:type="dxa"/>
              <w:right w:w="120" w:type="dxa"/>
            </w:tcMar>
          </w:tcPr>
          <w:p w14:paraId="0EE8B138">
            <w:r>
              <w:rPr>
                <w:rFonts w:ascii="Times New Roman" w:hAnsi="Times New Roman"/>
                <w:b/>
                <w:sz w:val="18"/>
              </w:rPr>
              <w:t>Model 3 (Proposed Integrated Engine)</w:t>
            </w:r>
          </w:p>
        </w:tc>
        <w:tc>
          <w:tcPr>
            <w:tcW w:w="2340" w:type="dxa"/>
            <w:tcMar>
              <w:top w:w="80" w:type="dxa"/>
              <w:left w:w="120" w:type="dxa"/>
              <w:bottom w:w="80" w:type="dxa"/>
              <w:right w:w="120" w:type="dxa"/>
            </w:tcMar>
          </w:tcPr>
          <w:p w14:paraId="60B12FCE">
            <w:r>
              <w:rPr>
                <w:rFonts w:ascii="Times New Roman" w:hAnsi="Times New Roman"/>
                <w:b/>
                <w:sz w:val="18"/>
              </w:rPr>
              <w:t>100.0%</w:t>
            </w:r>
          </w:p>
        </w:tc>
        <w:tc>
          <w:tcPr>
            <w:tcW w:w="2340" w:type="dxa"/>
            <w:tcMar>
              <w:top w:w="80" w:type="dxa"/>
              <w:left w:w="120" w:type="dxa"/>
              <w:bottom w:w="80" w:type="dxa"/>
              <w:right w:w="120" w:type="dxa"/>
            </w:tcMar>
          </w:tcPr>
          <w:p w14:paraId="5076697A">
            <w:r>
              <w:rPr>
                <w:rFonts w:ascii="Times New Roman" w:hAnsi="Times New Roman"/>
                <w:b/>
                <w:sz w:val="18"/>
              </w:rPr>
              <w:t>97.5%</w:t>
            </w:r>
          </w:p>
        </w:tc>
        <w:tc>
          <w:tcPr>
            <w:tcW w:w="2340" w:type="dxa"/>
            <w:tcMar>
              <w:top w:w="80" w:type="dxa"/>
              <w:left w:w="120" w:type="dxa"/>
              <w:bottom w:w="80" w:type="dxa"/>
              <w:right w:w="120" w:type="dxa"/>
            </w:tcMar>
          </w:tcPr>
          <w:p w14:paraId="131EB899">
            <w:r>
              <w:rPr>
                <w:rFonts w:ascii="Times New Roman" w:hAnsi="Times New Roman"/>
                <w:b/>
                <w:sz w:val="18"/>
              </w:rPr>
              <w:t>14,200 ops/s</w:t>
            </w:r>
          </w:p>
        </w:tc>
      </w:tr>
      <w:tr w14:paraId="2232A01A">
        <w:tblPrEx>
          <w:tblCellMar>
            <w:top w:w="0" w:type="dxa"/>
            <w:left w:w="108" w:type="dxa"/>
            <w:bottom w:w="0" w:type="dxa"/>
            <w:right w:w="108" w:type="dxa"/>
          </w:tblCellMar>
        </w:tblPrEx>
        <w:trPr>
          <w:jc w:val="center"/>
        </w:trPr>
        <w:tc>
          <w:tcPr>
            <w:tcW w:w="2340" w:type="dxa"/>
            <w:shd w:val="clear" w:color="auto" w:fill="F8FAFC"/>
            <w:tcMar>
              <w:top w:w="80" w:type="dxa"/>
              <w:left w:w="120" w:type="dxa"/>
              <w:bottom w:w="80" w:type="dxa"/>
              <w:right w:w="120" w:type="dxa"/>
            </w:tcMar>
          </w:tcPr>
          <w:p w14:paraId="3C8327A2">
            <w:r>
              <w:rPr>
                <w:rFonts w:ascii="Times New Roman" w:hAnsi="Times New Roman"/>
                <w:sz w:val="18"/>
              </w:rPr>
              <w:t>Model 2 (String + DP Detector)</w:t>
            </w:r>
          </w:p>
        </w:tc>
        <w:tc>
          <w:tcPr>
            <w:tcW w:w="2340" w:type="dxa"/>
            <w:shd w:val="clear" w:color="auto" w:fill="F8FAFC"/>
            <w:tcMar>
              <w:top w:w="80" w:type="dxa"/>
              <w:left w:w="120" w:type="dxa"/>
              <w:bottom w:w="80" w:type="dxa"/>
              <w:right w:w="120" w:type="dxa"/>
            </w:tcMar>
          </w:tcPr>
          <w:p w14:paraId="43A8001D">
            <w:r>
              <w:rPr>
                <w:rFonts w:ascii="Times New Roman" w:hAnsi="Times New Roman"/>
                <w:sz w:val="18"/>
              </w:rPr>
              <w:t>82.4%</w:t>
            </w:r>
          </w:p>
        </w:tc>
        <w:tc>
          <w:tcPr>
            <w:tcW w:w="2340" w:type="dxa"/>
            <w:shd w:val="clear" w:color="auto" w:fill="F8FAFC"/>
            <w:tcMar>
              <w:top w:w="80" w:type="dxa"/>
              <w:left w:w="120" w:type="dxa"/>
              <w:bottom w:w="80" w:type="dxa"/>
              <w:right w:w="120" w:type="dxa"/>
            </w:tcMar>
          </w:tcPr>
          <w:p w14:paraId="31A11FAE">
            <w:r>
              <w:rPr>
                <w:rFonts w:ascii="Times New Roman" w:hAnsi="Times New Roman"/>
                <w:sz w:val="18"/>
              </w:rPr>
              <w:t>84.2%</w:t>
            </w:r>
          </w:p>
        </w:tc>
        <w:tc>
          <w:tcPr>
            <w:tcW w:w="2340" w:type="dxa"/>
            <w:shd w:val="clear" w:color="auto" w:fill="F8FAFC"/>
            <w:tcMar>
              <w:top w:w="80" w:type="dxa"/>
              <w:left w:w="120" w:type="dxa"/>
              <w:bottom w:w="80" w:type="dxa"/>
              <w:right w:w="120" w:type="dxa"/>
            </w:tcMar>
          </w:tcPr>
          <w:p w14:paraId="7145E26D">
            <w:r>
              <w:rPr>
                <w:rFonts w:ascii="Times New Roman" w:hAnsi="Times New Roman"/>
                <w:sz w:val="18"/>
              </w:rPr>
              <w:t>4,800 ops/s</w:t>
            </w:r>
          </w:p>
        </w:tc>
      </w:tr>
      <w:tr w14:paraId="3C2C2DE3">
        <w:tblPrEx>
          <w:tblCellMar>
            <w:top w:w="0" w:type="dxa"/>
            <w:left w:w="108" w:type="dxa"/>
            <w:bottom w:w="0" w:type="dxa"/>
            <w:right w:w="108" w:type="dxa"/>
          </w:tblCellMar>
        </w:tblPrEx>
        <w:trPr>
          <w:jc w:val="center"/>
        </w:trPr>
        <w:tc>
          <w:tcPr>
            <w:tcW w:w="2340" w:type="dxa"/>
            <w:tcMar>
              <w:top w:w="80" w:type="dxa"/>
              <w:left w:w="120" w:type="dxa"/>
              <w:bottom w:w="80" w:type="dxa"/>
              <w:right w:w="120" w:type="dxa"/>
            </w:tcMar>
          </w:tcPr>
          <w:p w14:paraId="5D0A661E">
            <w:r>
              <w:rPr>
                <w:rFonts w:ascii="Times New Roman" w:hAnsi="Times New Roman"/>
                <w:sz w:val="18"/>
              </w:rPr>
              <w:t>Model 1 (Rabin-Karp Hash Filter)</w:t>
            </w:r>
          </w:p>
        </w:tc>
        <w:tc>
          <w:tcPr>
            <w:tcW w:w="2340" w:type="dxa"/>
            <w:tcMar>
              <w:top w:w="80" w:type="dxa"/>
              <w:left w:w="120" w:type="dxa"/>
              <w:bottom w:w="80" w:type="dxa"/>
              <w:right w:w="120" w:type="dxa"/>
            </w:tcMar>
          </w:tcPr>
          <w:p w14:paraId="1512A654">
            <w:r>
              <w:rPr>
                <w:rFonts w:ascii="Times New Roman" w:hAnsi="Times New Roman"/>
                <w:sz w:val="18"/>
              </w:rPr>
              <w:t>100.0%</w:t>
            </w:r>
          </w:p>
        </w:tc>
        <w:tc>
          <w:tcPr>
            <w:tcW w:w="2340" w:type="dxa"/>
            <w:tcMar>
              <w:top w:w="80" w:type="dxa"/>
              <w:left w:w="120" w:type="dxa"/>
              <w:bottom w:w="80" w:type="dxa"/>
              <w:right w:w="120" w:type="dxa"/>
            </w:tcMar>
          </w:tcPr>
          <w:p w14:paraId="27F31B60">
            <w:r>
              <w:rPr>
                <w:rFonts w:ascii="Times New Roman" w:hAnsi="Times New Roman"/>
                <w:sz w:val="18"/>
              </w:rPr>
              <w:t>34.5%</w:t>
            </w:r>
          </w:p>
        </w:tc>
        <w:tc>
          <w:tcPr>
            <w:tcW w:w="2340" w:type="dxa"/>
            <w:tcMar>
              <w:top w:w="80" w:type="dxa"/>
              <w:left w:w="120" w:type="dxa"/>
              <w:bottom w:w="80" w:type="dxa"/>
              <w:right w:w="120" w:type="dxa"/>
            </w:tcMar>
          </w:tcPr>
          <w:p w14:paraId="088640E7">
            <w:r>
              <w:rPr>
                <w:rFonts w:ascii="Times New Roman" w:hAnsi="Times New Roman"/>
                <w:sz w:val="18"/>
              </w:rPr>
              <w:t>18,500 ops/s</w:t>
            </w:r>
          </w:p>
        </w:tc>
      </w:tr>
      <w:tr w14:paraId="2FDB8CF9">
        <w:tblPrEx>
          <w:tblCellMar>
            <w:top w:w="0" w:type="dxa"/>
            <w:left w:w="108" w:type="dxa"/>
            <w:bottom w:w="0" w:type="dxa"/>
            <w:right w:w="108" w:type="dxa"/>
          </w:tblCellMar>
        </w:tblPrEx>
        <w:trPr>
          <w:jc w:val="center"/>
        </w:trPr>
        <w:tc>
          <w:tcPr>
            <w:tcW w:w="2340" w:type="dxa"/>
            <w:shd w:val="clear" w:color="auto" w:fill="F8FAFC"/>
            <w:tcMar>
              <w:top w:w="80" w:type="dxa"/>
              <w:left w:w="120" w:type="dxa"/>
              <w:bottom w:w="80" w:type="dxa"/>
              <w:right w:w="120" w:type="dxa"/>
            </w:tcMar>
          </w:tcPr>
          <w:p w14:paraId="4E4EEBE6">
            <w:r>
              <w:rPr>
                <w:rFonts w:ascii="Times New Roman" w:hAnsi="Times New Roman"/>
                <w:sz w:val="18"/>
              </w:rPr>
              <w:t>Baseline (Conventional MySQL)</w:t>
            </w:r>
          </w:p>
        </w:tc>
        <w:tc>
          <w:tcPr>
            <w:tcW w:w="2340" w:type="dxa"/>
            <w:shd w:val="clear" w:color="auto" w:fill="F8FAFC"/>
            <w:tcMar>
              <w:top w:w="80" w:type="dxa"/>
              <w:left w:w="120" w:type="dxa"/>
              <w:bottom w:w="80" w:type="dxa"/>
              <w:right w:w="120" w:type="dxa"/>
            </w:tcMar>
          </w:tcPr>
          <w:p w14:paraId="676BD95A">
            <w:r>
              <w:rPr>
                <w:rFonts w:ascii="Times New Roman" w:hAnsi="Times New Roman"/>
                <w:sz w:val="18"/>
              </w:rPr>
              <w:t>42.1%</w:t>
            </w:r>
          </w:p>
        </w:tc>
        <w:tc>
          <w:tcPr>
            <w:tcW w:w="2340" w:type="dxa"/>
            <w:shd w:val="clear" w:color="auto" w:fill="F8FAFC"/>
            <w:tcMar>
              <w:top w:w="80" w:type="dxa"/>
              <w:left w:w="120" w:type="dxa"/>
              <w:bottom w:w="80" w:type="dxa"/>
              <w:right w:w="120" w:type="dxa"/>
            </w:tcMar>
          </w:tcPr>
          <w:p w14:paraId="7BED81FE">
            <w:r>
              <w:rPr>
                <w:rFonts w:ascii="Times New Roman" w:hAnsi="Times New Roman"/>
                <w:sz w:val="18"/>
              </w:rPr>
              <w:t>12.0%</w:t>
            </w:r>
          </w:p>
        </w:tc>
        <w:tc>
          <w:tcPr>
            <w:tcW w:w="2340" w:type="dxa"/>
            <w:shd w:val="clear" w:color="auto" w:fill="F8FAFC"/>
            <w:tcMar>
              <w:top w:w="80" w:type="dxa"/>
              <w:left w:w="120" w:type="dxa"/>
              <w:bottom w:w="80" w:type="dxa"/>
              <w:right w:w="120" w:type="dxa"/>
            </w:tcMar>
          </w:tcPr>
          <w:p w14:paraId="53685DCC">
            <w:r>
              <w:rPr>
                <w:rFonts w:ascii="Times New Roman" w:hAnsi="Times New Roman"/>
                <w:sz w:val="18"/>
              </w:rPr>
              <w:t>640 ops/s</w:t>
            </w:r>
          </w:p>
        </w:tc>
      </w:tr>
    </w:tbl>
    <w:p w14:paraId="4A6EFD78">
      <w:pPr>
        <w:spacing w:before="80" w:after="200"/>
        <w:jc w:val="center"/>
      </w:pPr>
      <w:r>
        <w:rPr>
          <w:rFonts w:ascii="Times New Roman" w:hAnsi="Times New Roman"/>
          <w:b/>
          <w:sz w:val="19"/>
        </w:rPr>
        <w:t>TABLE 1: Comparison of Model 1, Model 2, Model 3 and Baseline System</w:t>
      </w:r>
    </w:p>
    <w:tbl>
      <w:tblPr>
        <w:tblStyle w:val="12"/>
        <w:tblW w:w="0" w:type="auto"/>
        <w:jc w:val="center"/>
        <w:tblLayout w:type="fixed"/>
        <w:tblCellMar>
          <w:top w:w="0" w:type="dxa"/>
          <w:left w:w="108" w:type="dxa"/>
          <w:bottom w:w="0" w:type="dxa"/>
          <w:right w:w="108" w:type="dxa"/>
        </w:tblCellMar>
      </w:tblPr>
      <w:tblGrid>
        <w:gridCol w:w="2340"/>
        <w:gridCol w:w="2340"/>
        <w:gridCol w:w="2340"/>
        <w:gridCol w:w="2340"/>
      </w:tblGrid>
      <w:tr w14:paraId="28309F45">
        <w:trPr>
          <w:jc w:val="center"/>
        </w:trPr>
        <w:tc>
          <w:tcPr>
            <w:tcW w:w="2340" w:type="dxa"/>
            <w:shd w:val="clear" w:color="auto" w:fill="E2E8F0"/>
            <w:tcMar>
              <w:top w:w="100" w:type="dxa"/>
              <w:left w:w="120" w:type="dxa"/>
              <w:bottom w:w="100" w:type="dxa"/>
              <w:right w:w="120" w:type="dxa"/>
            </w:tcMar>
          </w:tcPr>
          <w:p w14:paraId="3039EB3C">
            <w:r>
              <w:rPr>
                <w:rFonts w:ascii="Times New Roman" w:hAnsi="Times New Roman"/>
                <w:b/>
                <w:sz w:val="19"/>
              </w:rPr>
              <w:t>Class</w:t>
            </w:r>
          </w:p>
        </w:tc>
        <w:tc>
          <w:tcPr>
            <w:tcW w:w="2340" w:type="dxa"/>
            <w:shd w:val="clear" w:color="auto" w:fill="E2E8F0"/>
            <w:tcMar>
              <w:top w:w="100" w:type="dxa"/>
              <w:left w:w="120" w:type="dxa"/>
              <w:bottom w:w="100" w:type="dxa"/>
              <w:right w:w="120" w:type="dxa"/>
            </w:tcMar>
          </w:tcPr>
          <w:p w14:paraId="0AE26029">
            <w:r>
              <w:rPr>
                <w:rFonts w:ascii="Times New Roman" w:hAnsi="Times New Roman"/>
                <w:b/>
                <w:sz w:val="19"/>
              </w:rPr>
              <w:t>Precision (%)</w:t>
            </w:r>
          </w:p>
        </w:tc>
        <w:tc>
          <w:tcPr>
            <w:tcW w:w="2340" w:type="dxa"/>
            <w:shd w:val="clear" w:color="auto" w:fill="E2E8F0"/>
            <w:tcMar>
              <w:top w:w="100" w:type="dxa"/>
              <w:left w:w="120" w:type="dxa"/>
              <w:bottom w:w="100" w:type="dxa"/>
              <w:right w:w="120" w:type="dxa"/>
            </w:tcMar>
          </w:tcPr>
          <w:p w14:paraId="7F93217E">
            <w:r>
              <w:rPr>
                <w:rFonts w:ascii="Times New Roman" w:hAnsi="Times New Roman"/>
                <w:b/>
                <w:sz w:val="19"/>
              </w:rPr>
              <w:t>Recall (%)</w:t>
            </w:r>
          </w:p>
        </w:tc>
        <w:tc>
          <w:tcPr>
            <w:tcW w:w="2340" w:type="dxa"/>
            <w:shd w:val="clear" w:color="auto" w:fill="E2E8F0"/>
            <w:tcMar>
              <w:top w:w="100" w:type="dxa"/>
              <w:left w:w="120" w:type="dxa"/>
              <w:bottom w:w="100" w:type="dxa"/>
              <w:right w:w="120" w:type="dxa"/>
            </w:tcMar>
          </w:tcPr>
          <w:p w14:paraId="6ABEFE1F">
            <w:r>
              <w:rPr>
                <w:rFonts w:ascii="Times New Roman" w:hAnsi="Times New Roman"/>
                <w:b/>
                <w:sz w:val="19"/>
              </w:rPr>
              <w:t>F1 Score (%)</w:t>
            </w:r>
          </w:p>
        </w:tc>
      </w:tr>
      <w:tr w14:paraId="7DFD9200">
        <w:tblPrEx>
          <w:tblCellMar>
            <w:top w:w="0" w:type="dxa"/>
            <w:left w:w="108" w:type="dxa"/>
            <w:bottom w:w="0" w:type="dxa"/>
            <w:right w:w="108" w:type="dxa"/>
          </w:tblCellMar>
        </w:tblPrEx>
        <w:trPr>
          <w:jc w:val="center"/>
        </w:trPr>
        <w:tc>
          <w:tcPr>
            <w:tcW w:w="2340" w:type="dxa"/>
            <w:tcMar>
              <w:top w:w="80" w:type="dxa"/>
              <w:left w:w="120" w:type="dxa"/>
              <w:bottom w:w="80" w:type="dxa"/>
              <w:right w:w="120" w:type="dxa"/>
            </w:tcMar>
          </w:tcPr>
          <w:p w14:paraId="7A33AFC5">
            <w:r>
              <w:rPr>
                <w:rFonts w:ascii="Times New Roman" w:hAnsi="Times New Roman"/>
                <w:sz w:val="18"/>
              </w:rPr>
              <w:t>GEN (Genuine Student Attendance)</w:t>
            </w:r>
          </w:p>
        </w:tc>
        <w:tc>
          <w:tcPr>
            <w:tcW w:w="2340" w:type="dxa"/>
            <w:tcMar>
              <w:top w:w="80" w:type="dxa"/>
              <w:left w:w="120" w:type="dxa"/>
              <w:bottom w:w="80" w:type="dxa"/>
              <w:right w:w="120" w:type="dxa"/>
            </w:tcMar>
          </w:tcPr>
          <w:p w14:paraId="5AB4A33F">
            <w:r>
              <w:rPr>
                <w:rFonts w:ascii="Times New Roman" w:hAnsi="Times New Roman"/>
                <w:sz w:val="18"/>
              </w:rPr>
              <w:t>99.8</w:t>
            </w:r>
          </w:p>
        </w:tc>
        <w:tc>
          <w:tcPr>
            <w:tcW w:w="2340" w:type="dxa"/>
            <w:tcMar>
              <w:top w:w="80" w:type="dxa"/>
              <w:left w:w="120" w:type="dxa"/>
              <w:bottom w:w="80" w:type="dxa"/>
              <w:right w:w="120" w:type="dxa"/>
            </w:tcMar>
          </w:tcPr>
          <w:p w14:paraId="742F669E">
            <w:r>
              <w:rPr>
                <w:rFonts w:ascii="Times New Roman" w:hAnsi="Times New Roman"/>
                <w:sz w:val="18"/>
              </w:rPr>
              <w:t>99.8</w:t>
            </w:r>
          </w:p>
        </w:tc>
        <w:tc>
          <w:tcPr>
            <w:tcW w:w="2340" w:type="dxa"/>
            <w:tcMar>
              <w:top w:w="80" w:type="dxa"/>
              <w:left w:w="120" w:type="dxa"/>
              <w:bottom w:w="80" w:type="dxa"/>
              <w:right w:w="120" w:type="dxa"/>
            </w:tcMar>
          </w:tcPr>
          <w:p w14:paraId="499FB66A">
            <w:r>
              <w:rPr>
                <w:rFonts w:ascii="Times New Roman" w:hAnsi="Times New Roman"/>
                <w:b/>
                <w:sz w:val="18"/>
              </w:rPr>
              <w:t>99.8</w:t>
            </w:r>
          </w:p>
        </w:tc>
      </w:tr>
      <w:tr w14:paraId="4F433460">
        <w:tblPrEx>
          <w:tblCellMar>
            <w:top w:w="0" w:type="dxa"/>
            <w:left w:w="108" w:type="dxa"/>
            <w:bottom w:w="0" w:type="dxa"/>
            <w:right w:w="108" w:type="dxa"/>
          </w:tblCellMar>
        </w:tblPrEx>
        <w:trPr>
          <w:jc w:val="center"/>
        </w:trPr>
        <w:tc>
          <w:tcPr>
            <w:tcW w:w="2340" w:type="dxa"/>
            <w:shd w:val="clear" w:color="auto" w:fill="F8FAFC"/>
            <w:tcMar>
              <w:top w:w="80" w:type="dxa"/>
              <w:left w:w="120" w:type="dxa"/>
              <w:bottom w:w="80" w:type="dxa"/>
              <w:right w:w="120" w:type="dxa"/>
            </w:tcMar>
          </w:tcPr>
          <w:p w14:paraId="4EA82FA8">
            <w:r>
              <w:rPr>
                <w:rFonts w:ascii="Times New Roman" w:hAnsi="Times New Roman"/>
                <w:sz w:val="18"/>
              </w:rPr>
              <w:t>DUP (Duplicate Submission Attempts)</w:t>
            </w:r>
          </w:p>
        </w:tc>
        <w:tc>
          <w:tcPr>
            <w:tcW w:w="2340" w:type="dxa"/>
            <w:shd w:val="clear" w:color="auto" w:fill="F8FAFC"/>
            <w:tcMar>
              <w:top w:w="80" w:type="dxa"/>
              <w:left w:w="120" w:type="dxa"/>
              <w:bottom w:w="80" w:type="dxa"/>
              <w:right w:w="120" w:type="dxa"/>
            </w:tcMar>
          </w:tcPr>
          <w:p w14:paraId="3144EADA">
            <w:r>
              <w:rPr>
                <w:rFonts w:ascii="Times New Roman" w:hAnsi="Times New Roman"/>
                <w:sz w:val="18"/>
              </w:rPr>
              <w:t>100.0</w:t>
            </w:r>
          </w:p>
        </w:tc>
        <w:tc>
          <w:tcPr>
            <w:tcW w:w="2340" w:type="dxa"/>
            <w:shd w:val="clear" w:color="auto" w:fill="F8FAFC"/>
            <w:tcMar>
              <w:top w:w="80" w:type="dxa"/>
              <w:left w:w="120" w:type="dxa"/>
              <w:bottom w:w="80" w:type="dxa"/>
              <w:right w:w="120" w:type="dxa"/>
            </w:tcMar>
          </w:tcPr>
          <w:p w14:paraId="59F52336">
            <w:r>
              <w:rPr>
                <w:rFonts w:ascii="Times New Roman" w:hAnsi="Times New Roman"/>
                <w:sz w:val="18"/>
              </w:rPr>
              <w:t>100.0</w:t>
            </w:r>
          </w:p>
        </w:tc>
        <w:tc>
          <w:tcPr>
            <w:tcW w:w="2340" w:type="dxa"/>
            <w:shd w:val="clear" w:color="auto" w:fill="F8FAFC"/>
            <w:tcMar>
              <w:top w:w="80" w:type="dxa"/>
              <w:left w:w="120" w:type="dxa"/>
              <w:bottom w:w="80" w:type="dxa"/>
              <w:right w:w="120" w:type="dxa"/>
            </w:tcMar>
          </w:tcPr>
          <w:p w14:paraId="5366AFD2">
            <w:r>
              <w:rPr>
                <w:rFonts w:ascii="Times New Roman" w:hAnsi="Times New Roman"/>
                <w:b/>
                <w:sz w:val="18"/>
              </w:rPr>
              <w:t>100.0</w:t>
            </w:r>
          </w:p>
        </w:tc>
      </w:tr>
      <w:tr w14:paraId="52535BF4">
        <w:tblPrEx>
          <w:tblCellMar>
            <w:top w:w="0" w:type="dxa"/>
            <w:left w:w="108" w:type="dxa"/>
            <w:bottom w:w="0" w:type="dxa"/>
            <w:right w:w="108" w:type="dxa"/>
          </w:tblCellMar>
        </w:tblPrEx>
        <w:trPr>
          <w:jc w:val="center"/>
        </w:trPr>
        <w:tc>
          <w:tcPr>
            <w:tcW w:w="2340" w:type="dxa"/>
            <w:tcMar>
              <w:top w:w="80" w:type="dxa"/>
              <w:left w:w="120" w:type="dxa"/>
              <w:bottom w:w="80" w:type="dxa"/>
              <w:right w:w="120" w:type="dxa"/>
            </w:tcMar>
          </w:tcPr>
          <w:p w14:paraId="1EF57ABB">
            <w:r>
              <w:rPr>
                <w:rFonts w:ascii="Times New Roman" w:hAnsi="Times New Roman"/>
                <w:sz w:val="18"/>
              </w:rPr>
              <w:t>PRX (Subnet / Shared IP Proxy Cartels)</w:t>
            </w:r>
          </w:p>
        </w:tc>
        <w:tc>
          <w:tcPr>
            <w:tcW w:w="2340" w:type="dxa"/>
            <w:tcMar>
              <w:top w:w="80" w:type="dxa"/>
              <w:left w:w="120" w:type="dxa"/>
              <w:bottom w:w="80" w:type="dxa"/>
              <w:right w:w="120" w:type="dxa"/>
            </w:tcMar>
          </w:tcPr>
          <w:p w14:paraId="5ECC6702">
            <w:r>
              <w:rPr>
                <w:rFonts w:ascii="Times New Roman" w:hAnsi="Times New Roman"/>
                <w:sz w:val="18"/>
              </w:rPr>
              <w:t>97.5</w:t>
            </w:r>
          </w:p>
        </w:tc>
        <w:tc>
          <w:tcPr>
            <w:tcW w:w="2340" w:type="dxa"/>
            <w:tcMar>
              <w:top w:w="80" w:type="dxa"/>
              <w:left w:w="120" w:type="dxa"/>
              <w:bottom w:w="80" w:type="dxa"/>
              <w:right w:w="120" w:type="dxa"/>
            </w:tcMar>
          </w:tcPr>
          <w:p w14:paraId="3EEAB083">
            <w:r>
              <w:rPr>
                <w:rFonts w:ascii="Times New Roman" w:hAnsi="Times New Roman"/>
                <w:sz w:val="18"/>
              </w:rPr>
              <w:t>96.9</w:t>
            </w:r>
          </w:p>
        </w:tc>
        <w:tc>
          <w:tcPr>
            <w:tcW w:w="2340" w:type="dxa"/>
            <w:tcMar>
              <w:top w:w="80" w:type="dxa"/>
              <w:left w:w="120" w:type="dxa"/>
              <w:bottom w:w="80" w:type="dxa"/>
              <w:right w:w="120" w:type="dxa"/>
            </w:tcMar>
          </w:tcPr>
          <w:p w14:paraId="6D1EAA3D">
            <w:r>
              <w:rPr>
                <w:rFonts w:ascii="Times New Roman" w:hAnsi="Times New Roman"/>
                <w:b/>
                <w:sz w:val="18"/>
              </w:rPr>
              <w:t>97.2</w:t>
            </w:r>
          </w:p>
        </w:tc>
      </w:tr>
      <w:tr w14:paraId="5325B345">
        <w:tblPrEx>
          <w:tblCellMar>
            <w:top w:w="0" w:type="dxa"/>
            <w:left w:w="108" w:type="dxa"/>
            <w:bottom w:w="0" w:type="dxa"/>
            <w:right w:w="108" w:type="dxa"/>
          </w:tblCellMar>
        </w:tblPrEx>
        <w:trPr>
          <w:jc w:val="center"/>
        </w:trPr>
        <w:tc>
          <w:tcPr>
            <w:tcW w:w="2340" w:type="dxa"/>
            <w:shd w:val="clear" w:color="auto" w:fill="F8FAFC"/>
            <w:tcMar>
              <w:top w:w="80" w:type="dxa"/>
              <w:left w:w="120" w:type="dxa"/>
              <w:bottom w:w="80" w:type="dxa"/>
              <w:right w:w="120" w:type="dxa"/>
            </w:tcMar>
          </w:tcPr>
          <w:p w14:paraId="108EF7D8">
            <w:r>
              <w:rPr>
                <w:rFonts w:ascii="Times New Roman" w:hAnsi="Times New Roman"/>
                <w:sz w:val="18"/>
              </w:rPr>
              <w:t>ANO (Device Anomaly &amp; Spoofed IDs)</w:t>
            </w:r>
          </w:p>
        </w:tc>
        <w:tc>
          <w:tcPr>
            <w:tcW w:w="2340" w:type="dxa"/>
            <w:shd w:val="clear" w:color="auto" w:fill="F8FAFC"/>
            <w:tcMar>
              <w:top w:w="80" w:type="dxa"/>
              <w:left w:w="120" w:type="dxa"/>
              <w:bottom w:w="80" w:type="dxa"/>
              <w:right w:w="120" w:type="dxa"/>
            </w:tcMar>
          </w:tcPr>
          <w:p w14:paraId="200BDED6">
            <w:r>
              <w:rPr>
                <w:rFonts w:ascii="Times New Roman" w:hAnsi="Times New Roman"/>
                <w:sz w:val="18"/>
              </w:rPr>
              <w:t>96.8</w:t>
            </w:r>
          </w:p>
        </w:tc>
        <w:tc>
          <w:tcPr>
            <w:tcW w:w="2340" w:type="dxa"/>
            <w:shd w:val="clear" w:color="auto" w:fill="F8FAFC"/>
            <w:tcMar>
              <w:top w:w="80" w:type="dxa"/>
              <w:left w:w="120" w:type="dxa"/>
              <w:bottom w:w="80" w:type="dxa"/>
              <w:right w:w="120" w:type="dxa"/>
            </w:tcMar>
          </w:tcPr>
          <w:p w14:paraId="1FC53CD7">
            <w:r>
              <w:rPr>
                <w:rFonts w:ascii="Times New Roman" w:hAnsi="Times New Roman"/>
                <w:sz w:val="18"/>
              </w:rPr>
              <w:t>93.8</w:t>
            </w:r>
          </w:p>
        </w:tc>
        <w:tc>
          <w:tcPr>
            <w:tcW w:w="2340" w:type="dxa"/>
            <w:shd w:val="clear" w:color="auto" w:fill="F8FAFC"/>
            <w:tcMar>
              <w:top w:w="80" w:type="dxa"/>
              <w:left w:w="120" w:type="dxa"/>
              <w:bottom w:w="80" w:type="dxa"/>
              <w:right w:w="120" w:type="dxa"/>
            </w:tcMar>
          </w:tcPr>
          <w:p w14:paraId="187D3325">
            <w:r>
              <w:rPr>
                <w:rFonts w:ascii="Times New Roman" w:hAnsi="Times New Roman"/>
                <w:b/>
                <w:sz w:val="18"/>
              </w:rPr>
              <w:t>95.3</w:t>
            </w:r>
          </w:p>
        </w:tc>
      </w:tr>
    </w:tbl>
    <w:p w14:paraId="3E1354D9">
      <w:pPr>
        <w:spacing w:before="80" w:after="200"/>
        <w:jc w:val="center"/>
      </w:pPr>
      <w:r>
        <w:rPr>
          <w:rFonts w:ascii="Times New Roman" w:hAnsi="Times New Roman"/>
          <w:b/>
          <w:sz w:val="19"/>
        </w:rPr>
        <w:t>TABLE 2: Confusion matrix classification report of Model 3, or our best Model</w:t>
      </w:r>
    </w:p>
    <w:p w14:paraId="542D7202">
      <w:pPr>
        <w:spacing w:before="80" w:after="80"/>
        <w:jc w:val="center"/>
      </w:pPr>
      <w:r>
        <w:drawing>
          <wp:inline distT="0" distB="0" distL="114300" distR="114300">
            <wp:extent cx="5486400" cy="3726815"/>
            <wp:effectExtent l="0" t="0" r="0"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486400" cy="3726864"/>
                    </a:xfrm>
                    <a:prstGeom prst="rect">
                      <a:avLst/>
                    </a:prstGeom>
                  </pic:spPr>
                </pic:pic>
              </a:graphicData>
            </a:graphic>
          </wp:inline>
        </w:drawing>
      </w:r>
    </w:p>
    <w:p w14:paraId="6BA67655">
      <w:pPr>
        <w:spacing w:after="200"/>
        <w:jc w:val="center"/>
      </w:pPr>
      <w:r>
        <w:rPr>
          <w:rFonts w:ascii="Times New Roman" w:hAnsi="Times New Roman"/>
          <w:b/>
          <w:sz w:val="20"/>
        </w:rPr>
        <w:t>FIGURE 2: Algorithmic performance benchmarks comparing duplicate check latency, Dinic min-cut isolation speed, multi-pattern string scan, and vertex cover approximation.</w:t>
      </w:r>
    </w:p>
    <w:p w14:paraId="16D1C6D7">
      <w:pPr>
        <w:spacing w:before="0" w:after="160" w:line="276" w:lineRule="auto"/>
        <w:jc w:val="left"/>
      </w:pPr>
      <w:r>
        <w:rPr>
          <w:rFonts w:ascii="Times New Roman" w:hAnsi="Times New Roman"/>
          <w:b w:val="0"/>
          <w:i w:val="0"/>
          <w:sz w:val="22"/>
        </w:rPr>
        <w:t>Algorithmic Performance Analysis: Figure 2 highlights the empirical scaling characteristics of the hand-built algorithms. As shown in Figure 2(a), the Rabin-Karp double rolling hash executes in a strictly bounded 0.12 ms lookup latency, completely independent of total ingested records, whereas linear scanning degrades to over 2,250 ms at 50,000 logs. Figure 2(b) demonstrates that Dinic's blocking flow algorithm solves the minimum cut on a 600-student similarity graph in 18.4 ms, outperforming the Ford-Fulkerson baseline (184.2 ms) by 10×. Figure 2(c) proves that the Aho-Corasick automaton maintains constant 4.2 ms scanning time regardless of pattern count, and Figure 2(d) validates that the Vertex Cover 2-approximation reduces the number of records requiring faculty manual inspection by 62.5% compared to raw exhaustive auditing.</w:t>
      </w:r>
    </w:p>
    <w:tbl>
      <w:tblPr>
        <w:tblStyle w:val="12"/>
        <w:tblW w:w="0" w:type="auto"/>
        <w:jc w:val="center"/>
        <w:tblLayout w:type="fixed"/>
        <w:tblCellMar>
          <w:top w:w="0" w:type="dxa"/>
          <w:left w:w="108" w:type="dxa"/>
          <w:bottom w:w="0" w:type="dxa"/>
          <w:right w:w="108" w:type="dxa"/>
        </w:tblCellMar>
      </w:tblPr>
      <w:tblGrid>
        <w:gridCol w:w="1872"/>
        <w:gridCol w:w="1872"/>
        <w:gridCol w:w="1872"/>
        <w:gridCol w:w="1872"/>
        <w:gridCol w:w="1872"/>
      </w:tblGrid>
      <w:tr w14:paraId="2A7AA7BF">
        <w:trPr>
          <w:jc w:val="center"/>
        </w:trPr>
        <w:tc>
          <w:tcPr>
            <w:tcW w:w="1872" w:type="dxa"/>
            <w:shd w:val="clear" w:color="auto" w:fill="E2E8F0"/>
            <w:tcMar>
              <w:top w:w="90" w:type="dxa"/>
              <w:left w:w="100" w:type="dxa"/>
              <w:bottom w:w="90" w:type="dxa"/>
              <w:right w:w="100" w:type="dxa"/>
            </w:tcMar>
          </w:tcPr>
          <w:p w14:paraId="08C03BD3">
            <w:r>
              <w:rPr>
                <w:rFonts w:ascii="Times New Roman" w:hAnsi="Times New Roman"/>
                <w:b/>
                <w:sz w:val="18"/>
              </w:rPr>
              <w:t>Core Algorithm</w:t>
            </w:r>
          </w:p>
        </w:tc>
        <w:tc>
          <w:tcPr>
            <w:tcW w:w="1872" w:type="dxa"/>
            <w:shd w:val="clear" w:color="auto" w:fill="E2E8F0"/>
            <w:tcMar>
              <w:top w:w="90" w:type="dxa"/>
              <w:left w:w="100" w:type="dxa"/>
              <w:bottom w:w="90" w:type="dxa"/>
              <w:right w:w="100" w:type="dxa"/>
            </w:tcMar>
          </w:tcPr>
          <w:p w14:paraId="5ED81273">
            <w:r>
              <w:rPr>
                <w:rFonts w:ascii="Times New Roman" w:hAnsi="Times New Roman"/>
                <w:b/>
                <w:sz w:val="18"/>
              </w:rPr>
              <w:t>Hand-Built Data Structure</w:t>
            </w:r>
          </w:p>
        </w:tc>
        <w:tc>
          <w:tcPr>
            <w:tcW w:w="1872" w:type="dxa"/>
            <w:shd w:val="clear" w:color="auto" w:fill="E2E8F0"/>
            <w:tcMar>
              <w:top w:w="90" w:type="dxa"/>
              <w:left w:w="100" w:type="dxa"/>
              <w:bottom w:w="90" w:type="dxa"/>
              <w:right w:w="100" w:type="dxa"/>
            </w:tcMar>
          </w:tcPr>
          <w:p w14:paraId="1E65E2F4">
            <w:r>
              <w:rPr>
                <w:rFonts w:ascii="Times New Roman" w:hAnsi="Times New Roman"/>
                <w:b/>
                <w:sz w:val="18"/>
              </w:rPr>
              <w:t>Time Complexity</w:t>
            </w:r>
          </w:p>
        </w:tc>
        <w:tc>
          <w:tcPr>
            <w:tcW w:w="1872" w:type="dxa"/>
            <w:shd w:val="clear" w:color="auto" w:fill="E2E8F0"/>
            <w:tcMar>
              <w:top w:w="90" w:type="dxa"/>
              <w:left w:w="100" w:type="dxa"/>
              <w:bottom w:w="90" w:type="dxa"/>
              <w:right w:w="100" w:type="dxa"/>
            </w:tcMar>
          </w:tcPr>
          <w:p w14:paraId="7F0BF80C">
            <w:r>
              <w:rPr>
                <w:rFonts w:ascii="Times New Roman" w:hAnsi="Times New Roman"/>
                <w:b/>
                <w:sz w:val="18"/>
              </w:rPr>
              <w:t>Space Complexity</w:t>
            </w:r>
          </w:p>
        </w:tc>
        <w:tc>
          <w:tcPr>
            <w:tcW w:w="1872" w:type="dxa"/>
            <w:shd w:val="clear" w:color="auto" w:fill="E2E8F0"/>
            <w:tcMar>
              <w:top w:w="90" w:type="dxa"/>
              <w:left w:w="100" w:type="dxa"/>
              <w:bottom w:w="90" w:type="dxa"/>
              <w:right w:w="100" w:type="dxa"/>
            </w:tcMar>
          </w:tcPr>
          <w:p w14:paraId="43A5CAC8">
            <w:r>
              <w:rPr>
                <w:rFonts w:ascii="Times New Roman" w:hAnsi="Times New Roman"/>
                <w:b/>
                <w:sz w:val="18"/>
              </w:rPr>
              <w:t>Empirical Execution (10k Logs)</w:t>
            </w:r>
          </w:p>
        </w:tc>
      </w:tr>
      <w:tr w14:paraId="6F2599FE">
        <w:tblPrEx>
          <w:tblCellMar>
            <w:top w:w="0" w:type="dxa"/>
            <w:left w:w="108" w:type="dxa"/>
            <w:bottom w:w="0" w:type="dxa"/>
            <w:right w:w="108" w:type="dxa"/>
          </w:tblCellMar>
        </w:tblPrEx>
        <w:trPr>
          <w:jc w:val="center"/>
        </w:trPr>
        <w:tc>
          <w:tcPr>
            <w:tcW w:w="1872" w:type="dxa"/>
            <w:tcMar>
              <w:top w:w="70" w:type="dxa"/>
              <w:left w:w="100" w:type="dxa"/>
              <w:bottom w:w="70" w:type="dxa"/>
              <w:right w:w="100" w:type="dxa"/>
            </w:tcMar>
          </w:tcPr>
          <w:p w14:paraId="4B9E95A1">
            <w:r>
              <w:rPr>
                <w:rFonts w:ascii="Times New Roman" w:hAnsi="Times New Roman"/>
                <w:sz w:val="17"/>
              </w:rPr>
              <w:t>Rabin-Karp + Miller-Rabin</w:t>
            </w:r>
          </w:p>
        </w:tc>
        <w:tc>
          <w:tcPr>
            <w:tcW w:w="1872" w:type="dxa"/>
            <w:tcMar>
              <w:top w:w="70" w:type="dxa"/>
              <w:left w:w="100" w:type="dxa"/>
              <w:bottom w:w="70" w:type="dxa"/>
              <w:right w:w="100" w:type="dxa"/>
            </w:tcMar>
          </w:tcPr>
          <w:p w14:paraId="520A28C1">
            <w:r>
              <w:rPr>
                <w:rFonts w:ascii="Times New Roman" w:hAnsi="Times New Roman"/>
                <w:sz w:val="17"/>
              </w:rPr>
              <w:t>Custom 64-bit Hash Table</w:t>
            </w:r>
          </w:p>
        </w:tc>
        <w:tc>
          <w:tcPr>
            <w:tcW w:w="1872" w:type="dxa"/>
            <w:tcMar>
              <w:top w:w="70" w:type="dxa"/>
              <w:left w:w="100" w:type="dxa"/>
              <w:bottom w:w="70" w:type="dxa"/>
              <w:right w:w="100" w:type="dxa"/>
            </w:tcMar>
          </w:tcPr>
          <w:p w14:paraId="1F9CA247">
            <w:r>
              <w:rPr>
                <w:rFonts w:ascii="Times New Roman" w:hAnsi="Times New Roman"/>
                <w:sz w:val="17"/>
              </w:rPr>
              <w:t>O(1) Expected</w:t>
            </w:r>
          </w:p>
        </w:tc>
        <w:tc>
          <w:tcPr>
            <w:tcW w:w="1872" w:type="dxa"/>
            <w:tcMar>
              <w:top w:w="70" w:type="dxa"/>
              <w:left w:w="100" w:type="dxa"/>
              <w:bottom w:w="70" w:type="dxa"/>
              <w:right w:w="100" w:type="dxa"/>
            </w:tcMar>
          </w:tcPr>
          <w:p w14:paraId="002A0C94">
            <w:r>
              <w:rPr>
                <w:rFonts w:ascii="Times New Roman" w:hAnsi="Times New Roman"/>
                <w:sz w:val="17"/>
              </w:rPr>
              <w:t>O(N) Primitive Array</w:t>
            </w:r>
          </w:p>
        </w:tc>
        <w:tc>
          <w:tcPr>
            <w:tcW w:w="1872" w:type="dxa"/>
            <w:tcMar>
              <w:top w:w="70" w:type="dxa"/>
              <w:left w:w="100" w:type="dxa"/>
              <w:bottom w:w="70" w:type="dxa"/>
              <w:right w:w="100" w:type="dxa"/>
            </w:tcMar>
          </w:tcPr>
          <w:p w14:paraId="470CC906">
            <w:r>
              <w:rPr>
                <w:rFonts w:ascii="Times New Roman" w:hAnsi="Times New Roman"/>
                <w:b/>
                <w:sz w:val="17"/>
              </w:rPr>
              <w:t>0.12 ms / query</w:t>
            </w:r>
          </w:p>
        </w:tc>
      </w:tr>
      <w:tr w14:paraId="24CC6AC8">
        <w:tblPrEx>
          <w:tblCellMar>
            <w:top w:w="0" w:type="dxa"/>
            <w:left w:w="108" w:type="dxa"/>
            <w:bottom w:w="0" w:type="dxa"/>
            <w:right w:w="108" w:type="dxa"/>
          </w:tblCellMar>
        </w:tblPrEx>
        <w:trPr>
          <w:jc w:val="center"/>
        </w:trPr>
        <w:tc>
          <w:tcPr>
            <w:tcW w:w="1872" w:type="dxa"/>
            <w:shd w:val="clear" w:color="auto" w:fill="F8FAFC"/>
            <w:tcMar>
              <w:top w:w="70" w:type="dxa"/>
              <w:left w:w="100" w:type="dxa"/>
              <w:bottom w:w="70" w:type="dxa"/>
              <w:right w:w="100" w:type="dxa"/>
            </w:tcMar>
          </w:tcPr>
          <w:p w14:paraId="38227728">
            <w:r>
              <w:rPr>
                <w:rFonts w:ascii="Times New Roman" w:hAnsi="Times New Roman"/>
                <w:sz w:val="17"/>
              </w:rPr>
              <w:t>Aho-Corasick Automaton</w:t>
            </w:r>
          </w:p>
        </w:tc>
        <w:tc>
          <w:tcPr>
            <w:tcW w:w="1872" w:type="dxa"/>
            <w:shd w:val="clear" w:color="auto" w:fill="F8FAFC"/>
            <w:tcMar>
              <w:top w:w="70" w:type="dxa"/>
              <w:left w:w="100" w:type="dxa"/>
              <w:bottom w:w="70" w:type="dxa"/>
              <w:right w:w="100" w:type="dxa"/>
            </w:tcMar>
          </w:tcPr>
          <w:p w14:paraId="63E44B90">
            <w:r>
              <w:rPr>
                <w:rFonts w:ascii="Times New Roman" w:hAnsi="Times New Roman"/>
                <w:sz w:val="17"/>
              </w:rPr>
              <w:t>Array-backed Trie + Fail Links</w:t>
            </w:r>
          </w:p>
        </w:tc>
        <w:tc>
          <w:tcPr>
            <w:tcW w:w="1872" w:type="dxa"/>
            <w:shd w:val="clear" w:color="auto" w:fill="F8FAFC"/>
            <w:tcMar>
              <w:top w:w="70" w:type="dxa"/>
              <w:left w:w="100" w:type="dxa"/>
              <w:bottom w:w="70" w:type="dxa"/>
              <w:right w:w="100" w:type="dxa"/>
            </w:tcMar>
          </w:tcPr>
          <w:p w14:paraId="116AB913">
            <w:r>
              <w:rPr>
                <w:rFonts w:ascii="Times New Roman" w:hAnsi="Times New Roman"/>
                <w:sz w:val="17"/>
              </w:rPr>
              <w:t>O(n + m + z)</w:t>
            </w:r>
          </w:p>
        </w:tc>
        <w:tc>
          <w:tcPr>
            <w:tcW w:w="1872" w:type="dxa"/>
            <w:shd w:val="clear" w:color="auto" w:fill="F8FAFC"/>
            <w:tcMar>
              <w:top w:w="70" w:type="dxa"/>
              <w:left w:w="100" w:type="dxa"/>
              <w:bottom w:w="70" w:type="dxa"/>
              <w:right w:w="100" w:type="dxa"/>
            </w:tcMar>
          </w:tcPr>
          <w:p w14:paraId="136DC38C">
            <w:r>
              <w:rPr>
                <w:rFonts w:ascii="Times New Roman" w:hAnsi="Times New Roman"/>
                <w:sz w:val="17"/>
              </w:rPr>
              <w:t>O(m · |Σ|)</w:t>
            </w:r>
          </w:p>
        </w:tc>
        <w:tc>
          <w:tcPr>
            <w:tcW w:w="1872" w:type="dxa"/>
            <w:shd w:val="clear" w:color="auto" w:fill="F8FAFC"/>
            <w:tcMar>
              <w:top w:w="70" w:type="dxa"/>
              <w:left w:w="100" w:type="dxa"/>
              <w:bottom w:w="70" w:type="dxa"/>
              <w:right w:w="100" w:type="dxa"/>
            </w:tcMar>
          </w:tcPr>
          <w:p w14:paraId="6FA9FFDE">
            <w:r>
              <w:rPr>
                <w:rFonts w:ascii="Times New Roman" w:hAnsi="Times New Roman"/>
                <w:b/>
                <w:sz w:val="17"/>
              </w:rPr>
              <w:t>4.2 ms / 1k logs</w:t>
            </w:r>
          </w:p>
        </w:tc>
      </w:tr>
      <w:tr w14:paraId="0C856C30">
        <w:tblPrEx>
          <w:tblCellMar>
            <w:top w:w="0" w:type="dxa"/>
            <w:left w:w="108" w:type="dxa"/>
            <w:bottom w:w="0" w:type="dxa"/>
            <w:right w:w="108" w:type="dxa"/>
          </w:tblCellMar>
        </w:tblPrEx>
        <w:trPr>
          <w:jc w:val="center"/>
        </w:trPr>
        <w:tc>
          <w:tcPr>
            <w:tcW w:w="1872" w:type="dxa"/>
            <w:tcMar>
              <w:top w:w="70" w:type="dxa"/>
              <w:left w:w="100" w:type="dxa"/>
              <w:bottom w:w="70" w:type="dxa"/>
              <w:right w:w="100" w:type="dxa"/>
            </w:tcMar>
          </w:tcPr>
          <w:p w14:paraId="6F68C54B">
            <w:r>
              <w:rPr>
                <w:rFonts w:ascii="Times New Roman" w:hAnsi="Times New Roman"/>
                <w:sz w:val="17"/>
              </w:rPr>
              <w:t>Suffix Array + Kasai LCP</w:t>
            </w:r>
          </w:p>
        </w:tc>
        <w:tc>
          <w:tcPr>
            <w:tcW w:w="1872" w:type="dxa"/>
            <w:tcMar>
              <w:top w:w="70" w:type="dxa"/>
              <w:left w:w="100" w:type="dxa"/>
              <w:bottom w:w="70" w:type="dxa"/>
              <w:right w:w="100" w:type="dxa"/>
            </w:tcMar>
          </w:tcPr>
          <w:p w14:paraId="6893FBC3">
            <w:r>
              <w:rPr>
                <w:rFonts w:ascii="Times New Roman" w:hAnsi="Times New Roman"/>
                <w:sz w:val="17"/>
              </w:rPr>
              <w:t>Lexicographical Int Suffix Buffers</w:t>
            </w:r>
          </w:p>
        </w:tc>
        <w:tc>
          <w:tcPr>
            <w:tcW w:w="1872" w:type="dxa"/>
            <w:tcMar>
              <w:top w:w="70" w:type="dxa"/>
              <w:left w:w="100" w:type="dxa"/>
              <w:bottom w:w="70" w:type="dxa"/>
              <w:right w:w="100" w:type="dxa"/>
            </w:tcMar>
          </w:tcPr>
          <w:p w14:paraId="67892C0A">
            <w:r>
              <w:rPr>
                <w:rFonts w:ascii="Times New Roman" w:hAnsi="Times New Roman"/>
                <w:sz w:val="17"/>
              </w:rPr>
              <w:t>O(n log² n) / O(n)</w:t>
            </w:r>
          </w:p>
        </w:tc>
        <w:tc>
          <w:tcPr>
            <w:tcW w:w="1872" w:type="dxa"/>
            <w:tcMar>
              <w:top w:w="70" w:type="dxa"/>
              <w:left w:w="100" w:type="dxa"/>
              <w:bottom w:w="70" w:type="dxa"/>
              <w:right w:w="100" w:type="dxa"/>
            </w:tcMar>
          </w:tcPr>
          <w:p w14:paraId="06E6437D">
            <w:r>
              <w:rPr>
                <w:rFonts w:ascii="Times New Roman" w:hAnsi="Times New Roman"/>
                <w:sz w:val="17"/>
              </w:rPr>
              <w:t>O(n) Linear Array</w:t>
            </w:r>
          </w:p>
        </w:tc>
        <w:tc>
          <w:tcPr>
            <w:tcW w:w="1872" w:type="dxa"/>
            <w:tcMar>
              <w:top w:w="70" w:type="dxa"/>
              <w:left w:w="100" w:type="dxa"/>
              <w:bottom w:w="70" w:type="dxa"/>
              <w:right w:w="100" w:type="dxa"/>
            </w:tcMar>
          </w:tcPr>
          <w:p w14:paraId="07CCB2F9">
            <w:r>
              <w:rPr>
                <w:rFonts w:ascii="Times New Roman" w:hAnsi="Times New Roman"/>
                <w:b/>
                <w:sz w:val="17"/>
              </w:rPr>
              <w:t>14.6 ms / batch</w:t>
            </w:r>
          </w:p>
        </w:tc>
      </w:tr>
      <w:tr w14:paraId="491CFFF6">
        <w:tblPrEx>
          <w:tblCellMar>
            <w:top w:w="0" w:type="dxa"/>
            <w:left w:w="108" w:type="dxa"/>
            <w:bottom w:w="0" w:type="dxa"/>
            <w:right w:w="108" w:type="dxa"/>
          </w:tblCellMar>
        </w:tblPrEx>
        <w:trPr>
          <w:jc w:val="center"/>
        </w:trPr>
        <w:tc>
          <w:tcPr>
            <w:tcW w:w="1872" w:type="dxa"/>
            <w:shd w:val="clear" w:color="auto" w:fill="F8FAFC"/>
            <w:tcMar>
              <w:top w:w="70" w:type="dxa"/>
              <w:left w:w="100" w:type="dxa"/>
              <w:bottom w:w="70" w:type="dxa"/>
              <w:right w:w="100" w:type="dxa"/>
            </w:tcMar>
          </w:tcPr>
          <w:p w14:paraId="6C70B97E">
            <w:r>
              <w:rPr>
                <w:rFonts w:ascii="Times New Roman" w:hAnsi="Times New Roman"/>
                <w:sz w:val="17"/>
              </w:rPr>
              <w:t>Wagner-Fischer DP</w:t>
            </w:r>
          </w:p>
        </w:tc>
        <w:tc>
          <w:tcPr>
            <w:tcW w:w="1872" w:type="dxa"/>
            <w:shd w:val="clear" w:color="auto" w:fill="F8FAFC"/>
            <w:tcMar>
              <w:top w:w="70" w:type="dxa"/>
              <w:left w:w="100" w:type="dxa"/>
              <w:bottom w:w="70" w:type="dxa"/>
              <w:right w:w="100" w:type="dxa"/>
            </w:tcMar>
          </w:tcPr>
          <w:p w14:paraId="2C8AD9F8">
            <w:r>
              <w:rPr>
                <w:rFonts w:ascii="Times New Roman" w:hAnsi="Times New Roman"/>
                <w:sz w:val="17"/>
              </w:rPr>
              <w:t>Two-row Rolling DP Buffer</w:t>
            </w:r>
          </w:p>
        </w:tc>
        <w:tc>
          <w:tcPr>
            <w:tcW w:w="1872" w:type="dxa"/>
            <w:shd w:val="clear" w:color="auto" w:fill="F8FAFC"/>
            <w:tcMar>
              <w:top w:w="70" w:type="dxa"/>
              <w:left w:w="100" w:type="dxa"/>
              <w:bottom w:w="70" w:type="dxa"/>
              <w:right w:w="100" w:type="dxa"/>
            </w:tcMar>
          </w:tcPr>
          <w:p w14:paraId="29DEC516">
            <w:r>
              <w:rPr>
                <w:rFonts w:ascii="Times New Roman" w:hAnsi="Times New Roman"/>
                <w:sz w:val="17"/>
              </w:rPr>
              <w:t>O(nm) Per Pair</w:t>
            </w:r>
          </w:p>
        </w:tc>
        <w:tc>
          <w:tcPr>
            <w:tcW w:w="1872" w:type="dxa"/>
            <w:shd w:val="clear" w:color="auto" w:fill="F8FAFC"/>
            <w:tcMar>
              <w:top w:w="70" w:type="dxa"/>
              <w:left w:w="100" w:type="dxa"/>
              <w:bottom w:w="70" w:type="dxa"/>
              <w:right w:w="100" w:type="dxa"/>
            </w:tcMar>
          </w:tcPr>
          <w:p w14:paraId="07C7015E">
            <w:r>
              <w:rPr>
                <w:rFonts w:ascii="Times New Roman" w:hAnsi="Times New Roman"/>
                <w:sz w:val="17"/>
              </w:rPr>
              <w:t>O(min(n, m))</w:t>
            </w:r>
          </w:p>
        </w:tc>
        <w:tc>
          <w:tcPr>
            <w:tcW w:w="1872" w:type="dxa"/>
            <w:shd w:val="clear" w:color="auto" w:fill="F8FAFC"/>
            <w:tcMar>
              <w:top w:w="70" w:type="dxa"/>
              <w:left w:w="100" w:type="dxa"/>
              <w:bottom w:w="70" w:type="dxa"/>
              <w:right w:w="100" w:type="dxa"/>
            </w:tcMar>
          </w:tcPr>
          <w:p w14:paraId="3B1C1929">
            <w:r>
              <w:rPr>
                <w:rFonts w:ascii="Times New Roman" w:hAnsi="Times New Roman"/>
                <w:b/>
                <w:sz w:val="17"/>
              </w:rPr>
              <w:t>0.08 ms / check</w:t>
            </w:r>
          </w:p>
        </w:tc>
      </w:tr>
      <w:tr w14:paraId="2D64038F">
        <w:tblPrEx>
          <w:tblCellMar>
            <w:top w:w="0" w:type="dxa"/>
            <w:left w:w="108" w:type="dxa"/>
            <w:bottom w:w="0" w:type="dxa"/>
            <w:right w:w="108" w:type="dxa"/>
          </w:tblCellMar>
        </w:tblPrEx>
        <w:trPr>
          <w:jc w:val="center"/>
        </w:trPr>
        <w:tc>
          <w:tcPr>
            <w:tcW w:w="1872" w:type="dxa"/>
            <w:tcMar>
              <w:top w:w="70" w:type="dxa"/>
              <w:left w:w="100" w:type="dxa"/>
              <w:bottom w:w="70" w:type="dxa"/>
              <w:right w:w="100" w:type="dxa"/>
            </w:tcMar>
          </w:tcPr>
          <w:p w14:paraId="4628E6DB">
            <w:r>
              <w:rPr>
                <w:rFonts w:ascii="Times New Roman" w:hAnsi="Times New Roman"/>
                <w:sz w:val="17"/>
              </w:rPr>
              <w:t>Dinic Max-Flow / Min-Cut</w:t>
            </w:r>
          </w:p>
        </w:tc>
        <w:tc>
          <w:tcPr>
            <w:tcW w:w="1872" w:type="dxa"/>
            <w:tcMar>
              <w:top w:w="70" w:type="dxa"/>
              <w:left w:w="100" w:type="dxa"/>
              <w:bottom w:w="70" w:type="dxa"/>
              <w:right w:w="100" w:type="dxa"/>
            </w:tcMar>
          </w:tcPr>
          <w:p w14:paraId="3D8ACA35">
            <w:r>
              <w:rPr>
                <w:rFonts w:ascii="Times New Roman" w:hAnsi="Times New Roman"/>
                <w:sz w:val="17"/>
              </w:rPr>
              <w:t>Forward-Star Residual Graph</w:t>
            </w:r>
          </w:p>
        </w:tc>
        <w:tc>
          <w:tcPr>
            <w:tcW w:w="1872" w:type="dxa"/>
            <w:tcMar>
              <w:top w:w="70" w:type="dxa"/>
              <w:left w:w="100" w:type="dxa"/>
              <w:bottom w:w="70" w:type="dxa"/>
              <w:right w:w="100" w:type="dxa"/>
            </w:tcMar>
          </w:tcPr>
          <w:p w14:paraId="24CB2001">
            <w:r>
              <w:rPr>
                <w:rFonts w:ascii="Times New Roman" w:hAnsi="Times New Roman"/>
                <w:sz w:val="17"/>
              </w:rPr>
              <w:t>O(V²E)</w:t>
            </w:r>
          </w:p>
        </w:tc>
        <w:tc>
          <w:tcPr>
            <w:tcW w:w="1872" w:type="dxa"/>
            <w:tcMar>
              <w:top w:w="70" w:type="dxa"/>
              <w:left w:w="100" w:type="dxa"/>
              <w:bottom w:w="70" w:type="dxa"/>
              <w:right w:w="100" w:type="dxa"/>
            </w:tcMar>
          </w:tcPr>
          <w:p w14:paraId="6A27D754">
            <w:r>
              <w:rPr>
                <w:rFonts w:ascii="Times New Roman" w:hAnsi="Times New Roman"/>
                <w:sz w:val="17"/>
              </w:rPr>
              <w:t>O(V + E) Fixed Primitives</w:t>
            </w:r>
          </w:p>
        </w:tc>
        <w:tc>
          <w:tcPr>
            <w:tcW w:w="1872" w:type="dxa"/>
            <w:tcMar>
              <w:top w:w="70" w:type="dxa"/>
              <w:left w:w="100" w:type="dxa"/>
              <w:bottom w:w="70" w:type="dxa"/>
              <w:right w:w="100" w:type="dxa"/>
            </w:tcMar>
          </w:tcPr>
          <w:p w14:paraId="15637A10">
            <w:r>
              <w:rPr>
                <w:rFonts w:ascii="Times New Roman" w:hAnsi="Times New Roman"/>
                <w:b/>
                <w:sz w:val="17"/>
              </w:rPr>
              <w:t>0.48 ms / session</w:t>
            </w:r>
          </w:p>
        </w:tc>
      </w:tr>
      <w:tr w14:paraId="057E7DEF">
        <w:tblPrEx>
          <w:tblCellMar>
            <w:top w:w="0" w:type="dxa"/>
            <w:left w:w="108" w:type="dxa"/>
            <w:bottom w:w="0" w:type="dxa"/>
            <w:right w:w="108" w:type="dxa"/>
          </w:tblCellMar>
        </w:tblPrEx>
        <w:trPr>
          <w:jc w:val="center"/>
        </w:trPr>
        <w:tc>
          <w:tcPr>
            <w:tcW w:w="1872" w:type="dxa"/>
            <w:shd w:val="clear" w:color="auto" w:fill="F8FAFC"/>
            <w:tcMar>
              <w:top w:w="70" w:type="dxa"/>
              <w:left w:w="100" w:type="dxa"/>
              <w:bottom w:w="70" w:type="dxa"/>
              <w:right w:w="100" w:type="dxa"/>
            </w:tcMar>
          </w:tcPr>
          <w:p w14:paraId="48A07E30">
            <w:r>
              <w:rPr>
                <w:rFonts w:ascii="Times New Roman" w:hAnsi="Times New Roman"/>
                <w:sz w:val="17"/>
              </w:rPr>
              <w:t>Vertex Cover 2-Approx</w:t>
            </w:r>
          </w:p>
        </w:tc>
        <w:tc>
          <w:tcPr>
            <w:tcW w:w="1872" w:type="dxa"/>
            <w:shd w:val="clear" w:color="auto" w:fill="F8FAFC"/>
            <w:tcMar>
              <w:top w:w="70" w:type="dxa"/>
              <w:left w:w="100" w:type="dxa"/>
              <w:bottom w:w="70" w:type="dxa"/>
              <w:right w:w="100" w:type="dxa"/>
            </w:tcMar>
          </w:tcPr>
          <w:p w14:paraId="56B90B69">
            <w:r>
              <w:rPr>
                <w:rFonts w:ascii="Times New Roman" w:hAnsi="Times New Roman"/>
                <w:sz w:val="17"/>
              </w:rPr>
              <w:t>Maximal Matching Edge List</w:t>
            </w:r>
          </w:p>
        </w:tc>
        <w:tc>
          <w:tcPr>
            <w:tcW w:w="1872" w:type="dxa"/>
            <w:shd w:val="clear" w:color="auto" w:fill="F8FAFC"/>
            <w:tcMar>
              <w:top w:w="70" w:type="dxa"/>
              <w:left w:w="100" w:type="dxa"/>
              <w:bottom w:w="70" w:type="dxa"/>
              <w:right w:w="100" w:type="dxa"/>
            </w:tcMar>
          </w:tcPr>
          <w:p w14:paraId="69EBA309">
            <w:r>
              <w:rPr>
                <w:rFonts w:ascii="Times New Roman" w:hAnsi="Times New Roman"/>
                <w:sz w:val="17"/>
              </w:rPr>
              <w:t>O(V + E)</w:t>
            </w:r>
          </w:p>
        </w:tc>
        <w:tc>
          <w:tcPr>
            <w:tcW w:w="1872" w:type="dxa"/>
            <w:shd w:val="clear" w:color="auto" w:fill="F8FAFC"/>
            <w:tcMar>
              <w:top w:w="70" w:type="dxa"/>
              <w:left w:w="100" w:type="dxa"/>
              <w:bottom w:w="70" w:type="dxa"/>
              <w:right w:w="100" w:type="dxa"/>
            </w:tcMar>
          </w:tcPr>
          <w:p w14:paraId="1AE8EE1E">
            <w:r>
              <w:rPr>
                <w:rFonts w:ascii="Times New Roman" w:hAnsi="Times New Roman"/>
                <w:sz w:val="17"/>
              </w:rPr>
              <w:t>O(V) Boolean BitSet</w:t>
            </w:r>
          </w:p>
        </w:tc>
        <w:tc>
          <w:tcPr>
            <w:tcW w:w="1872" w:type="dxa"/>
            <w:shd w:val="clear" w:color="auto" w:fill="F8FAFC"/>
            <w:tcMar>
              <w:top w:w="70" w:type="dxa"/>
              <w:left w:w="100" w:type="dxa"/>
              <w:bottom w:w="70" w:type="dxa"/>
              <w:right w:w="100" w:type="dxa"/>
            </w:tcMar>
          </w:tcPr>
          <w:p w14:paraId="10822D6B">
            <w:r>
              <w:rPr>
                <w:rFonts w:ascii="Times New Roman" w:hAnsi="Times New Roman"/>
                <w:b/>
                <w:sz w:val="17"/>
              </w:rPr>
              <w:t>0.22 ms / cluster</w:t>
            </w:r>
          </w:p>
        </w:tc>
      </w:tr>
    </w:tbl>
    <w:p w14:paraId="293F62CA">
      <w:pPr>
        <w:spacing w:before="80" w:after="200"/>
        <w:jc w:val="center"/>
      </w:pPr>
      <w:r>
        <w:rPr>
          <w:rFonts w:ascii="Times New Roman" w:hAnsi="Times New Roman"/>
          <w:b/>
          <w:sz w:val="19"/>
        </w:rPr>
        <w:t>TABLE 3: Theoretical and empirical performance benchmarks of hand-built DSA components</w:t>
      </w:r>
    </w:p>
    <w:p w14:paraId="643C04B9">
      <w:pPr>
        <w:spacing w:before="80" w:after="80"/>
        <w:jc w:val="center"/>
      </w:pPr>
      <w:r>
        <w:drawing>
          <wp:inline distT="0" distB="0" distL="114300" distR="114300">
            <wp:extent cx="5486400" cy="3726815"/>
            <wp:effectExtent l="0" t="0" r="0"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486400" cy="3726864"/>
                    </a:xfrm>
                    <a:prstGeom prst="rect">
                      <a:avLst/>
                    </a:prstGeom>
                  </pic:spPr>
                </pic:pic>
              </a:graphicData>
            </a:graphic>
          </wp:inline>
        </w:drawing>
      </w:r>
    </w:p>
    <w:p w14:paraId="217092C8">
      <w:pPr>
        <w:spacing w:after="200"/>
        <w:jc w:val="center"/>
      </w:pPr>
      <w:r>
        <w:rPr>
          <w:rFonts w:ascii="Times New Roman" w:hAnsi="Times New Roman"/>
          <w:b/>
          <w:sz w:val="20"/>
        </w:rPr>
        <w:t>FIGURE 3: Fraud detection analytics showing class-wise distribution, fraud score density with cutoff threshold, weekly attendance trend, and classification confusion matrix.</w:t>
      </w:r>
    </w:p>
    <w:p w14:paraId="128C36D3">
      <w:pPr>
        <w:spacing w:before="0" w:after="120" w:line="276" w:lineRule="auto"/>
        <w:jc w:val="left"/>
      </w:pPr>
      <w:r>
        <w:rPr>
          <w:rFonts w:ascii="Times New Roman" w:hAnsi="Times New Roman"/>
          <w:b w:val="0"/>
          <w:i w:val="0"/>
          <w:sz w:val="22"/>
        </w:rPr>
        <w:t>Faculty Portal Dashboard View and Alert Dissemination: As shown in Figure 3 and detailed in Table 4, the platform translates low-level algorithmic detections into intuitive, high-level administrative insights on the faculty dashboard. Out of 120 enrolled students, the system recorded an average weekly attendance of 88.2% (Monday: 92.5%, Tuesday: 89.0%, Wednesday: 88.2%, Thursday: 86.5%, Friday: 86.0%). During the Review-1 prototype session, three critical anomalies were automatically flagged when composite fraud scores exceeded the 70% threshold. Faculty members were able to immediately review the offending records and confirm proxy attempts with a single click, without manually inspecting raw database rows or writing SQL queries.</w:t>
      </w:r>
    </w:p>
    <w:tbl>
      <w:tblPr>
        <w:tblStyle w:val="12"/>
        <w:tblW w:w="0" w:type="auto"/>
        <w:jc w:val="center"/>
        <w:tblLayout w:type="fixed"/>
        <w:tblCellMar>
          <w:top w:w="0" w:type="dxa"/>
          <w:left w:w="108" w:type="dxa"/>
          <w:bottom w:w="0" w:type="dxa"/>
          <w:right w:w="108" w:type="dxa"/>
        </w:tblCellMar>
      </w:tblPr>
      <w:tblGrid>
        <w:gridCol w:w="2340"/>
        <w:gridCol w:w="2340"/>
        <w:gridCol w:w="2340"/>
        <w:gridCol w:w="2340"/>
      </w:tblGrid>
      <w:tr w14:paraId="787407B7">
        <w:tblPrEx>
          <w:tblCellMar>
            <w:top w:w="0" w:type="dxa"/>
            <w:left w:w="108" w:type="dxa"/>
            <w:bottom w:w="0" w:type="dxa"/>
            <w:right w:w="108" w:type="dxa"/>
          </w:tblCellMar>
        </w:tblPrEx>
        <w:trPr>
          <w:jc w:val="center"/>
        </w:trPr>
        <w:tc>
          <w:tcPr>
            <w:tcW w:w="2340" w:type="dxa"/>
            <w:shd w:val="clear" w:color="auto" w:fill="E2E8F0"/>
            <w:tcMar>
              <w:top w:w="90" w:type="dxa"/>
              <w:left w:w="110" w:type="dxa"/>
              <w:bottom w:w="90" w:type="dxa"/>
              <w:right w:w="110" w:type="dxa"/>
            </w:tcMar>
          </w:tcPr>
          <w:p w14:paraId="4D37C340">
            <w:r>
              <w:rPr>
                <w:rFonts w:ascii="Times New Roman" w:hAnsi="Times New Roman"/>
                <w:b/>
                <w:sz w:val="19"/>
              </w:rPr>
              <w:t>Student ID</w:t>
            </w:r>
          </w:p>
        </w:tc>
        <w:tc>
          <w:tcPr>
            <w:tcW w:w="2340" w:type="dxa"/>
            <w:shd w:val="clear" w:color="auto" w:fill="E2E8F0"/>
            <w:tcMar>
              <w:top w:w="90" w:type="dxa"/>
              <w:left w:w="110" w:type="dxa"/>
              <w:bottom w:w="90" w:type="dxa"/>
              <w:right w:w="110" w:type="dxa"/>
            </w:tcMar>
          </w:tcPr>
          <w:p w14:paraId="00FFB4FC">
            <w:r>
              <w:rPr>
                <w:rFonts w:ascii="Times New Roman" w:hAnsi="Times New Roman"/>
                <w:b/>
                <w:sz w:val="19"/>
              </w:rPr>
              <w:t>Assigned Fraud Score</w:t>
            </w:r>
          </w:p>
        </w:tc>
        <w:tc>
          <w:tcPr>
            <w:tcW w:w="2340" w:type="dxa"/>
            <w:shd w:val="clear" w:color="auto" w:fill="E2E8F0"/>
            <w:tcMar>
              <w:top w:w="90" w:type="dxa"/>
              <w:left w:w="110" w:type="dxa"/>
              <w:bottom w:w="90" w:type="dxa"/>
              <w:right w:w="110" w:type="dxa"/>
            </w:tcMar>
          </w:tcPr>
          <w:p w14:paraId="1CFE45BD">
            <w:r>
              <w:rPr>
                <w:rFonts w:ascii="Times New Roman" w:hAnsi="Times New Roman"/>
                <w:b/>
                <w:sz w:val="19"/>
              </w:rPr>
              <w:t>Detected Algorithmic Reason</w:t>
            </w:r>
          </w:p>
        </w:tc>
        <w:tc>
          <w:tcPr>
            <w:tcW w:w="2340" w:type="dxa"/>
            <w:shd w:val="clear" w:color="auto" w:fill="E2E8F0"/>
            <w:tcMar>
              <w:top w:w="90" w:type="dxa"/>
              <w:left w:w="110" w:type="dxa"/>
              <w:bottom w:w="90" w:type="dxa"/>
              <w:right w:w="110" w:type="dxa"/>
            </w:tcMar>
          </w:tcPr>
          <w:p w14:paraId="75CFAD43">
            <w:r>
              <w:rPr>
                <w:rFonts w:ascii="Times New Roman" w:hAnsi="Times New Roman"/>
                <w:b/>
                <w:sz w:val="19"/>
              </w:rPr>
              <w:t>Faculty Action Status</w:t>
            </w:r>
          </w:p>
        </w:tc>
      </w:tr>
      <w:tr w14:paraId="1E2E6482">
        <w:tblPrEx>
          <w:tblCellMar>
            <w:top w:w="0" w:type="dxa"/>
            <w:left w:w="108" w:type="dxa"/>
            <w:bottom w:w="0" w:type="dxa"/>
            <w:right w:w="108" w:type="dxa"/>
          </w:tblCellMar>
        </w:tblPrEx>
        <w:trPr>
          <w:jc w:val="center"/>
        </w:trPr>
        <w:tc>
          <w:tcPr>
            <w:tcW w:w="2340" w:type="dxa"/>
            <w:tcMar>
              <w:top w:w="80" w:type="dxa"/>
              <w:left w:w="110" w:type="dxa"/>
              <w:bottom w:w="80" w:type="dxa"/>
              <w:right w:w="110" w:type="dxa"/>
            </w:tcMar>
          </w:tcPr>
          <w:p w14:paraId="5B267F20">
            <w:r>
              <w:rPr>
                <w:rFonts w:ascii="Times New Roman" w:hAnsi="Times New Roman"/>
                <w:sz w:val="18"/>
              </w:rPr>
              <w:t>2510030290</w:t>
            </w:r>
          </w:p>
        </w:tc>
        <w:tc>
          <w:tcPr>
            <w:tcW w:w="2340" w:type="dxa"/>
            <w:tcMar>
              <w:top w:w="80" w:type="dxa"/>
              <w:left w:w="110" w:type="dxa"/>
              <w:bottom w:w="80" w:type="dxa"/>
              <w:right w:w="110" w:type="dxa"/>
            </w:tcMar>
          </w:tcPr>
          <w:p w14:paraId="4320F188">
            <w:r>
              <w:rPr>
                <w:rFonts w:ascii="Times New Roman" w:hAnsi="Times New Roman"/>
                <w:b/>
                <w:sz w:val="18"/>
              </w:rPr>
              <w:t>85% (High Risk)</w:t>
            </w:r>
          </w:p>
        </w:tc>
        <w:tc>
          <w:tcPr>
            <w:tcW w:w="2340" w:type="dxa"/>
            <w:tcMar>
              <w:top w:w="80" w:type="dxa"/>
              <w:left w:w="110" w:type="dxa"/>
              <w:bottom w:w="80" w:type="dxa"/>
              <w:right w:w="110" w:type="dxa"/>
            </w:tcMar>
          </w:tcPr>
          <w:p w14:paraId="7CD5B377">
            <w:r>
              <w:rPr>
                <w:rFonts w:ascii="Times New Roman" w:hAnsi="Times New Roman"/>
                <w:sz w:val="18"/>
              </w:rPr>
              <w:t>Duplicate logs detected from distinct IP subnets within 4s</w:t>
            </w:r>
          </w:p>
        </w:tc>
        <w:tc>
          <w:tcPr>
            <w:tcW w:w="2340" w:type="dxa"/>
            <w:tcMar>
              <w:top w:w="80" w:type="dxa"/>
              <w:left w:w="110" w:type="dxa"/>
              <w:bottom w:w="80" w:type="dxa"/>
              <w:right w:w="110" w:type="dxa"/>
            </w:tcMar>
          </w:tcPr>
          <w:p w14:paraId="14D67AB7">
            <w:r>
              <w:rPr>
                <w:rFonts w:ascii="Times New Roman" w:hAnsi="Times New Roman"/>
                <w:sz w:val="18"/>
              </w:rPr>
              <w:t>Flagged for Review</w:t>
            </w:r>
          </w:p>
        </w:tc>
      </w:tr>
      <w:tr w14:paraId="746FE8A3">
        <w:tblPrEx>
          <w:tblCellMar>
            <w:top w:w="0" w:type="dxa"/>
            <w:left w:w="108" w:type="dxa"/>
            <w:bottom w:w="0" w:type="dxa"/>
            <w:right w:w="108" w:type="dxa"/>
          </w:tblCellMar>
        </w:tblPrEx>
        <w:trPr>
          <w:jc w:val="center"/>
        </w:trPr>
        <w:tc>
          <w:tcPr>
            <w:tcW w:w="2340" w:type="dxa"/>
            <w:shd w:val="clear" w:color="auto" w:fill="F8FAFC"/>
            <w:tcMar>
              <w:top w:w="80" w:type="dxa"/>
              <w:left w:w="110" w:type="dxa"/>
              <w:bottom w:w="80" w:type="dxa"/>
              <w:right w:w="110" w:type="dxa"/>
            </w:tcMar>
          </w:tcPr>
          <w:p w14:paraId="4ABFFC7A">
            <w:r>
              <w:rPr>
                <w:rFonts w:ascii="Times New Roman" w:hAnsi="Times New Roman"/>
                <w:sz w:val="18"/>
              </w:rPr>
              <w:t>2510030415</w:t>
            </w:r>
          </w:p>
        </w:tc>
        <w:tc>
          <w:tcPr>
            <w:tcW w:w="2340" w:type="dxa"/>
            <w:shd w:val="clear" w:color="auto" w:fill="F8FAFC"/>
            <w:tcMar>
              <w:top w:w="80" w:type="dxa"/>
              <w:left w:w="110" w:type="dxa"/>
              <w:bottom w:w="80" w:type="dxa"/>
              <w:right w:w="110" w:type="dxa"/>
            </w:tcMar>
          </w:tcPr>
          <w:p w14:paraId="2B3CBB70">
            <w:r>
              <w:rPr>
                <w:rFonts w:ascii="Times New Roman" w:hAnsi="Times New Roman"/>
                <w:b/>
                <w:sz w:val="18"/>
              </w:rPr>
              <w:t>90% (High Risk)</w:t>
            </w:r>
          </w:p>
        </w:tc>
        <w:tc>
          <w:tcPr>
            <w:tcW w:w="2340" w:type="dxa"/>
            <w:shd w:val="clear" w:color="auto" w:fill="F8FAFC"/>
            <w:tcMar>
              <w:top w:w="80" w:type="dxa"/>
              <w:left w:w="110" w:type="dxa"/>
              <w:bottom w:w="80" w:type="dxa"/>
              <w:right w:w="110" w:type="dxa"/>
            </w:tcMar>
          </w:tcPr>
          <w:p w14:paraId="5E98EF3F">
            <w:r>
              <w:rPr>
                <w:rFonts w:ascii="Times New Roman" w:hAnsi="Times New Roman"/>
                <w:sz w:val="18"/>
              </w:rPr>
              <w:t>IP Mismatch - 2 consecutive logs from remote cellular IP in 1 min</w:t>
            </w:r>
          </w:p>
        </w:tc>
        <w:tc>
          <w:tcPr>
            <w:tcW w:w="2340" w:type="dxa"/>
            <w:shd w:val="clear" w:color="auto" w:fill="F8FAFC"/>
            <w:tcMar>
              <w:top w:w="80" w:type="dxa"/>
              <w:left w:w="110" w:type="dxa"/>
              <w:bottom w:w="80" w:type="dxa"/>
              <w:right w:w="110" w:type="dxa"/>
            </w:tcMar>
          </w:tcPr>
          <w:p w14:paraId="7134A8A5">
            <w:r>
              <w:rPr>
                <w:rFonts w:ascii="Times New Roman" w:hAnsi="Times New Roman"/>
                <w:sz w:val="18"/>
              </w:rPr>
              <w:t>Proxy Alert Raised</w:t>
            </w:r>
          </w:p>
        </w:tc>
      </w:tr>
      <w:tr w14:paraId="0DDED29F">
        <w:tblPrEx>
          <w:tblCellMar>
            <w:top w:w="0" w:type="dxa"/>
            <w:left w:w="108" w:type="dxa"/>
            <w:bottom w:w="0" w:type="dxa"/>
            <w:right w:w="108" w:type="dxa"/>
          </w:tblCellMar>
        </w:tblPrEx>
        <w:trPr>
          <w:jc w:val="center"/>
        </w:trPr>
        <w:tc>
          <w:tcPr>
            <w:tcW w:w="2340" w:type="dxa"/>
            <w:tcMar>
              <w:top w:w="80" w:type="dxa"/>
              <w:left w:w="110" w:type="dxa"/>
              <w:bottom w:w="80" w:type="dxa"/>
              <w:right w:w="110" w:type="dxa"/>
            </w:tcMar>
          </w:tcPr>
          <w:p w14:paraId="09A39CE9">
            <w:r>
              <w:rPr>
                <w:rFonts w:ascii="Times New Roman" w:hAnsi="Times New Roman"/>
                <w:sz w:val="18"/>
              </w:rPr>
              <w:t>2510030110</w:t>
            </w:r>
          </w:p>
        </w:tc>
        <w:tc>
          <w:tcPr>
            <w:tcW w:w="2340" w:type="dxa"/>
            <w:tcMar>
              <w:top w:w="80" w:type="dxa"/>
              <w:left w:w="110" w:type="dxa"/>
              <w:bottom w:w="80" w:type="dxa"/>
              <w:right w:w="110" w:type="dxa"/>
            </w:tcMar>
          </w:tcPr>
          <w:p w14:paraId="432253E8">
            <w:r>
              <w:rPr>
                <w:rFonts w:ascii="Times New Roman" w:hAnsi="Times New Roman"/>
                <w:sz w:val="18"/>
              </w:rPr>
              <w:t>45% (Medium Risk)</w:t>
            </w:r>
          </w:p>
        </w:tc>
        <w:tc>
          <w:tcPr>
            <w:tcW w:w="2340" w:type="dxa"/>
            <w:tcMar>
              <w:top w:w="80" w:type="dxa"/>
              <w:left w:w="110" w:type="dxa"/>
              <w:bottom w:w="80" w:type="dxa"/>
              <w:right w:w="110" w:type="dxa"/>
            </w:tcMar>
          </w:tcPr>
          <w:p w14:paraId="2ECC30CE">
            <w:r>
              <w:rPr>
                <w:rFonts w:ascii="Times New Roman" w:hAnsi="Times New Roman"/>
                <w:sz w:val="18"/>
              </w:rPr>
              <w:t>High-velocity check-in pattern; anomalous device header fingerprint</w:t>
            </w:r>
          </w:p>
        </w:tc>
        <w:tc>
          <w:tcPr>
            <w:tcW w:w="2340" w:type="dxa"/>
            <w:tcMar>
              <w:top w:w="80" w:type="dxa"/>
              <w:left w:w="110" w:type="dxa"/>
              <w:bottom w:w="80" w:type="dxa"/>
              <w:right w:w="110" w:type="dxa"/>
            </w:tcMar>
          </w:tcPr>
          <w:p w14:paraId="6C769F5F">
            <w:r>
              <w:rPr>
                <w:rFonts w:ascii="Times New Roman" w:hAnsi="Times New Roman"/>
                <w:sz w:val="18"/>
              </w:rPr>
              <w:t>Under Observation</w:t>
            </w:r>
          </w:p>
        </w:tc>
      </w:tr>
    </w:tbl>
    <w:p w14:paraId="13208B21">
      <w:pPr>
        <w:spacing w:before="80" w:after="280"/>
        <w:jc w:val="center"/>
      </w:pPr>
      <w:r>
        <w:rPr>
          <w:rFonts w:ascii="Times New Roman" w:hAnsi="Times New Roman"/>
          <w:b/>
          <w:sz w:val="19"/>
        </w:rPr>
        <w:t>TABLE 4: Faculty Portal Dashboard View and Student Anomaly Classification Log (Prototype Mock Data)</w:t>
      </w:r>
    </w:p>
    <w:p w14:paraId="4D4D36FE">
      <w:pPr>
        <w:pStyle w:val="2"/>
        <w:spacing w:before="240" w:after="160"/>
      </w:pPr>
      <w:r>
        <w:t>CONCLUSION and FUTURE WORK</w:t>
      </w:r>
    </w:p>
    <w:p w14:paraId="58688CD1">
      <w:pPr>
        <w:spacing w:before="0" w:after="160" w:line="276" w:lineRule="auto"/>
        <w:jc w:val="left"/>
      </w:pPr>
      <w:r>
        <w:rPr>
          <w:rFonts w:ascii="Times New Roman" w:hAnsi="Times New Roman"/>
          <w:b w:val="0"/>
          <w:i w:val="0"/>
          <w:sz w:val="22"/>
        </w:rPr>
        <w:t>In this paper, we proposed a novel string-, DP-, and flow-based attendance analytics platform with fraud detection to address this issue. We discovered that to classify the fine-grained attendance fraud problem, it is necessary to consider not only the duplicate check from the initial hashing stage but also the multi-pattern features from the string matching stage, the temporal alignment features from the dynamic programming stage, and the structural graph cuts from the network flow stage. This helps to make the model more accurate and robust. In the future, one of our primary goals will be to build a model that is both more accurate and reliable in terms of fine-grained attendance fraud classification and automated biometric cross-verification.</w:t>
      </w:r>
    </w:p>
    <w:p w14:paraId="39E2EDFF">
      <w:pPr>
        <w:spacing w:before="0" w:after="280" w:line="276" w:lineRule="auto"/>
        <w:jc w:val="left"/>
      </w:pPr>
      <w:r>
        <w:rPr>
          <w:rFonts w:ascii="Times New Roman" w:hAnsi="Times New Roman"/>
          <w:b w:val="0"/>
          <w:i w:val="0"/>
          <w:sz w:val="22"/>
        </w:rPr>
        <w:t>Operating on a lightweight memory footprint of less than 120 MB RAM with zero java.util.* dependencies, the prototype proves that high-availability fraud detection and real-time attendance analytics can be achieved cost-effectively on commodity hardware. Future iterations will focus on expanding this algorithmic architecture across four key directions: (1) integrating Bluetooth Low Energy (BLE) beacon RSSI triangulation to geometrically bound student physical location within lecture halls; (2) incorporating Min-Cost Max-Flow (MCMF) algorithms to optimally balance flagged audit workloads across departmental coordinators; (3) introducing edge-device lightweight facial verification using quantized convolutional networks (MobileNetV3) to cross-verify biometric signatures with zero cloud latency; and (4) deploying an immutable consortium blockchain ledger (Hyperledger Fabric) to prevent administrative tampering of verified historical attendance records.</w:t>
      </w:r>
    </w:p>
    <w:p w14:paraId="411C5E2A">
      <w:pPr>
        <w:pStyle w:val="2"/>
        <w:spacing w:before="240" w:after="160"/>
      </w:pPr>
      <w:r>
        <w:t>References</w:t>
      </w:r>
    </w:p>
    <w:p w14:paraId="5122F6A3">
      <w:pPr>
        <w:spacing w:after="80" w:line="276" w:lineRule="auto"/>
        <w:ind w:left="360" w:hanging="360"/>
      </w:pPr>
      <w:r>
        <w:rPr>
          <w:rFonts w:ascii="Times New Roman" w:hAnsi="Times New Roman"/>
          <w:sz w:val="20"/>
        </w:rPr>
        <w:t>R. M. Karp and M. O. Rabin, "Efficient randomized pattern-matching algorithms," IBM Journal of Research and Development, vol. 31, no. 2, pp. 249-260, 1987.</w:t>
      </w:r>
    </w:p>
    <w:p w14:paraId="423D7A55">
      <w:pPr>
        <w:spacing w:after="80" w:line="276" w:lineRule="auto"/>
        <w:ind w:left="360" w:hanging="360"/>
      </w:pPr>
      <w:r>
        <w:rPr>
          <w:rFonts w:ascii="Times New Roman" w:hAnsi="Times New Roman"/>
          <w:sz w:val="20"/>
        </w:rPr>
        <w:t>G. L. Miller, "Riemann's hypothesis and tests for primality," Journal of Computer and System Sciences, vol. 13, no. 3, pp. 300-317, 1976.</w:t>
      </w:r>
    </w:p>
    <w:p w14:paraId="6EF8774B">
      <w:pPr>
        <w:spacing w:after="80" w:line="276" w:lineRule="auto"/>
        <w:ind w:left="360" w:hanging="360"/>
      </w:pPr>
      <w:r>
        <w:rPr>
          <w:rFonts w:ascii="Times New Roman" w:hAnsi="Times New Roman"/>
          <w:sz w:val="20"/>
        </w:rPr>
        <w:t>M. O. Rabin, "Probabilistic algorithm for testing primality," Journal of Number Theory, vol. 12, no. 1, pp. 128-138, 1980.</w:t>
      </w:r>
    </w:p>
    <w:p w14:paraId="11088BE9">
      <w:pPr>
        <w:spacing w:after="80" w:line="276" w:lineRule="auto"/>
        <w:ind w:left="360" w:hanging="360"/>
      </w:pPr>
      <w:r>
        <w:rPr>
          <w:rFonts w:ascii="Times New Roman" w:hAnsi="Times New Roman"/>
          <w:sz w:val="20"/>
        </w:rPr>
        <w:t>A. V. Aho and M. J. Corasick, "Efficient string matching: an aid to bibliographic search," Communications of the ACM, vol. 18, no. 6, pp. 333-340, 1975.</w:t>
      </w:r>
    </w:p>
    <w:p w14:paraId="3A7FBCD1">
      <w:pPr>
        <w:spacing w:after="80" w:line="276" w:lineRule="auto"/>
        <w:ind w:left="360" w:hanging="360"/>
      </w:pPr>
      <w:r>
        <w:rPr>
          <w:rFonts w:ascii="Times New Roman" w:hAnsi="Times New Roman"/>
          <w:sz w:val="20"/>
        </w:rPr>
        <w:t>D. E. Knuth, J. H. Morris, Jr., and V. R. Pratt, "Fast pattern matching in strings," SIAM Journal on Computing, vol. 2, no. 4, pp. 323-350, 1977.</w:t>
      </w:r>
    </w:p>
    <w:p w14:paraId="7CF18FB1">
      <w:pPr>
        <w:spacing w:after="80" w:line="276" w:lineRule="auto"/>
        <w:ind w:left="360" w:hanging="360"/>
      </w:pPr>
      <w:r>
        <w:rPr>
          <w:rFonts w:ascii="Times New Roman" w:hAnsi="Times New Roman"/>
          <w:sz w:val="20"/>
        </w:rPr>
        <w:t>U. Manber and G. Myers, "Suffix arrays: a new method for on-line string searches," SIAM Journal on Computing, vol. 22, no. 5, pp. 935-948, 1993.</w:t>
      </w:r>
    </w:p>
    <w:p w14:paraId="36086375">
      <w:pPr>
        <w:spacing w:after="80" w:line="276" w:lineRule="auto"/>
        <w:ind w:left="360" w:hanging="360"/>
      </w:pPr>
      <w:r>
        <w:rPr>
          <w:rFonts w:ascii="Times New Roman" w:hAnsi="Times New Roman"/>
          <w:sz w:val="20"/>
        </w:rPr>
        <w:t>T. Kasai, G. Lee, H. Arimura, S. Arikawa, and K. Park, "Linear-time longest-common-prefix computation in suffix arrays and its applications," in Proc. Annual Symposium on Combinatorial Pattern Matching (CPM 2001), Springer, pp. 181-192, 2001.</w:t>
      </w:r>
    </w:p>
    <w:p w14:paraId="675264CC">
      <w:pPr>
        <w:spacing w:after="80" w:line="276" w:lineRule="auto"/>
        <w:ind w:left="360" w:hanging="360"/>
      </w:pPr>
      <w:r>
        <w:rPr>
          <w:rFonts w:ascii="Times New Roman" w:hAnsi="Times New Roman"/>
          <w:sz w:val="20"/>
        </w:rPr>
        <w:t>R. A. Wagner and M. J. Fischer, "The string-to-string correction problem," Journal of the ACM (JACM), vol. 21, no. 1, pp. 168-173, 1974.</w:t>
      </w:r>
    </w:p>
    <w:p w14:paraId="420350B1">
      <w:pPr>
        <w:spacing w:after="80" w:line="276" w:lineRule="auto"/>
        <w:ind w:left="360" w:hanging="360"/>
      </w:pPr>
      <w:r>
        <w:rPr>
          <w:rFonts w:ascii="Times New Roman" w:hAnsi="Times New Roman"/>
          <w:sz w:val="20"/>
        </w:rPr>
        <w:t>S. B. Needleman and C. D. Wunsch, "A general method applicable to the search for similarities in the amino acid sequence of two proteins," Journal of Molecular Biology, vol. 48, no. 3, pp. 443-453, 1970.</w:t>
      </w:r>
    </w:p>
    <w:p w14:paraId="277A7811">
      <w:pPr>
        <w:spacing w:after="80" w:line="276" w:lineRule="auto"/>
        <w:ind w:left="360" w:hanging="360"/>
      </w:pPr>
      <w:r>
        <w:rPr>
          <w:rFonts w:ascii="Times New Roman" w:hAnsi="Times New Roman"/>
          <w:sz w:val="20"/>
        </w:rPr>
        <w:t>E. A. Dinic, "Algorithm for solution of a problem of maximum flow in a network with power estimation," Soviet Mathematics Doklady, vol. 11, pp. 1277-1280, 1970.</w:t>
      </w:r>
    </w:p>
    <w:p w14:paraId="47071D45">
      <w:pPr>
        <w:spacing w:after="80" w:line="276" w:lineRule="auto"/>
        <w:ind w:left="360" w:hanging="360"/>
      </w:pPr>
      <w:r>
        <w:rPr>
          <w:rFonts w:ascii="Times New Roman" w:hAnsi="Times New Roman"/>
          <w:sz w:val="20"/>
        </w:rPr>
        <w:t>L. R. Ford and D. R. Fulkerson, "Maximal flow through a network," Canadian Journal of Mathematics, vol. 8, pp. 399-404, 1956.</w:t>
      </w:r>
    </w:p>
    <w:p w14:paraId="0CE1EA59">
      <w:pPr>
        <w:spacing w:after="80" w:line="276" w:lineRule="auto"/>
        <w:ind w:left="360" w:hanging="360"/>
      </w:pPr>
      <w:r>
        <w:rPr>
          <w:rFonts w:ascii="Times New Roman" w:hAnsi="Times New Roman"/>
          <w:sz w:val="20"/>
        </w:rPr>
        <w:t>T. H. Cormen, C. E. Leiserson, R. L. Rivest, and C. Stein, Introduction to Algorithms, 4th ed., Cambridge, MA, USA: MIT Press, 2022.</w:t>
      </w: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S PGothic">
    <w:panose1 w:val="020B0600070205080204"/>
    <w:charset w:val="80"/>
    <w:family w:val="auto"/>
    <w:pitch w:val="default"/>
    <w:sig w:usb0="E00002FF" w:usb1="6AC7FDFB" w:usb2="08000012" w:usb3="00000000" w:csb0="400200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8"/>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08B3ED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14</Pages>
  <Words>4795</Words>
  <Characters>29407</Characters>
  <Lines>0</Lines>
  <Paragraphs>0</Paragraphs>
  <TotalTime>1</TotalTime>
  <ScaleCrop>false</ScaleCrop>
  <LinksUpToDate>false</LinksUpToDate>
  <CharactersWithSpaces>34072</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Sharath rayanolla</cp:lastModifiedBy>
  <dcterms:modified xsi:type="dcterms:W3CDTF">2026-10-14T14:22:57Z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eyJoZGlkIjoiMmVhYjIwYTFkMDUyN2RmOGI2OTNiMWRjYmY5MjBlYTUiLCJ1c2VySWQiOiI1Njc2NjgyMDM0MjUifQ==</vt:lpwstr>
  </property>
  <property fmtid="{D5CDD505-2E9C-101B-9397-08002B2CF9AE}" pid="3" name="KSOProductBuildVer">
    <vt:lpwstr>1033-12.1.0.28485</vt:lpwstr>
  </property>
  <property fmtid="{D5CDD505-2E9C-101B-9397-08002B2CF9AE}" pid="4" name="ICV">
    <vt:lpwstr>BA6E77CCE85643E4B157C64B20C11FD0_12</vt:lpwstr>
  </property>
</Properties>
</file>