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caps/>
          <w:color w:val="888888"/>
          <w:spacing w:val="80"/>
          <w:sz w:val="24"/>
          <w:szCs w:val="24"/>
        </w:rPr>
        <w:t xml:space="preserve">RAPPORT DE PROJET</w:t>
      </w:r>
    </w:p>
    <w:p>
      <w:pPr>
        <w:spacing w:after="480" w:before="0"/>
        <w:jc w:val="center"/>
      </w:pPr>
      <w:r>
        <w:rPr>
          <w:rFonts w:ascii="Arial" w:cs="Arial" w:eastAsia="Arial" w:hAnsi="Arial"/>
          <w:color w:val="2E75B6"/>
          <w:sz w:val="20"/>
          <w:szCs w:val="20"/>
        </w:rPr>
        <w:t xml:space="preserve">Business Intelligence</w:t>
      </w:r>
    </w:p>
    <w:p>
      <w:pPr>
        <w:pBdr>
          <w:top w:val="thick" w:color="1F4E79" w:sz="12"/>
          <w:bottom w:val="thick" w:color="1F4E79" w:sz="12"/>
        </w:pBdr>
        <w:shd w:fill="EFF4FB" w:val="clear"/>
        <w:spacing w:after="160" w:before="160"/>
        <w:jc w:val="center"/>
      </w:pPr>
      <w:r>
        <w:rPr>
          <w:rFonts w:ascii="Arial" w:cs="Arial" w:eastAsia="Arial" w:hAnsi="Arial"/>
          <w:b/>
          <w:bCs/>
          <w:color w:val="1F4E79"/>
          <w:sz w:val="44"/>
          <w:szCs w:val="44"/>
        </w:rPr>
        <w:t xml:space="preserve">Analyse des Indicateurs de Performance</w:t>
      </w:r>
    </w:p>
    <w:p>
      <w:pPr>
        <w:spacing w:after="720" w:before="120"/>
        <w:jc w:val="center"/>
      </w:pPr>
      <w:r>
        <w:rPr>
          <w:rFonts w:ascii="Arial" w:cs="Arial" w:eastAsia="Arial" w:hAnsi="Arial"/>
          <w:b/>
          <w:bCs/>
          <w:color w:val="2E75B6"/>
          <w:sz w:val="36"/>
          <w:szCs w:val="36"/>
        </w:rPr>
        <w:t xml:space="preserve">dans le Secteur de l'Éducation</w:t>
      </w:r>
    </w:p>
    <w:p>
      <w:pPr>
        <w:spacing w:after="120" w:before="0"/>
        <w:jc w:val="center"/>
      </w:pPr>
      <w:r>
        <w:rPr>
          <w:rFonts w:ascii="Arial" w:cs="Arial" w:eastAsia="Arial" w:hAnsi="Arial"/>
          <w:color w:val="555555"/>
          <w:sz w:val="22"/>
          <w:szCs w:val="22"/>
        </w:rPr>
        <w:t xml:space="preserve">Outils : Talend Open Studio  ·  MySQL  ·  Power BI Service</w:t>
      </w:r>
    </w:p>
    <w:p>
      <w:pPr>
        <w:spacing w:after="80" w:before="80"/>
      </w:pPr>
      <w:r>
        <w:t xml:space="preserve"/>
      </w:r>
    </w:p>
    <w:p>
      <w:pPr>
        <w:spacing w:after="120" w:before="480"/>
        <w:jc w:val="center"/>
      </w:pPr>
      <w:r>
        <w:rPr>
          <w:rFonts w:ascii="Arial" w:cs="Arial" w:eastAsia="Arial" w:hAnsi="Arial"/>
          <w:color w:val="666666"/>
          <w:sz w:val="22"/>
          <w:szCs w:val="22"/>
        </w:rPr>
        <w:t xml:space="preserve">Année académique 2024 — 2025</w:t>
      </w:r>
    </w:p>
    <w:p>
      <w:r>
        <w:br w:type="page"/>
      </w:r>
    </w:p>
    <w:p>
      <w:pPr>
        <w:pStyle w:val="Heading1"/>
        <w:pBdr>
          <w:bottom w:val="single" w:color="1F4E79" w:sz="8" w:space="4"/>
        </w:pBdr>
        <w:spacing w:after="200" w:before="480"/>
      </w:pPr>
      <w:r>
        <w:rPr>
          <w:rFonts w:ascii="Arial" w:cs="Arial" w:eastAsia="Arial" w:hAnsi="Arial"/>
          <w:b/>
          <w:bCs/>
          <w:color w:val="1F4E79"/>
          <w:sz w:val="32"/>
          <w:szCs w:val="32"/>
        </w:rPr>
        <w:t xml:space="preserve">Résumé Exécutif</w:t>
      </w:r>
    </w:p>
    <w:p>
      <w:pPr>
        <w:spacing w:after="100" w:before="100"/>
        <w:jc w:val="both"/>
      </w:pPr>
      <w:r>
        <w:rPr>
          <w:rFonts w:ascii="Arial" w:cs="Arial" w:eastAsia="Arial" w:hAnsi="Arial"/>
          <w:b w:val="false"/>
          <w:bCs w:val="false"/>
          <w:color w:val="333333"/>
          <w:sz w:val="22"/>
          <w:szCs w:val="22"/>
        </w:rPr>
        <w:t xml:space="preserve">Le présent rapport documente la mise en œuvre complète d'un projet de Business Intelligence (BI) dédié à l'analyse des indicateurs de performance dans le secteur de l'éducation. Face aux défis croissants que rencontrent les établissements d'enseignement supérieur — taux d'abandon élevés, disparités de résultats entre filières, difficultés à identifier les étudiants en situation de risque — ce projet propose une solution décisionnelle intégrée permettant une analyse fine, multidimensionnelle et proactive des données académiques.</w:t>
      </w:r>
    </w:p>
    <w:p>
      <w:pPr>
        <w:spacing w:after="80" w:before="80"/>
      </w:pPr>
      <w:r>
        <w:t xml:space="preserve"/>
      </w:r>
    </w:p>
    <w:p>
      <w:pPr>
        <w:spacing w:after="100" w:before="100"/>
        <w:jc w:val="both"/>
      </w:pPr>
      <w:r>
        <w:rPr>
          <w:rFonts w:ascii="Arial" w:cs="Arial" w:eastAsia="Arial" w:hAnsi="Arial"/>
          <w:b w:val="false"/>
          <w:bCs w:val="false"/>
          <w:color w:val="333333"/>
          <w:sz w:val="22"/>
          <w:szCs w:val="22"/>
        </w:rPr>
        <w:t xml:space="preserve">Le système développé s'appuie sur une architecture classique de Système d'Information Décisionnel (SID) comprenant : (1) un entrepôt de données MySQL modélisé selon le schéma en étoile de Ralph Kimball, (2) un pipeline ETL complet réalisé sous Talend Open Studio pour l'extraction, la transformation et le chargement des données, et (3) un tableau de bord interactif de sept pages développé sous Power BI Desktop, publié et accessible via Power BI Service.</w:t>
      </w:r>
    </w:p>
    <w:p>
      <w:pPr>
        <w:spacing w:after="80" w:before="80"/>
      </w:pPr>
      <w:r>
        <w:t xml:space="preserve"/>
      </w:r>
    </w:p>
    <w:p>
      <w:pPr>
        <w:spacing w:after="100" w:before="100"/>
        <w:jc w:val="both"/>
      </w:pPr>
      <w:r>
        <w:rPr>
          <w:rFonts w:ascii="Arial" w:cs="Arial" w:eastAsia="Arial" w:hAnsi="Arial"/>
          <w:b w:val="false"/>
          <w:bCs w:val="false"/>
          <w:color w:val="333333"/>
          <w:sz w:val="22"/>
          <w:szCs w:val="22"/>
        </w:rPr>
        <w:t xml:space="preserve">Le périmètre du projet couvre 600 étudiants fictifs mais réalistes, sur quatre années scolaires (2020-2021 à 2023-2024), avec 7 262 enregistrements de notes, 45 cas d'abandon documentés, et un modèle dimensionnel enrichi de 12 tables. Les indicateurs produits permettent de suivre les taux de réussite par matière et par filière, les scores moyens par trimestre, les profils d'étudiants à risque, et les facteurs socio-économiques corrélés au décrochage scolaire.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Composant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Technologie</w:t>
            </w:r>
          </w:p>
        </w:tc>
        <w:tc>
          <w:tcPr>
            <w:tcW w:type="dxa" w:w="4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Sources de données</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Python / CSV</w:t>
            </w:r>
          </w:p>
        </w:tc>
        <w:tc>
          <w:tcPr>
            <w:tcW w:type="dxa" w:w="44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Génération de données réalistes (600 étudiants, 7 262 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Base de données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MySQL 8.x</w:t>
            </w:r>
          </w:p>
        </w:tc>
        <w:tc>
          <w:tcPr>
            <w:tcW w:type="dxa" w:w="4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Entrepôt de données (schéma dwh_education)</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Pipeline ETL</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Talend Open Studio 8.x</w:t>
            </w:r>
          </w:p>
        </w:tc>
        <w:tc>
          <w:tcPr>
            <w:tcW w:type="dxa" w:w="44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8 jobs ETL — extraction, transformation, chargement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Visualisation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Power BI Desktop + Service</w:t>
            </w:r>
          </w:p>
        </w:tc>
        <w:tc>
          <w:tcPr>
            <w:tcW w:type="dxa" w:w="4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7 pages de dashboard — publié en ligne</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Modèle dimensionnel</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Schéma en étoile</w:t>
            </w:r>
          </w:p>
        </w:tc>
        <w:tc>
          <w:tcPr>
            <w:tcW w:type="dxa" w:w="44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2 tables de faits, 10 tables de dimensions</w:t>
            </w:r>
          </w:p>
        </w:tc>
      </w:tr>
    </w:tbl>
    <w:p>
      <w:r>
        <w:br w:type="page"/>
      </w:r>
    </w:p>
    <w:p>
      <w:pPr>
        <w:pStyle w:val="Heading1"/>
        <w:pBdr>
          <w:bottom w:val="single" w:color="1F4E79" w:sz="8" w:space="4"/>
        </w:pBdr>
        <w:spacing w:after="200" w:before="480"/>
      </w:pPr>
      <w:r>
        <w:rPr>
          <w:rFonts w:ascii="Arial" w:cs="Arial" w:eastAsia="Arial" w:hAnsi="Arial"/>
          <w:b/>
          <w:bCs/>
          <w:color w:val="1F4E79"/>
          <w:sz w:val="32"/>
          <w:szCs w:val="32"/>
        </w:rPr>
        <w:t xml:space="preserve">Chapitre 1 — Collecte, Analyse et Modélisation des Données</w:t>
      </w:r>
    </w:p>
    <w:p>
      <w:pPr>
        <w:pStyle w:val="Heading2"/>
        <w:spacing w:after="160" w:before="320"/>
      </w:pPr>
      <w:r>
        <w:rPr>
          <w:rFonts w:ascii="Arial" w:cs="Arial" w:eastAsia="Arial" w:hAnsi="Arial"/>
          <w:b/>
          <w:bCs/>
          <w:color w:val="2E75B6"/>
          <w:sz w:val="26"/>
          <w:szCs w:val="26"/>
        </w:rPr>
        <w:t xml:space="preserve">1.1 Contexte et Problématique</w:t>
      </w:r>
    </w:p>
    <w:p>
      <w:pPr>
        <w:spacing w:after="100" w:before="100"/>
        <w:jc w:val="both"/>
      </w:pPr>
      <w:r>
        <w:rPr>
          <w:rFonts w:ascii="Arial" w:cs="Arial" w:eastAsia="Arial" w:hAnsi="Arial"/>
          <w:b w:val="false"/>
          <w:bCs w:val="false"/>
          <w:color w:val="333333"/>
          <w:sz w:val="22"/>
          <w:szCs w:val="22"/>
        </w:rPr>
        <w:t xml:space="preserve">La prise de décision dans le domaine de l'éducation requiert une capacité d'analyse qui dépasse largement les possibilités offertes par les systèmes d'information opérationnels (SIO) classiques. Comme le souligne Bill Inmon, pionnier du concept de Data Warehouse, les systèmes opérationnels sont conçus pour garantir la cohérence des transactions, non pour répondre aux questions décisionnelles complexes que se posent les responsables pédagogiques.</w:t>
      </w:r>
    </w:p>
    <w:p>
      <w:pPr>
        <w:spacing w:after="80" w:before="80"/>
      </w:pPr>
      <w:r>
        <w:t xml:space="preserve"/>
      </w:r>
    </w:p>
    <w:p>
      <w:pPr>
        <w:spacing w:after="100" w:before="100"/>
        <w:jc w:val="both"/>
      </w:pPr>
      <w:r>
        <w:rPr>
          <w:rFonts w:ascii="Arial" w:cs="Arial" w:eastAsia="Arial" w:hAnsi="Arial"/>
          <w:b w:val="false"/>
          <w:bCs w:val="false"/>
          <w:color w:val="333333"/>
          <w:sz w:val="22"/>
          <w:szCs w:val="22"/>
        </w:rPr>
        <w:t xml:space="preserve">Dans notre contexte, un établissement d'enseignement supérieur doit être en mesure de répondre à des questions telles que : Quel est le taux de réussite par filière et par niveau d'étude ? Quels sont les facteurs socio-économiques corrélés au décrochage scolaire ? Comment évolue le score moyen d'un étudiant sur plusieurs années ? Quelles matières concentrent le plus grand nombre d'échecs ? Ces questions, d'une importance stratégique évidente, ne peuvent trouver de réponse rapide et fiable dans un système transactionnel normalisé en 3ème forme normale, dont la structure — optimisée pour les écritures — implique de nombreuses jointures coûteuses pour toute requête analytique.</w:t>
      </w:r>
    </w:p>
    <w:p>
      <w:pPr>
        <w:spacing w:after="80" w:before="80"/>
      </w:pPr>
      <w:r>
        <w:t xml:space="preserve"/>
      </w:r>
    </w:p>
    <w:p>
      <w:pPr>
        <w:pBdr>
          <w:top w:val="single" w:color="2E75B6" w:sz="4"/>
          <w:bottom w:val="single" w:color="2E75B6" w:sz="4"/>
          <w:left w:val="thick" w:color="2E75B6" w:sz="8"/>
          <w:right w:val="single" w:color="CCCCCC" w:sz="1"/>
        </w:pBdr>
        <w:shd w:fill="EFF4FB" w:val="clear"/>
        <w:spacing w:after="160" w:before="160"/>
        <w:ind w:left="360" w:right="360"/>
        <w:jc w:val="both"/>
      </w:pPr>
      <w:r>
        <w:rPr>
          <w:rFonts w:ascii="Arial" w:cs="Arial" w:eastAsia="Arial" w:hAnsi="Arial"/>
          <w:color w:val="1F4E79"/>
          <w:sz w:val="21"/>
          <w:szCs w:val="21"/>
        </w:rPr>
        <w:t xml:space="preserve">Définition (Bill Inmon) : L'entrepôt de données est une collection de données orientées sujet, intégrées, non volatiles et historisées, organisées pour le support d'un processus d'aide à la décision. C'est cette définition qui guide l'architecture de notre projet.</w:t>
      </w:r>
    </w:p>
    <w:p>
      <w:pPr>
        <w:spacing w:after="80" w:before="80"/>
      </w:pPr>
      <w:r>
        <w:t xml:space="preserve"/>
      </w:r>
    </w:p>
    <w:p>
      <w:pPr>
        <w:spacing w:after="100" w:before="100"/>
        <w:jc w:val="both"/>
      </w:pPr>
      <w:r>
        <w:rPr>
          <w:rFonts w:ascii="Arial" w:cs="Arial" w:eastAsia="Arial" w:hAnsi="Arial"/>
          <w:b w:val="false"/>
          <w:bCs w:val="false"/>
          <w:color w:val="333333"/>
          <w:sz w:val="22"/>
          <w:szCs w:val="22"/>
        </w:rPr>
        <w:t xml:space="preserve">Notre projet répond à ces besoins en mettant en place un Système d'Information Décisionnel (SID) complet, dont le cœur est un entrepôt de données structuré selon la modélisation multidimensionnelle de Ralph Kimball. Cette approche permet de représenter les données selon des axes d'analyse (les dimensions) et des indicateurs mesurables (les faits), offrant ainsi une navigation intuitive et performante à travers les données académiques.</w:t>
      </w:r>
    </w:p>
    <w:p>
      <w:pPr>
        <w:pStyle w:val="Heading2"/>
        <w:spacing w:after="160" w:before="320"/>
      </w:pPr>
      <w:r>
        <w:rPr>
          <w:rFonts w:ascii="Arial" w:cs="Arial" w:eastAsia="Arial" w:hAnsi="Arial"/>
          <w:b/>
          <w:bCs/>
          <w:color w:val="2E75B6"/>
          <w:sz w:val="26"/>
          <w:szCs w:val="26"/>
        </w:rPr>
        <w:t xml:space="preserve">1.2 Sources de Données et Collecte</w:t>
      </w:r>
    </w:p>
    <w:p>
      <w:pPr>
        <w:pStyle w:val="Heading3"/>
        <w:spacing w:after="120" w:before="240"/>
      </w:pPr>
      <w:r>
        <w:rPr>
          <w:rFonts w:ascii="Arial" w:cs="Arial" w:eastAsia="Arial" w:hAnsi="Arial"/>
          <w:b/>
          <w:bCs/>
          <w:color w:val="404040"/>
          <w:sz w:val="22"/>
          <w:szCs w:val="22"/>
        </w:rPr>
        <w:t xml:space="preserve">1.2.1 Génération des données</w:t>
      </w:r>
    </w:p>
    <w:p>
      <w:pPr>
        <w:spacing w:after="100" w:before="100"/>
        <w:jc w:val="both"/>
      </w:pPr>
      <w:r>
        <w:rPr>
          <w:rFonts w:ascii="Arial" w:cs="Arial" w:eastAsia="Arial" w:hAnsi="Arial"/>
          <w:b w:val="false"/>
          <w:bCs w:val="false"/>
          <w:color w:val="333333"/>
          <w:sz w:val="22"/>
          <w:szCs w:val="22"/>
        </w:rPr>
        <w:t xml:space="preserve">Les données du projet ont été générées par un script Python (generate_data.py) produisant des jeux de données réalistes et cohérents, s'appuyant sur des références bibliographiques solides — notamment la thèse de doctorat de SUEBANG Alex Roméo (2022) intitulée « Facteurs déterminants du décrochage des études au premier cycle universitaire : cas de la FALSH, Université de Yaoundé I ». Cette base théorique garantit que les distributions statistiques simulées (taux d'abandon, répartition socio-économique, fréquence des problèmes de santé, etc.) reflètent des réalités observées dans un contexte universitaire africain.</w:t>
      </w:r>
    </w:p>
    <w:p>
      <w:pPr>
        <w:spacing w:after="80" w:before="80"/>
      </w:pPr>
      <w:r>
        <w:t xml:space="preserve"/>
      </w:r>
    </w:p>
    <w:p>
      <w:pPr>
        <w:spacing w:after="100" w:before="100"/>
        <w:jc w:val="both"/>
      </w:pPr>
      <w:r>
        <w:rPr>
          <w:rFonts w:ascii="Arial" w:cs="Arial" w:eastAsia="Arial" w:hAnsi="Arial"/>
          <w:b w:val="false"/>
          <w:bCs w:val="false"/>
          <w:color w:val="333333"/>
          <w:sz w:val="22"/>
          <w:szCs w:val="22"/>
        </w:rPr>
        <w:t xml:space="preserve">L'ensemble de données couvre la période 2020-2021 à 2023-2024 et comprend les fichiers sources suivants :</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900"/>
        <w:gridCol w:w="1100"/>
        <w:gridCol w:w="36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Fichier CSV</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Lignes</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Colonnes</w:t>
            </w:r>
          </w:p>
        </w:tc>
        <w:tc>
          <w:tcPr>
            <w:tcW w:type="dxa" w:w="3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dim_filiere.csv</w:t>
            </w:r>
          </w:p>
        </w:tc>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Dimension</w:t>
            </w:r>
          </w:p>
        </w:tc>
        <w:tc>
          <w:tcPr>
            <w:tcW w:type="dxa" w:w="9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10</w:t>
            </w:r>
          </w:p>
        </w:tc>
        <w:tc>
          <w:tcPr>
            <w:tcW w:type="dxa" w:w="11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6</w:t>
            </w:r>
          </w:p>
        </w:tc>
        <w:tc>
          <w:tcPr>
            <w:tcW w:type="dxa" w:w="36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Filières et formations disponibles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dim_temps.csv</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Dimension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16</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7</w:t>
            </w:r>
          </w:p>
        </w:tc>
        <w:tc>
          <w:tcPr>
            <w:tcW w:type="dxa" w:w="3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Périodes scolaires (granularité trimestrielle)</w:t>
            </w:r>
          </w:p>
        </w:tc>
      </w:tr>
      <w:tr>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dim_classe.csv</w:t>
            </w:r>
          </w:p>
        </w:tc>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Dimension</w:t>
            </w:r>
          </w:p>
        </w:tc>
        <w:tc>
          <w:tcPr>
            <w:tcW w:type="dxa" w:w="9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116</w:t>
            </w:r>
          </w:p>
        </w:tc>
        <w:tc>
          <w:tcPr>
            <w:tcW w:type="dxa" w:w="11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7</w:t>
            </w:r>
          </w:p>
        </w:tc>
        <w:tc>
          <w:tcPr>
            <w:tcW w:type="dxa" w:w="36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Classes par filière et année scolaire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dim_matiere.csv</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Dimension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28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8</w:t>
            </w:r>
          </w:p>
        </w:tc>
        <w:tc>
          <w:tcPr>
            <w:tcW w:type="dxa" w:w="3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Matières enseignées avec coefficients</w:t>
            </w:r>
          </w:p>
        </w:tc>
      </w:tr>
      <w:tr>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dim_etudiant.csv</w:t>
            </w:r>
          </w:p>
        </w:tc>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Dimension enrichie</w:t>
            </w:r>
          </w:p>
        </w:tc>
        <w:tc>
          <w:tcPr>
            <w:tcW w:type="dxa" w:w="9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600</w:t>
            </w:r>
          </w:p>
        </w:tc>
        <w:tc>
          <w:tcPr>
            <w:tcW w:type="dxa" w:w="11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19</w:t>
            </w:r>
          </w:p>
        </w:tc>
        <w:tc>
          <w:tcPr>
            <w:tcW w:type="dxa" w:w="36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Profils complets des étudiants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dim_sante_etudiant.csv</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Dimension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600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9</w:t>
            </w:r>
          </w:p>
        </w:tc>
        <w:tc>
          <w:tcPr>
            <w:tcW w:type="dxa" w:w="3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État de santé et impact sur les études</w:t>
            </w:r>
          </w:p>
        </w:tc>
      </w:tr>
      <w:tr>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dim_parents_etudiant.csv</w:t>
            </w:r>
          </w:p>
        </w:tc>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Dimension</w:t>
            </w:r>
          </w:p>
        </w:tc>
        <w:tc>
          <w:tcPr>
            <w:tcW w:type="dxa" w:w="9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600</w:t>
            </w:r>
          </w:p>
        </w:tc>
        <w:tc>
          <w:tcPr>
            <w:tcW w:type="dxa" w:w="11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15</w:t>
            </w:r>
          </w:p>
        </w:tc>
        <w:tc>
          <w:tcPr>
            <w:tcW w:type="dxa" w:w="36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Profil socio-économique des parents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dim_integration_sociale.csv</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Dimension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600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12</w:t>
            </w:r>
          </w:p>
        </w:tc>
        <w:tc>
          <w:tcPr>
            <w:tcW w:type="dxa" w:w="3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Intégration, isolement, harcèlement</w:t>
            </w:r>
          </w:p>
        </w:tc>
      </w:tr>
      <w:tr>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dim_difficultes_academiques.csv</w:t>
            </w:r>
          </w:p>
        </w:tc>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Dimension</w:t>
            </w:r>
          </w:p>
        </w:tc>
        <w:tc>
          <w:tcPr>
            <w:tcW w:type="dxa" w:w="9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600</w:t>
            </w:r>
          </w:p>
        </w:tc>
        <w:tc>
          <w:tcPr>
            <w:tcW w:type="dxa" w:w="11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12</w:t>
            </w:r>
          </w:p>
        </w:tc>
        <w:tc>
          <w:tcPr>
            <w:tcW w:type="dxa" w:w="36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Difficultés pédagogiques spécifiques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dim_situation_economique.csv</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Dimension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600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11</w:t>
            </w:r>
          </w:p>
        </w:tc>
        <w:tc>
          <w:tcPr>
            <w:tcW w:type="dxa" w:w="3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Mode de vie, emploi, financement</w:t>
            </w:r>
          </w:p>
        </w:tc>
      </w:tr>
      <w:tr>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fait_notes.csv</w:t>
            </w:r>
          </w:p>
        </w:tc>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Fait principal</w:t>
            </w:r>
          </w:p>
        </w:tc>
        <w:tc>
          <w:tcPr>
            <w:tcW w:type="dxa" w:w="9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7 262</w:t>
            </w:r>
          </w:p>
        </w:tc>
        <w:tc>
          <w:tcPr>
            <w:tcW w:type="dxa" w:w="11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11</w:t>
            </w:r>
          </w:p>
        </w:tc>
        <w:tc>
          <w:tcPr>
            <w:tcW w:type="dxa" w:w="36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Notes, mentions, absences, rattrapages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fait_abandons.csv</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Fait secondaire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~45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7</w:t>
            </w:r>
          </w:p>
        </w:tc>
        <w:tc>
          <w:tcPr>
            <w:tcW w:type="dxa" w:w="3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Abandons scolaires documentés</w:t>
            </w:r>
          </w:p>
        </w:tc>
      </w:tr>
    </w:tbl>
    <w:p>
      <w:pPr>
        <w:spacing w:after="80" w:before="80"/>
      </w:pPr>
      <w:r>
        <w:t xml:space="preserve"/>
      </w:r>
    </w:p>
    <w:p>
      <w:pPr>
        <w:pStyle w:val="Heading3"/>
        <w:spacing w:after="120" w:before="240"/>
      </w:pPr>
      <w:r>
        <w:rPr>
          <w:rFonts w:ascii="Arial" w:cs="Arial" w:eastAsia="Arial" w:hAnsi="Arial"/>
          <w:b/>
          <w:bCs/>
          <w:color w:val="404040"/>
          <w:sz w:val="22"/>
          <w:szCs w:val="22"/>
        </w:rPr>
        <w:t xml:space="preserve">1.2.2 Analyse exploratoire préliminaire</w:t>
      </w:r>
    </w:p>
    <w:p>
      <w:pPr>
        <w:spacing w:after="100" w:before="100"/>
        <w:jc w:val="both"/>
      </w:pPr>
      <w:r>
        <w:rPr>
          <w:rFonts w:ascii="Arial" w:cs="Arial" w:eastAsia="Arial" w:hAnsi="Arial"/>
          <w:b w:val="false"/>
          <w:bCs w:val="false"/>
          <w:color w:val="333333"/>
          <w:sz w:val="22"/>
          <w:szCs w:val="22"/>
        </w:rPr>
        <w:t xml:space="preserve">Avant de procéder à la modélisation, une analyse exploratoire des données a été conduite pour identifier les distributions statistiques, les valeurs manquantes potentielles et les règles métier à respecter. Les principales règles définies sont :</w:t>
      </w:r>
    </w:p>
    <w:p>
      <w:pPr>
        <w:spacing w:after="8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Taux de réussite = (nombre de notes ≥ 10) / (nombre de notes totales) × 100</w:t>
      </w:r>
    </w:p>
    <w:p>
      <w:pPr>
        <w:pStyle w:val="ListParagraph"/>
        <w:numPr>
          <w:ilvl w:val="0"/>
          <w:numId w:val="2"/>
        </w:numPr>
        <w:spacing w:after="60" w:before="60"/>
      </w:pPr>
      <w:r>
        <w:rPr>
          <w:rFonts w:ascii="Arial" w:cs="Arial" w:eastAsia="Arial" w:hAnsi="Arial"/>
          <w:color w:val="333333"/>
          <w:sz w:val="22"/>
          <w:szCs w:val="22"/>
        </w:rPr>
        <w:t xml:space="preserve">Taux d'abandon = (nombre d'abandons par filière et année) / (effectif inscrit) × 100</w:t>
      </w:r>
    </w:p>
    <w:p>
      <w:pPr>
        <w:pStyle w:val="ListParagraph"/>
        <w:numPr>
          <w:ilvl w:val="0"/>
          <w:numId w:val="2"/>
        </w:numPr>
        <w:spacing w:after="60" w:before="60"/>
      </w:pPr>
      <w:r>
        <w:rPr>
          <w:rFonts w:ascii="Arial" w:cs="Arial" w:eastAsia="Arial" w:hAnsi="Arial"/>
          <w:color w:val="333333"/>
          <w:sz w:val="22"/>
          <w:szCs w:val="22"/>
        </w:rPr>
        <w:t xml:space="preserve">Score moyen = AVG(note), groupé par matière, classe ou période</w:t>
      </w:r>
    </w:p>
    <w:p>
      <w:pPr>
        <w:pStyle w:val="ListParagraph"/>
        <w:numPr>
          <w:ilvl w:val="0"/>
          <w:numId w:val="2"/>
        </w:numPr>
        <w:spacing w:after="60" w:before="60"/>
      </w:pPr>
      <w:r>
        <w:rPr>
          <w:rFonts w:ascii="Arial" w:cs="Arial" w:eastAsia="Arial" w:hAnsi="Arial"/>
          <w:color w:val="333333"/>
          <w:sz w:val="22"/>
          <w:szCs w:val="22"/>
        </w:rPr>
        <w:t xml:space="preserve">Progression individuelle = comparaison des moyennes d'un étudiant d'une année à l'autre</w:t>
      </w:r>
    </w:p>
    <w:p>
      <w:pPr>
        <w:pStyle w:val="ListParagraph"/>
        <w:numPr>
          <w:ilvl w:val="0"/>
          <w:numId w:val="2"/>
        </w:numPr>
        <w:spacing w:after="60" w:before="60"/>
      </w:pPr>
      <w:r>
        <w:rPr>
          <w:rFonts w:ascii="Arial" w:cs="Arial" w:eastAsia="Arial" w:hAnsi="Arial"/>
          <w:color w:val="333333"/>
          <w:sz w:val="22"/>
          <w:szCs w:val="22"/>
        </w:rPr>
        <w:t xml:space="preserve">Niveau socio-économique (NSE) : Faible (30%), Moyen (50%), Élevé (20%) — distribution réaliste</w:t>
      </w:r>
    </w:p>
    <w:p>
      <w:pPr>
        <w:spacing w:after="80" w:before="80"/>
      </w:pPr>
      <w:r>
        <w:t xml:space="preserve"/>
      </w:r>
    </w:p>
    <w:p>
      <w:pPr>
        <w:spacing w:after="100" w:before="100"/>
        <w:jc w:val="both"/>
      </w:pPr>
      <w:r>
        <w:rPr>
          <w:rFonts w:ascii="Arial" w:cs="Arial" w:eastAsia="Arial" w:hAnsi="Arial"/>
          <w:b w:val="false"/>
          <w:bCs w:val="false"/>
          <w:color w:val="333333"/>
          <w:sz w:val="22"/>
          <w:szCs w:val="22"/>
        </w:rPr>
        <w:t xml:space="preserve">L'analyse a également permis d'identifier des corrélations attendues, validées par la littérature académique : la corrélation entre un faible niveau socio-économique des parents et le risque d'abandon, l'impact d'un emploi rémunéré de plus de 20 heures par semaine sur les résultats académiques, ou encore l'effet aggravant de l'isolement social et du harcèlement sur la trajectoire scolaire.</w:t>
      </w:r>
    </w:p>
    <w:p>
      <w:pPr>
        <w:pStyle w:val="Heading2"/>
        <w:spacing w:after="160" w:before="320"/>
      </w:pPr>
      <w:r>
        <w:rPr>
          <w:rFonts w:ascii="Arial" w:cs="Arial" w:eastAsia="Arial" w:hAnsi="Arial"/>
          <w:b/>
          <w:bCs/>
          <w:color w:val="2E75B6"/>
          <w:sz w:val="26"/>
          <w:szCs w:val="26"/>
        </w:rPr>
        <w:t xml:space="preserve">1.3 Modélisation Multidimensionnelle</w:t>
      </w:r>
    </w:p>
    <w:p>
      <w:pPr>
        <w:pStyle w:val="Heading3"/>
        <w:spacing w:after="120" w:before="240"/>
      </w:pPr>
      <w:r>
        <w:rPr>
          <w:rFonts w:ascii="Arial" w:cs="Arial" w:eastAsia="Arial" w:hAnsi="Arial"/>
          <w:b/>
          <w:bCs/>
          <w:color w:val="404040"/>
          <w:sz w:val="22"/>
          <w:szCs w:val="22"/>
        </w:rPr>
        <w:t xml:space="preserve">1.3.1 Fondements théoriques</w:t>
      </w:r>
    </w:p>
    <w:p>
      <w:pPr>
        <w:spacing w:after="100" w:before="100"/>
        <w:jc w:val="both"/>
      </w:pPr>
      <w:r>
        <w:rPr>
          <w:rFonts w:ascii="Arial" w:cs="Arial" w:eastAsia="Arial" w:hAnsi="Arial"/>
          <w:b w:val="false"/>
          <w:bCs w:val="false"/>
          <w:color w:val="333333"/>
          <w:sz w:val="22"/>
          <w:szCs w:val="22"/>
        </w:rPr>
        <w:t xml:space="preserve">Face aux limites du modèle entité-association utilisé dans les systèmes opérationnels, notre projet adopte la modélisation multidimensionnelle telle que définie par Ralph Kimball. Cette approche organise les données autour de deux concepts fondamentaux :</w:t>
      </w:r>
    </w:p>
    <w:p>
      <w:pPr>
        <w:spacing w:after="8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Les faits : ils représentent les événements mesurables au sein de l'organisation éducative. Dans notre cas, il s'agit des notes obtenues par les étudiants et des abandons scolaires. La valeur d'une mesure est en général numérique et additive.</w:t>
      </w:r>
    </w:p>
    <w:p>
      <w:pPr>
        <w:pStyle w:val="ListParagraph"/>
        <w:numPr>
          <w:ilvl w:val="0"/>
          <w:numId w:val="2"/>
        </w:numPr>
        <w:spacing w:after="60" w:before="60"/>
      </w:pPr>
      <w:r>
        <w:rPr>
          <w:rFonts w:ascii="Arial" w:cs="Arial" w:eastAsia="Arial" w:hAnsi="Arial"/>
          <w:color w:val="333333"/>
          <w:sz w:val="22"/>
          <w:szCs w:val="22"/>
        </w:rPr>
        <w:t xml:space="preserve">Les dimensions : elles décrivent le contexte de réalisation des faits — qui (l'étudiant), quoi (la matière), dans quelle classe, à quelle période. Contrairement aux tables de faits, les dimensions contiennent peu de lignes mais de nombreux attributs descriptifs.</w:t>
      </w:r>
    </w:p>
    <w:p>
      <w:pPr>
        <w:spacing w:after="80" w:before="80"/>
      </w:pPr>
      <w:r>
        <w:t xml:space="preserve"/>
      </w:r>
    </w:p>
    <w:p>
      <w:pPr>
        <w:pBdr>
          <w:top w:val="single" w:color="2E75B6" w:sz="4"/>
          <w:bottom w:val="single" w:color="2E75B6" w:sz="4"/>
          <w:left w:val="thick" w:color="2E75B6" w:sz="8"/>
          <w:right w:val="single" w:color="CCCCCC" w:sz="1"/>
        </w:pBdr>
        <w:shd w:fill="EFF4FB" w:val="clear"/>
        <w:spacing w:after="160" w:before="160"/>
        <w:ind w:left="360" w:right="360"/>
        <w:jc w:val="both"/>
      </w:pPr>
      <w:r>
        <w:rPr>
          <w:rFonts w:ascii="Arial" w:cs="Arial" w:eastAsia="Arial" w:hAnsi="Arial"/>
          <w:color w:val="1F4E79"/>
          <w:sz w:val="21"/>
          <w:szCs w:val="21"/>
        </w:rPr>
        <w:t xml:space="preserve">Principe de Kimball : un modèle dimensionnel vise à présenter les données sous une forme intuitive qui permet des accès très performants. Les données sont organisées pour mettre en évidence les sujets traités (tables de faits) et le contexte de leur réalisation (tables de dimensions).</w:t>
      </w:r>
    </w:p>
    <w:p>
      <w:pPr>
        <w:spacing w:after="80" w:before="80"/>
      </w:pPr>
      <w:r>
        <w:t xml:space="preserve"/>
      </w:r>
    </w:p>
    <w:p>
      <w:pPr>
        <w:pStyle w:val="Heading3"/>
        <w:spacing w:after="120" w:before="240"/>
      </w:pPr>
      <w:r>
        <w:rPr>
          <w:rFonts w:ascii="Arial" w:cs="Arial" w:eastAsia="Arial" w:hAnsi="Arial"/>
          <w:b/>
          <w:bCs/>
          <w:color w:val="404040"/>
          <w:sz w:val="22"/>
          <w:szCs w:val="22"/>
        </w:rPr>
        <w:t xml:space="preserve">1.3.2 Schéma en étoile — Structure globale</w:t>
      </w:r>
    </w:p>
    <w:p>
      <w:pPr>
        <w:spacing w:after="100" w:before="100"/>
        <w:jc w:val="both"/>
      </w:pPr>
      <w:r>
        <w:rPr>
          <w:rFonts w:ascii="Arial" w:cs="Arial" w:eastAsia="Arial" w:hAnsi="Arial"/>
          <w:b w:val="false"/>
          <w:bCs w:val="false"/>
          <w:color w:val="333333"/>
          <w:sz w:val="22"/>
          <w:szCs w:val="22"/>
        </w:rPr>
        <w:t xml:space="preserve">Le modèle adopté est un schéma en étoile (Star Schema), avec deux tables de faits centrales entourées de leurs dimensions respectives. Ce choix est motivé par ses avantages reconnus : facilité de navigation pour les utilisateurs finaux, très bonnes performances grâce au nombre limité de jointures, et compatibilité optimale avec les moteurs OLAP comme Power BI.</w:t>
      </w:r>
    </w:p>
    <w:p>
      <w:pPr>
        <w:spacing w:after="80" w:before="80"/>
      </w:pPr>
      <w:r>
        <w:t xml:space="preserve"/>
      </w:r>
    </w:p>
    <w:p>
      <w:pPr>
        <w:pStyle w:val="Heading3"/>
        <w:spacing w:after="120" w:before="240"/>
      </w:pPr>
      <w:r>
        <w:rPr>
          <w:rFonts w:ascii="Arial" w:cs="Arial" w:eastAsia="Arial" w:hAnsi="Arial"/>
          <w:b/>
          <w:bCs/>
          <w:color w:val="404040"/>
          <w:sz w:val="22"/>
          <w:szCs w:val="22"/>
        </w:rPr>
        <w:t xml:space="preserve">1.3.3 Tables de faits</w:t>
      </w:r>
    </w:p>
    <w:p>
      <w:pPr>
        <w:spacing w:after="100" w:before="100"/>
        <w:jc w:val="both"/>
      </w:pPr>
      <w:r>
        <w:rPr>
          <w:rFonts w:ascii="Arial" w:cs="Arial" w:eastAsia="Arial" w:hAnsi="Arial"/>
          <w:b w:val="false"/>
          <w:bCs w:val="false"/>
          <w:color w:val="333333"/>
          <w:sz w:val="22"/>
          <w:szCs w:val="22"/>
        </w:rPr>
        <w:t xml:space="preserve">Deux tables de faits ont été identifiées et conçues, correspondant aux deux processus métier principaux à analyser :</w:t>
      </w:r>
    </w:p>
    <w:p>
      <w:pPr>
        <w:spacing w:after="80" w:before="80"/>
      </w:pPr>
      <w:r>
        <w:t xml:space="preserve"/>
      </w:r>
    </w:p>
    <w:p>
      <w:pPr>
        <w:spacing w:after="100" w:before="100"/>
        <w:jc w:val="both"/>
      </w:pPr>
      <w:r>
        <w:rPr>
          <w:rFonts w:ascii="Arial" w:cs="Arial" w:eastAsia="Arial" w:hAnsi="Arial"/>
          <w:b/>
          <w:bCs/>
          <w:color w:val="333333"/>
          <w:sz w:val="22"/>
          <w:szCs w:val="22"/>
        </w:rPr>
        <w:t xml:space="preserve">Table de faits FAIT_NOTES (7 262 lignes) — Fait principal</w:t>
      </w:r>
    </w:p>
    <w:p>
      <w:pPr>
        <w:spacing w:after="100" w:before="100"/>
        <w:jc w:val="both"/>
      </w:pPr>
      <w:r>
        <w:rPr>
          <w:rFonts w:ascii="Arial" w:cs="Arial" w:eastAsia="Arial" w:hAnsi="Arial"/>
          <w:b w:val="false"/>
          <w:bCs w:val="false"/>
          <w:color w:val="333333"/>
          <w:sz w:val="22"/>
          <w:szCs w:val="22"/>
        </w:rPr>
        <w:t xml:space="preserve">Cette table constitue le cœur analytique du système. Elle enregistre chaque évaluation d'un étudiant dans une matière donnée, au cours d'une période spécifique, dans une classe précise. La granularité choisie est l'évaluation individuelle, ce qui permet les analyses les plus fines (par étudiant, par matière, par trimestre).</w:t>
      </w:r>
    </w:p>
    <w:p>
      <w:pPr>
        <w:spacing w:after="80" w:before="8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600"/>
        <w:gridCol w:w="3526"/>
      </w:tblGrid>
      <w:tr>
        <w:trPr>
          <w:tblHeader/>
        </w:trPr>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Colonne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w:t>
            </w:r>
          </w:p>
        </w:tc>
        <w:tc>
          <w:tcPr>
            <w:tcW w:type="dxa" w:w="3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7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id_note</w:t>
            </w:r>
          </w:p>
        </w:tc>
        <w:tc>
          <w:tcPr>
            <w:tcW w:type="dxa" w:w="1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INT (PK)</w:t>
            </w:r>
          </w:p>
        </w:tc>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Clé primaire</w:t>
            </w:r>
          </w:p>
        </w:tc>
        <w:tc>
          <w:tcPr>
            <w:tcW w:type="dxa" w:w="3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Identifiant unique de l'évaluation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id_etudiant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INT (FK)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Clé étrangère</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Lien vers dim_etudiant</w:t>
            </w:r>
          </w:p>
        </w:tc>
      </w:tr>
      <w:tr>
        <w:tc>
          <w:tcPr>
            <w:tcW w:type="dxa" w:w="17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id_matiere</w:t>
            </w:r>
          </w:p>
        </w:tc>
        <w:tc>
          <w:tcPr>
            <w:tcW w:type="dxa" w:w="1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INT (FK)</w:t>
            </w:r>
          </w:p>
        </w:tc>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Clé étrangère</w:t>
            </w:r>
          </w:p>
        </w:tc>
        <w:tc>
          <w:tcPr>
            <w:tcW w:type="dxa" w:w="3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Lien vers dim_matiere</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id_classe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INT (FK)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Clé étrangère</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Lien vers dim_classe</w:t>
            </w:r>
          </w:p>
        </w:tc>
      </w:tr>
      <w:tr>
        <w:tc>
          <w:tcPr>
            <w:tcW w:type="dxa" w:w="17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id_temps</w:t>
            </w:r>
          </w:p>
        </w:tc>
        <w:tc>
          <w:tcPr>
            <w:tcW w:type="dxa" w:w="1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INT (FK)</w:t>
            </w:r>
          </w:p>
        </w:tc>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Clé étrangère</w:t>
            </w:r>
          </w:p>
        </w:tc>
        <w:tc>
          <w:tcPr>
            <w:tcW w:type="dxa" w:w="3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Lien vers dim_temps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note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DECIMAL(4,2)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Mesure principale</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Note sur 20 — mesure additive</w:t>
            </w:r>
          </w:p>
        </w:tc>
      </w:tr>
      <w:tr>
        <w:tc>
          <w:tcPr>
            <w:tcW w:type="dxa" w:w="17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mention</w:t>
            </w:r>
          </w:p>
        </w:tc>
        <w:tc>
          <w:tcPr>
            <w:tcW w:type="dxa" w:w="1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VARCHAR</w:t>
            </w:r>
          </w:p>
        </w:tc>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Attribut dégénéré</w:t>
            </w:r>
          </w:p>
        </w:tc>
        <w:tc>
          <w:tcPr>
            <w:tcW w:type="dxa" w:w="3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Très Bien / Bien / Assez Bien / Passable / Insuffisant</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statut_validation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VARCHAR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Indicateur</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Validé / Non Validé</w:t>
            </w:r>
          </w:p>
        </w:tc>
      </w:tr>
      <w:tr>
        <w:tc>
          <w:tcPr>
            <w:tcW w:type="dxa" w:w="17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nb_absences</w:t>
            </w:r>
          </w:p>
        </w:tc>
        <w:tc>
          <w:tcPr>
            <w:tcW w:type="dxa" w:w="1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INT</w:t>
            </w:r>
          </w:p>
        </w:tc>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Mesure secondaire</w:t>
            </w:r>
          </w:p>
        </w:tc>
        <w:tc>
          <w:tcPr>
            <w:tcW w:type="dxa" w:w="3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Nombre d'absences sur la période</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annee_scolaire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VARCHAR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Redondance utile</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Filtre rapide sans jointure vers dim_temps</w:t>
            </w:r>
          </w:p>
        </w:tc>
      </w:tr>
      <w:tr>
        <w:tc>
          <w:tcPr>
            <w:tcW w:type="dxa" w:w="17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est_rattrapage</w:t>
            </w:r>
          </w:p>
        </w:tc>
        <w:tc>
          <w:tcPr>
            <w:tcW w:type="dxa" w:w="1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BIT</w:t>
            </w:r>
          </w:p>
        </w:tc>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Indicateur</w:t>
            </w:r>
          </w:p>
        </w:tc>
        <w:tc>
          <w:tcPr>
            <w:tcW w:type="dxa" w:w="3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1 si session de rattrapage, 0 sinon</w:t>
            </w:r>
          </w:p>
        </w:tc>
      </w:tr>
    </w:tbl>
    <w:p>
      <w:pPr>
        <w:spacing w:after="80" w:before="80"/>
      </w:pPr>
      <w:r>
        <w:t xml:space="preserve"/>
      </w:r>
    </w:p>
    <w:p>
      <w:pPr>
        <w:spacing w:after="100" w:before="100"/>
        <w:jc w:val="both"/>
      </w:pPr>
      <w:r>
        <w:rPr>
          <w:rFonts w:ascii="Arial" w:cs="Arial" w:eastAsia="Arial" w:hAnsi="Arial"/>
          <w:b w:val="false"/>
          <w:bCs w:val="false"/>
          <w:color w:val="333333"/>
          <w:sz w:val="22"/>
          <w:szCs w:val="22"/>
        </w:rPr>
        <w:t xml:space="preserve">La mesure principale, la note, est une mesure additive : elle peut être additionnée selon toutes les dimensions (sum par filière, par classe, par période). La moyenne pondérée constitue l'indicateur de performance clé (KPI) calculé à partir de cette mesure.</w:t>
      </w:r>
    </w:p>
    <w:p>
      <w:pPr>
        <w:spacing w:after="80" w:before="80"/>
      </w:pPr>
      <w:r>
        <w:t xml:space="preserve"/>
      </w:r>
    </w:p>
    <w:p>
      <w:pPr>
        <w:spacing w:after="100" w:before="100"/>
        <w:jc w:val="both"/>
      </w:pPr>
      <w:r>
        <w:rPr>
          <w:rFonts w:ascii="Arial" w:cs="Arial" w:eastAsia="Arial" w:hAnsi="Arial"/>
          <w:b/>
          <w:bCs/>
          <w:color w:val="333333"/>
          <w:sz w:val="22"/>
          <w:szCs w:val="22"/>
        </w:rPr>
        <w:t xml:space="preserve">Table de faits FAIT_ABANDONS (~45 lignes) — Fait secondaire</w:t>
      </w:r>
    </w:p>
    <w:p>
      <w:pPr>
        <w:spacing w:after="100" w:before="100"/>
        <w:jc w:val="both"/>
      </w:pPr>
      <w:r>
        <w:rPr>
          <w:rFonts w:ascii="Arial" w:cs="Arial" w:eastAsia="Arial" w:hAnsi="Arial"/>
          <w:b w:val="false"/>
          <w:bCs w:val="false"/>
          <w:color w:val="333333"/>
          <w:sz w:val="22"/>
          <w:szCs w:val="22"/>
        </w:rPr>
        <w:t xml:space="preserve">Cette table enregistre les événements d'abandon scolaire. Bien que de faible volumétrie, elle est analytiquement cruciale car elle permet de mesurer le taux d'abandon par filière, par année et d'en analyser les motifs déclarés.</w:t>
      </w:r>
    </w:p>
    <w:p>
      <w:pPr>
        <w:spacing w:after="80" w:before="8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600"/>
        <w:gridCol w:w="3526"/>
      </w:tblGrid>
      <w:tr>
        <w:trPr>
          <w:tblHeader/>
        </w:trPr>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Colonne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w:t>
            </w:r>
          </w:p>
        </w:tc>
        <w:tc>
          <w:tcPr>
            <w:tcW w:type="dxa" w:w="3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7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id_abandon</w:t>
            </w:r>
          </w:p>
        </w:tc>
        <w:tc>
          <w:tcPr>
            <w:tcW w:type="dxa" w:w="1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INT (PK)</w:t>
            </w:r>
          </w:p>
        </w:tc>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Clé primaire</w:t>
            </w:r>
          </w:p>
        </w:tc>
        <w:tc>
          <w:tcPr>
            <w:tcW w:type="dxa" w:w="3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Identifiant unique de l'abandon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id_etudiant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INT (FK)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Clé étrangère</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Étudiant concerné</w:t>
            </w:r>
          </w:p>
        </w:tc>
      </w:tr>
      <w:tr>
        <w:tc>
          <w:tcPr>
            <w:tcW w:type="dxa" w:w="17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id_filiere</w:t>
            </w:r>
          </w:p>
        </w:tc>
        <w:tc>
          <w:tcPr>
            <w:tcW w:type="dxa" w:w="1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INT (FK)</w:t>
            </w:r>
          </w:p>
        </w:tc>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Clé étrangère</w:t>
            </w:r>
          </w:p>
        </w:tc>
        <w:tc>
          <w:tcPr>
            <w:tcW w:type="dxa" w:w="3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Filière abandonnée</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annee_scolaire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VARCHAR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Attribut temporel</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Année d'abandon (ex: 2021-22)</w:t>
            </w:r>
          </w:p>
        </w:tc>
      </w:tr>
      <w:tr>
        <w:tc>
          <w:tcPr>
            <w:tcW w:type="dxa" w:w="17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annee_abandon</w:t>
            </w:r>
          </w:p>
        </w:tc>
        <w:tc>
          <w:tcPr>
            <w:tcW w:type="dxa" w:w="1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INT</w:t>
            </w:r>
          </w:p>
        </w:tc>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Mesure temporelle</w:t>
            </w:r>
          </w:p>
        </w:tc>
        <w:tc>
          <w:tcPr>
            <w:tcW w:type="dxa" w:w="3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Année calendaire de l'abandon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motif_abandon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VARCHAR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Dimension dégénérée</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Difficultés financières / Personnelles / Académiques</w:t>
            </w:r>
          </w:p>
        </w:tc>
      </w:tr>
      <w:tr>
        <w:tc>
          <w:tcPr>
            <w:tcW w:type="dxa" w:w="17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semestre_abandon</w:t>
            </w:r>
          </w:p>
        </w:tc>
        <w:tc>
          <w:tcPr>
            <w:tcW w:type="dxa" w:w="1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INT</w:t>
            </w:r>
          </w:p>
        </w:tc>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Indicateur</w:t>
            </w:r>
          </w:p>
        </w:tc>
        <w:tc>
          <w:tcPr>
            <w:tcW w:type="dxa" w:w="3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Semestre où l'abandon a eu lieu (1 ou 2)</w:t>
            </w:r>
          </w:p>
        </w:tc>
      </w:tr>
    </w:tbl>
    <w:p>
      <w:pPr>
        <w:spacing w:after="80" w:before="80"/>
      </w:pPr>
      <w:r>
        <w:t xml:space="preserve"/>
      </w:r>
    </w:p>
    <w:p>
      <w:pPr>
        <w:pStyle w:val="Heading3"/>
        <w:spacing w:after="120" w:before="240"/>
      </w:pPr>
      <w:r>
        <w:rPr>
          <w:rFonts w:ascii="Arial" w:cs="Arial" w:eastAsia="Arial" w:hAnsi="Arial"/>
          <w:b/>
          <w:bCs/>
          <w:color w:val="404040"/>
          <w:sz w:val="22"/>
          <w:szCs w:val="22"/>
        </w:rPr>
        <w:t xml:space="preserve">1.3.4 Tables de dimensions</w:t>
      </w:r>
    </w:p>
    <w:p>
      <w:pPr>
        <w:spacing w:after="100" w:before="100"/>
        <w:jc w:val="both"/>
      </w:pPr>
      <w:r>
        <w:rPr>
          <w:rFonts w:ascii="Arial" w:cs="Arial" w:eastAsia="Arial" w:hAnsi="Arial"/>
          <w:b w:val="false"/>
          <w:bCs w:val="false"/>
          <w:color w:val="333333"/>
          <w:sz w:val="22"/>
          <w:szCs w:val="22"/>
        </w:rPr>
        <w:t xml:space="preserve">Les dimensions forment le contexte analytique du modèle. Nous détaillons ci-dessous les cinq dimensions fondamentales, auxquelles s'ajoutent cinq dimensions enrichies issues des recommandations de la recherche académique.</w:t>
      </w:r>
    </w:p>
    <w:p>
      <w:pPr>
        <w:spacing w:after="80" w:before="80"/>
      </w:pPr>
      <w:r>
        <w:t xml:space="preserve"/>
      </w:r>
    </w:p>
    <w:p>
      <w:pPr>
        <w:spacing w:after="100" w:before="100"/>
        <w:jc w:val="both"/>
      </w:pPr>
      <w:r>
        <w:rPr>
          <w:rFonts w:ascii="Arial" w:cs="Arial" w:eastAsia="Arial" w:hAnsi="Arial"/>
          <w:b/>
          <w:bCs/>
          <w:color w:val="333333"/>
          <w:sz w:val="22"/>
          <w:szCs w:val="22"/>
        </w:rPr>
        <w:t xml:space="preserve">Dimension TEMPS — Axe temporel obligatoire</w:t>
      </w:r>
    </w:p>
    <w:p>
      <w:pPr>
        <w:spacing w:after="100" w:before="100"/>
        <w:jc w:val="both"/>
      </w:pPr>
      <w:r>
        <w:rPr>
          <w:rFonts w:ascii="Arial" w:cs="Arial" w:eastAsia="Arial" w:hAnsi="Arial"/>
          <w:b w:val="false"/>
          <w:bCs w:val="false"/>
          <w:color w:val="333333"/>
          <w:sz w:val="22"/>
          <w:szCs w:val="22"/>
        </w:rPr>
        <w:t xml:space="preserve">Conformément aux bonnes pratiques de conception d'entrepôts de données, la dimension temps est toujours présente et reliée à toute table de faits. Elle offre une hiérarchie dimensionnelle permettant l'analyse à différents niveaux de granularité : Année scolaire → Semestre → Trimestre.</w:t>
      </w:r>
    </w:p>
    <w:p>
      <w:pPr>
        <w:spacing w:after="80" w:before="8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2826"/>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Colonne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Hiérarchie</w:t>
            </w:r>
          </w:p>
        </w:tc>
        <w:tc>
          <w:tcPr>
            <w:tcW w:type="dxa" w:w="2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Exemple</w:t>
            </w:r>
          </w:p>
        </w:tc>
      </w:tr>
      <w:tr>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id_temps</w:t>
            </w:r>
          </w:p>
        </w:tc>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INT (PK)</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w:t>
            </w:r>
          </w:p>
        </w:tc>
        <w:tc>
          <w:tcPr>
            <w:tcW w:type="dxa" w:w="28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1</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annee_scolaire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VARCHAR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Niveau 1</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2022-23</w:t>
            </w:r>
          </w:p>
        </w:tc>
      </w:tr>
      <w:tr>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annee</w:t>
            </w:r>
          </w:p>
        </w:tc>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SMALLINT</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Niveau 1bis</w:t>
            </w:r>
          </w:p>
        </w:tc>
        <w:tc>
          <w:tcPr>
            <w:tcW w:type="dxa" w:w="28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2022</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semestre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TINYINT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Niveau 2</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1</w:t>
            </w:r>
          </w:p>
        </w:tc>
      </w:tr>
      <w:tr>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trimestre</w:t>
            </w:r>
          </w:p>
        </w:tc>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TINYINT</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Niveau 3 (grain fin)</w:t>
            </w:r>
          </w:p>
        </w:tc>
        <w:tc>
          <w:tcPr>
            <w:tcW w:type="dxa" w:w="28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2</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periode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VARCHAR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Code combiné</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S1T2</w:t>
            </w:r>
          </w:p>
        </w:tc>
      </w:tr>
      <w:tr>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mois_debut</w:t>
            </w:r>
          </w:p>
        </w:tc>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TINYINT</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Ancrage calendaire</w:t>
            </w:r>
          </w:p>
        </w:tc>
        <w:tc>
          <w:tcPr>
            <w:tcW w:type="dxa" w:w="28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9</w:t>
            </w:r>
          </w:p>
        </w:tc>
      </w:tr>
    </w:tbl>
    <w:p>
      <w:pPr>
        <w:spacing w:after="80" w:before="80"/>
      </w:pPr>
      <w:r>
        <w:t xml:space="preserve"/>
      </w:r>
    </w:p>
    <w:p>
      <w:pPr>
        <w:spacing w:after="100" w:before="100"/>
        <w:jc w:val="both"/>
      </w:pPr>
      <w:r>
        <w:rPr>
          <w:rFonts w:ascii="Arial" w:cs="Arial" w:eastAsia="Arial" w:hAnsi="Arial"/>
          <w:b/>
          <w:bCs/>
          <w:color w:val="333333"/>
          <w:sz w:val="22"/>
          <w:szCs w:val="22"/>
        </w:rPr>
        <w:t xml:space="preserve">Dimension ETUDIANT — Profil individuel enrichi (19 colonnes)</w:t>
      </w:r>
    </w:p>
    <w:p>
      <w:pPr>
        <w:spacing w:after="100" w:before="100"/>
        <w:jc w:val="both"/>
      </w:pPr>
      <w:r>
        <w:rPr>
          <w:rFonts w:ascii="Arial" w:cs="Arial" w:eastAsia="Arial" w:hAnsi="Arial"/>
          <w:b w:val="false"/>
          <w:bCs w:val="false"/>
          <w:color w:val="333333"/>
          <w:sz w:val="22"/>
          <w:szCs w:val="22"/>
        </w:rPr>
        <w:t xml:space="preserve">La dimension étudiant est la plus riche du modèle. Enrichie de 9 colonnes supplémentaires issues de la thèse SUEBANG (2022), elle permet l'analyse comparative par genre, niveau socio-économique, mention au baccalauréat, trait de personnalité, ou encore fréquence des habitudes d'étude — autant de facteurs corrélés aux performances académiques et au risque de décrochage.</w:t>
      </w:r>
    </w:p>
    <w:p>
      <w:pPr>
        <w:spacing w:after="80" w:before="8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3226"/>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Colonne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Catégorie</w:t>
            </w:r>
          </w:p>
        </w:tc>
        <w:tc>
          <w:tcPr>
            <w:tcW w:type="dxa" w:w="3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id_etudiant, matricule, nom, prénom</w:t>
            </w:r>
          </w:p>
        </w:tc>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Identité</w:t>
            </w:r>
          </w:p>
        </w:tc>
        <w:tc>
          <w:tcPr>
            <w:tcW w:type="dxa" w:w="32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Clé artificielle + attributs d'identification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genre, date_naissance, ville_origine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Démographie</w:t>
            </w:r>
          </w:p>
        </w:tc>
        <w:tc>
          <w:tcPr>
            <w:tcW w:type="dxa" w:w="3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Axes d'analyse comparative</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niveau_socio_economique</w:t>
            </w:r>
          </w:p>
        </w:tc>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Socio-économique</w:t>
            </w:r>
          </w:p>
        </w:tc>
        <w:tc>
          <w:tcPr>
            <w:tcW w:type="dxa" w:w="32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Faible / Moyen / Élevé (30/50/20%)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id_filiere, annee_entree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Parcours</w:t>
            </w:r>
          </w:p>
        </w:tc>
        <w:tc>
          <w:tcPr>
            <w:tcW w:type="dxa" w:w="3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Lien vers la filière et date d'entrée dans le système</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mention_baccalaureat, serie_terminale</w:t>
            </w:r>
          </w:p>
        </w:tc>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Historique scolaire</w:t>
            </w:r>
          </w:p>
        </w:tc>
        <w:tc>
          <w:tcPr>
            <w:tcW w:type="dxa" w:w="32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Prédicteurs de réussite universitaire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estime_de_soi, trait_personnalite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Profil psychologique</w:t>
            </w:r>
          </w:p>
        </w:tc>
        <w:tc>
          <w:tcPr>
            <w:tcW w:type="dxa" w:w="3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Facteurs de risque identifiés (thèse, tab. 12-13)</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frequence_etude_lecons</w:t>
            </w:r>
          </w:p>
        </w:tc>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Habitudes d'étude</w:t>
            </w:r>
          </w:p>
        </w:tc>
        <w:tc>
          <w:tcPr>
            <w:tcW w:type="dxa" w:w="32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Corrélé aux performances (thèse, tab. 53-58)</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decrochage_anterieur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Historique</w:t>
            </w:r>
          </w:p>
        </w:tc>
        <w:tc>
          <w:tcPr>
            <w:tcW w:type="dxa" w:w="3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Facteur aggravant documenté (thèse, tab. 52)</w:t>
            </w:r>
          </w:p>
        </w:tc>
      </w:tr>
    </w:tbl>
    <w:p>
      <w:pPr>
        <w:spacing w:after="80" w:before="80"/>
      </w:pPr>
      <w:r>
        <w:t xml:space="preserve"/>
      </w:r>
    </w:p>
    <w:p>
      <w:pPr>
        <w:spacing w:after="100" w:before="100"/>
        <w:jc w:val="both"/>
      </w:pPr>
      <w:r>
        <w:rPr>
          <w:rFonts w:ascii="Arial" w:cs="Arial" w:eastAsia="Arial" w:hAnsi="Arial"/>
          <w:b/>
          <w:bCs/>
          <w:color w:val="333333"/>
          <w:sz w:val="22"/>
          <w:szCs w:val="22"/>
        </w:rPr>
        <w:t xml:space="preserve">Dimensions FILIERE, CLASSE et MATIERE — Axes pédagogiques</w:t>
      </w:r>
    </w:p>
    <w:p>
      <w:pPr>
        <w:spacing w:after="100" w:before="100"/>
        <w:jc w:val="both"/>
      </w:pPr>
      <w:r>
        <w:rPr>
          <w:rFonts w:ascii="Arial" w:cs="Arial" w:eastAsia="Arial" w:hAnsi="Arial"/>
          <w:b w:val="false"/>
          <w:bCs w:val="false"/>
          <w:color w:val="333333"/>
          <w:sz w:val="22"/>
          <w:szCs w:val="22"/>
        </w:rPr>
        <w:t xml:space="preserve">Ces trois dimensions forment le cœur du référentiel pédagogique. dim_filiere centralise les formations disponibles (Licence, Master, BTS) ; dim_classe identifie les groupes d'étudiants par niveau et par année scolaire ; dim_matiere détaille les cours enseignés avec leurs coefficients et crédits, permettant le calcul de moyennes pondérées.</w:t>
      </w:r>
    </w:p>
    <w:p>
      <w:pPr>
        <w:spacing w:after="80" w:before="80"/>
      </w:pPr>
      <w:r>
        <w:t xml:space="preserve"/>
      </w:r>
    </w:p>
    <w:p>
      <w:pPr>
        <w:spacing w:after="100" w:before="100"/>
        <w:jc w:val="both"/>
      </w:pPr>
      <w:r>
        <w:rPr>
          <w:rFonts w:ascii="Arial" w:cs="Arial" w:eastAsia="Arial" w:hAnsi="Arial"/>
          <w:b/>
          <w:bCs/>
          <w:color w:val="333333"/>
          <w:sz w:val="22"/>
          <w:szCs w:val="22"/>
        </w:rPr>
        <w:t xml:space="preserve">Dimensions enrichies — Facteurs contextuels (5 nouvelles dimensions)</w:t>
      </w:r>
    </w:p>
    <w:p>
      <w:pPr>
        <w:spacing w:after="100" w:before="100"/>
        <w:jc w:val="both"/>
      </w:pPr>
      <w:r>
        <w:rPr>
          <w:rFonts w:ascii="Arial" w:cs="Arial" w:eastAsia="Arial" w:hAnsi="Arial"/>
          <w:b w:val="false"/>
          <w:bCs w:val="false"/>
          <w:color w:val="333333"/>
          <w:sz w:val="22"/>
          <w:szCs w:val="22"/>
        </w:rPr>
        <w:t xml:space="preserve">Sur la base des recommandations académiques et des enseignements tirés de la thèse SUEBANG, cinq dimensions additionnelles ont été créées pour enrichir le modèle analytique :</w:t>
      </w:r>
    </w:p>
    <w:p>
      <w:pPr>
        <w:spacing w:after="8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dim_sante_etudiant : fréquence de consultation médicale, maladies chroniques, problèmes de santé mentale, impact sur les études. La fréquence des problèmes de santé constitue un facteur reconnu de décrochage scolaire.</w:t>
      </w:r>
    </w:p>
    <w:p>
      <w:pPr>
        <w:pStyle w:val="ListParagraph"/>
        <w:numPr>
          <w:ilvl w:val="0"/>
          <w:numId w:val="2"/>
        </w:numPr>
        <w:spacing w:after="60" w:before="60"/>
      </w:pPr>
      <w:r>
        <w:rPr>
          <w:rFonts w:ascii="Arial" w:cs="Arial" w:eastAsia="Arial" w:hAnsi="Arial"/>
          <w:color w:val="333333"/>
          <w:sz w:val="22"/>
          <w:szCs w:val="22"/>
        </w:rPr>
        <w:t xml:space="preserve">dim_parents_etudiant : niveau d'instruction et socioprofessionnel du père et de la mère, revenus familiaux estimés, soutien financier. Ces données permettent d'analyser l'influence du capital social et économique familial sur les performances.</w:t>
      </w:r>
    </w:p>
    <w:p>
      <w:pPr>
        <w:pStyle w:val="ListParagraph"/>
        <w:numPr>
          <w:ilvl w:val="0"/>
          <w:numId w:val="2"/>
        </w:numPr>
        <w:spacing w:after="60" w:before="60"/>
      </w:pPr>
      <w:r>
        <w:rPr>
          <w:rFonts w:ascii="Arial" w:cs="Arial" w:eastAsia="Arial" w:hAnsi="Arial"/>
          <w:color w:val="333333"/>
          <w:sz w:val="22"/>
          <w:szCs w:val="22"/>
        </w:rPr>
        <w:t xml:space="preserve">dim_integration_sociale : qualité des relations avec les camarades et les enseignants, isolement social, harcèlement (verbal, moral, cyberharcèlement). L'isolement social est identifié comme un facteur aggravant du décrochage (thèse, tab. 45).</w:t>
      </w:r>
    </w:p>
    <w:p>
      <w:pPr>
        <w:pStyle w:val="ListParagraph"/>
        <w:numPr>
          <w:ilvl w:val="0"/>
          <w:numId w:val="2"/>
        </w:numPr>
        <w:spacing w:after="60" w:before="60"/>
      </w:pPr>
      <w:r>
        <w:rPr>
          <w:rFonts w:ascii="Arial" w:cs="Arial" w:eastAsia="Arial" w:hAnsi="Arial"/>
          <w:color w:val="333333"/>
          <w:sz w:val="22"/>
          <w:szCs w:val="22"/>
        </w:rPr>
        <w:t xml:space="preserve">dim_difficultes_academiques : difficultés d'adaptation aux méthodes, surpopulation des amphithéâtres, habitudes d'étude, passé scolaire difficile. Ces indicateurs permettent d'identifier les étudiants nécessitant un accompagnement pédagogique renforcé.</w:t>
      </w:r>
    </w:p>
    <w:p>
      <w:pPr>
        <w:pStyle w:val="ListParagraph"/>
        <w:numPr>
          <w:ilvl w:val="0"/>
          <w:numId w:val="2"/>
        </w:numPr>
        <w:spacing w:after="60" w:before="60"/>
      </w:pPr>
      <w:r>
        <w:rPr>
          <w:rFonts w:ascii="Arial" w:cs="Arial" w:eastAsia="Arial" w:hAnsi="Arial"/>
          <w:color w:val="333333"/>
          <w:sz w:val="22"/>
          <w:szCs w:val="22"/>
        </w:rPr>
        <w:t xml:space="preserve">dim_situation_economique : mode de vie (domicile parental, cité universitaire, location), emploi rémunéré et volume horaire, bourse d'études, sources de financement principales. Un emploi de plus de 20h/semaine est fortement corrélé aux difficultés académiques.</w:t>
      </w:r>
    </w:p>
    <w:p>
      <w:pPr>
        <w:spacing w:after="80" w:before="80"/>
      </w:pPr>
      <w:r>
        <w:t xml:space="preserve"/>
      </w:r>
    </w:p>
    <w:p>
      <w:pPr>
        <w:pStyle w:val="Heading3"/>
        <w:spacing w:after="120" w:before="240"/>
      </w:pPr>
      <w:r>
        <w:rPr>
          <w:rFonts w:ascii="Arial" w:cs="Arial" w:eastAsia="Arial" w:hAnsi="Arial"/>
          <w:b/>
          <w:bCs/>
          <w:color w:val="404040"/>
          <w:sz w:val="22"/>
          <w:szCs w:val="22"/>
        </w:rPr>
        <w:t xml:space="preserve">1.3.5 Relations et intégrité du modèle</w:t>
      </w:r>
    </w:p>
    <w:p>
      <w:pPr>
        <w:spacing w:after="100" w:before="100"/>
        <w:jc w:val="both"/>
      </w:pPr>
      <w:r>
        <w:rPr>
          <w:rFonts w:ascii="Arial" w:cs="Arial" w:eastAsia="Arial" w:hAnsi="Arial"/>
          <w:b w:val="false"/>
          <w:bCs w:val="false"/>
          <w:color w:val="333333"/>
          <w:sz w:val="22"/>
          <w:szCs w:val="22"/>
        </w:rPr>
        <w:t xml:space="preserve">Le schéma en étoile repose sur des clés primaires artificielles à auto-incrémentation pour toutes les dimensions (conformément aux bonnes pratiques de Kimball), et des clés étrangères garantissant l'intégrité référentielle. Les relations sont les suivantes :</w:t>
      </w:r>
    </w:p>
    <w:p>
      <w:pPr>
        <w:spacing w:after="80" w:before="80"/>
      </w:pPr>
      <w:r>
        <w:t xml:space="preserve"/>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dim_etudiant.id_etudiant  ──→  fait_notes.id_etudiant</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dim_matiere.id_matiere    ──→  fait_notes.id_matiere</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dim_classe.id_classe      ──→  fait_notes.id_classe</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dim_temps.id_temps        ──→  fait_notes.id_temps</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dim_filiere.id_filiere    ──→  dim_etudiant.id_filiere</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dim_filiere.id_filiere    ──→  dim_classe.id_filiere</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dim_filiere.id_filiere    ──→  dim_matiere.id_filiere</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dim_filiere.id_filiere    ──→  fait_abandons.id_filiere</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 </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 Dimensions enrichies (liées par id_etudiant)</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dim_etudiant.id_etudiant  ──→  dim_sante_etudiant.id_etudiant</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dim_etudiant.id_etudiant  ──→  dim_parents_etudiant.id_etudiant</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dim_etudiant.id_etudiant  ──→  dim_integration_sociale.id_etudiant</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dim_etudiant.id_etudiant  ──→  dim_difficultes_academiques.id_etudiant</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dim_etudiant.id_etudiant  ──→  dim_situation_economique.id_etudiant</w:t>
      </w:r>
    </w:p>
    <w:p>
      <w:pPr>
        <w:spacing w:after="80" w:before="80"/>
      </w:pPr>
      <w:r>
        <w:t xml:space="preserve"/>
      </w:r>
    </w:p>
    <w:p>
      <w:pPr>
        <w:spacing w:after="100" w:before="100"/>
        <w:jc w:val="both"/>
      </w:pPr>
      <w:r>
        <w:rPr>
          <w:rFonts w:ascii="Arial" w:cs="Arial" w:eastAsia="Arial" w:hAnsi="Arial"/>
          <w:b w:val="false"/>
          <w:bCs w:val="false"/>
          <w:color w:val="333333"/>
          <w:sz w:val="22"/>
          <w:szCs w:val="22"/>
        </w:rPr>
        <w:t xml:space="preserve">Un point important est à noter concernant la présence de la colonne annee_scolaire dans la table de faits fait_notes. Il s'agit d'une redondance intentionnelle (dénormalisation partielle) qui améliore les performances des requêtes filtrées par année scolaire, évitant une jointure systématique vers dim_temps. Cette approche est alignée avec les principes du stockage OLAP où la dénormalisation est préférable pour optimiser les temps de réponse.</w:t>
      </w:r>
    </w:p>
    <w:p>
      <w:r>
        <w:br w:type="page"/>
      </w:r>
    </w:p>
    <w:p>
      <w:pPr>
        <w:pStyle w:val="Heading1"/>
        <w:pBdr>
          <w:bottom w:val="single" w:color="1F4E79" w:sz="8" w:space="4"/>
        </w:pBdr>
        <w:spacing w:after="200" w:before="480"/>
      </w:pPr>
      <w:r>
        <w:rPr>
          <w:rFonts w:ascii="Arial" w:cs="Arial" w:eastAsia="Arial" w:hAnsi="Arial"/>
          <w:b/>
          <w:bCs/>
          <w:color w:val="1F4E79"/>
          <w:sz w:val="32"/>
          <w:szCs w:val="32"/>
        </w:rPr>
        <w:t xml:space="preserve">Chapitre 2 — Pipeline ETL avec Talend Open Studio</w:t>
      </w:r>
    </w:p>
    <w:p>
      <w:pPr>
        <w:pStyle w:val="Heading2"/>
        <w:spacing w:after="160" w:before="320"/>
      </w:pPr>
      <w:r>
        <w:rPr>
          <w:rFonts w:ascii="Arial" w:cs="Arial" w:eastAsia="Arial" w:hAnsi="Arial"/>
          <w:b/>
          <w:bCs/>
          <w:color w:val="2E75B6"/>
          <w:sz w:val="26"/>
          <w:szCs w:val="26"/>
        </w:rPr>
        <w:t xml:space="preserve">2.1 Introduction à l'Approche ETL</w:t>
      </w:r>
    </w:p>
    <w:p>
      <w:pPr>
        <w:spacing w:after="100" w:before="100"/>
        <w:jc w:val="both"/>
      </w:pPr>
      <w:r>
        <w:rPr>
          <w:rFonts w:ascii="Arial" w:cs="Arial" w:eastAsia="Arial" w:hAnsi="Arial"/>
          <w:b w:val="false"/>
          <w:bCs w:val="false"/>
          <w:color w:val="333333"/>
          <w:sz w:val="22"/>
          <w:szCs w:val="22"/>
        </w:rPr>
        <w:t xml:space="preserve">L'intégration de données constitue l'étape la plus fastidieuse et la plus déterminante dans la mise en place d'un système d'information décisionnel. La qualité du produit final — et donc la fiabilité des décisions qui en découlent — est directement conditionnée par la rigueur du processus d'intégration. Un entrepôt de données alimenté par des données erronées ou incohérentes peut être plus néfaste que l'absence d'un tel système.</w:t>
      </w:r>
    </w:p>
    <w:p>
      <w:pPr>
        <w:spacing w:after="80" w:before="80"/>
      </w:pPr>
      <w:r>
        <w:t xml:space="preserve"/>
      </w:r>
    </w:p>
    <w:p>
      <w:pPr>
        <w:spacing w:after="100" w:before="100"/>
        <w:jc w:val="both"/>
      </w:pPr>
      <w:r>
        <w:rPr>
          <w:rFonts w:ascii="Arial" w:cs="Arial" w:eastAsia="Arial" w:hAnsi="Arial"/>
          <w:b w:val="false"/>
          <w:bCs w:val="false"/>
          <w:color w:val="333333"/>
          <w:sz w:val="22"/>
          <w:szCs w:val="22"/>
        </w:rPr>
        <w:t xml:space="preserve">L'approche ETL (Extract, Transform and Load) retenue pour ce projet est la plus utilisée dans la mise en place d'entrepôts de données. Elle s'articule en trois phases distinctes :</w:t>
      </w:r>
    </w:p>
    <w:p>
      <w:pPr>
        <w:spacing w:after="8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Extraction : récupération des données depuis les fichiers sources CSV, avec identification des règles de consolidation pour les données ambiguës ou multi-sources.</w:t>
      </w:r>
    </w:p>
    <w:p>
      <w:pPr>
        <w:pStyle w:val="ListParagraph"/>
        <w:numPr>
          <w:ilvl w:val="0"/>
          <w:numId w:val="2"/>
        </w:numPr>
        <w:spacing w:after="60" w:before="60"/>
      </w:pPr>
      <w:r>
        <w:rPr>
          <w:rFonts w:ascii="Arial" w:cs="Arial" w:eastAsia="Arial" w:hAnsi="Arial"/>
          <w:color w:val="333333"/>
          <w:sz w:val="22"/>
          <w:szCs w:val="22"/>
        </w:rPr>
        <w:t xml:space="preserve">Transformation : nettoyage, normalisation, calcul de valeurs dérivées, conversion de types et application des règles métier définies lors de l'analyse.</w:t>
      </w:r>
    </w:p>
    <w:p>
      <w:pPr>
        <w:pStyle w:val="ListParagraph"/>
        <w:numPr>
          <w:ilvl w:val="0"/>
          <w:numId w:val="2"/>
        </w:numPr>
        <w:spacing w:after="60" w:before="60"/>
      </w:pPr>
      <w:r>
        <w:rPr>
          <w:rFonts w:ascii="Arial" w:cs="Arial" w:eastAsia="Arial" w:hAnsi="Arial"/>
          <w:color w:val="333333"/>
          <w:sz w:val="22"/>
          <w:szCs w:val="22"/>
        </w:rPr>
        <w:t xml:space="preserve">Chargement : transfert des données transformées vers les tables cibles de l'entrepôt MySQL, en respectant l'ordre des dépendances entre dimensions et tables de faits.</w:t>
      </w:r>
    </w:p>
    <w:p>
      <w:pPr>
        <w:spacing w:after="80" w:before="80"/>
      </w:pPr>
      <w:r>
        <w:t xml:space="preserve"/>
      </w:r>
    </w:p>
    <w:p>
      <w:pPr>
        <w:pBdr>
          <w:top w:val="single" w:color="2E75B6" w:sz="4"/>
          <w:bottom w:val="single" w:color="2E75B6" w:sz="4"/>
          <w:left w:val="thick" w:color="2E75B6" w:sz="8"/>
          <w:right w:val="single" w:color="CCCCCC" w:sz="1"/>
        </w:pBdr>
        <w:shd w:fill="EFF4FB" w:val="clear"/>
        <w:spacing w:after="160" w:before="160"/>
        <w:ind w:left="360" w:right="360"/>
        <w:jc w:val="both"/>
      </w:pPr>
      <w:r>
        <w:rPr>
          <w:rFonts w:ascii="Arial" w:cs="Arial" w:eastAsia="Arial" w:hAnsi="Arial"/>
          <w:color w:val="1F4E79"/>
          <w:sz w:val="21"/>
          <w:szCs w:val="21"/>
        </w:rPr>
        <w:t xml:space="preserve">Avantages clés de l'ETL dans notre contexte : capacité à traiter de grandes quantités de données en une seule exécution, support de transformations et agrégations complexes, gestion visuelle et intuitive des pipelines grâce à l'interface graphique de Talend Open Studio, et séparation claire entre la logique de transformation et le stockage des données.</w:t>
      </w:r>
    </w:p>
    <w:p>
      <w:pPr>
        <w:pStyle w:val="Heading2"/>
        <w:spacing w:after="160" w:before="320"/>
      </w:pPr>
      <w:r>
        <w:rPr>
          <w:rFonts w:ascii="Arial" w:cs="Arial" w:eastAsia="Arial" w:hAnsi="Arial"/>
          <w:b/>
          <w:bCs/>
          <w:color w:val="2E75B6"/>
          <w:sz w:val="26"/>
          <w:szCs w:val="26"/>
        </w:rPr>
        <w:t xml:space="preserve">2.2 Infrastructure et Environnement Technique</w:t>
      </w:r>
    </w:p>
    <w:p>
      <w:pPr>
        <w:pStyle w:val="Heading3"/>
        <w:spacing w:after="120" w:before="240"/>
      </w:pPr>
      <w:r>
        <w:rPr>
          <w:rFonts w:ascii="Arial" w:cs="Arial" w:eastAsia="Arial" w:hAnsi="Arial"/>
          <w:b/>
          <w:bCs/>
          <w:color w:val="404040"/>
          <w:sz w:val="22"/>
          <w:szCs w:val="22"/>
        </w:rPr>
        <w:t xml:space="preserve">2.2.1 Configuration de la base de données cible</w:t>
      </w:r>
    </w:p>
    <w:p>
      <w:pPr>
        <w:spacing w:after="100" w:before="100"/>
        <w:jc w:val="both"/>
      </w:pPr>
      <w:r>
        <w:rPr>
          <w:rFonts w:ascii="Arial" w:cs="Arial" w:eastAsia="Arial" w:hAnsi="Arial"/>
          <w:b w:val="false"/>
          <w:bCs w:val="false"/>
          <w:color w:val="333333"/>
          <w:sz w:val="22"/>
          <w:szCs w:val="22"/>
        </w:rPr>
        <w:t xml:space="preserve">L'entrepôt de données est hébergé sur une instance MySQL 8.x, dans une base de données dédiée nommée dwh_education, configurée en encodage utf8mb4 pour garantir la compatibilité avec les caractères spéciaux (accents, etc.) présents dans les données françaises. La création du schéma est entièrement automatisée par le script 01_creation_schema_dwh.sql, qui crée les 7 tables fondamentales du modèle dimensionnel dans le bon ordre (les dimensions avant les tables de faits, pour respecter les contraintes de clés étrangères).</w:t>
      </w:r>
    </w:p>
    <w:p>
      <w:pPr>
        <w:spacing w:after="80" w:before="80"/>
      </w:pPr>
      <w:r>
        <w:t xml:space="preserve"/>
      </w:r>
    </w:p>
    <w:p>
      <w:pPr>
        <w:spacing w:after="100" w:before="100"/>
        <w:jc w:val="both"/>
      </w:pPr>
      <w:r>
        <w:rPr>
          <w:rFonts w:ascii="Arial" w:cs="Arial" w:eastAsia="Arial" w:hAnsi="Arial"/>
          <w:b w:val="false"/>
          <w:bCs w:val="false"/>
          <w:color w:val="333333"/>
          <w:sz w:val="22"/>
          <w:szCs w:val="22"/>
        </w:rPr>
        <w:t xml:space="preserve">L'ordre de création des tables suit impérativement la hiérarchie des dépendances référentielles :</w:t>
      </w:r>
    </w:p>
    <w:p>
      <w:pPr>
        <w:spacing w:after="80" w:before="80"/>
      </w:pPr>
      <w:r>
        <w:t xml:space="preserve"/>
      </w:r>
    </w:p>
    <w:p>
      <w:pPr>
        <w:pStyle w:val="ListParagraph"/>
        <w:numPr>
          <w:ilvl w:val="0"/>
          <w:numId w:val="3"/>
        </w:numPr>
        <w:spacing w:after="60" w:before="60"/>
      </w:pPr>
      <w:r>
        <w:rPr>
          <w:rFonts w:ascii="Arial" w:cs="Arial" w:eastAsia="Arial" w:hAnsi="Arial"/>
          <w:color w:val="333333"/>
          <w:sz w:val="22"/>
          <w:szCs w:val="22"/>
        </w:rPr>
        <w:t xml:space="preserve">dim_filiere — aucune dépendance, table pivot du référentiel</w:t>
      </w:r>
    </w:p>
    <w:p>
      <w:pPr>
        <w:pStyle w:val="ListParagraph"/>
        <w:numPr>
          <w:ilvl w:val="0"/>
          <w:numId w:val="3"/>
        </w:numPr>
        <w:spacing w:after="60" w:before="60"/>
      </w:pPr>
      <w:r>
        <w:rPr>
          <w:rFonts w:ascii="Arial" w:cs="Arial" w:eastAsia="Arial" w:hAnsi="Arial"/>
          <w:color w:val="333333"/>
          <w:sz w:val="22"/>
          <w:szCs w:val="22"/>
        </w:rPr>
        <w:t xml:space="preserve">dim_temps — aucune dépendance</w:t>
      </w:r>
    </w:p>
    <w:p>
      <w:pPr>
        <w:pStyle w:val="ListParagraph"/>
        <w:numPr>
          <w:ilvl w:val="0"/>
          <w:numId w:val="3"/>
        </w:numPr>
        <w:spacing w:after="60" w:before="60"/>
      </w:pPr>
      <w:r>
        <w:rPr>
          <w:rFonts w:ascii="Arial" w:cs="Arial" w:eastAsia="Arial" w:hAnsi="Arial"/>
          <w:color w:val="333333"/>
          <w:sz w:val="22"/>
          <w:szCs w:val="22"/>
        </w:rPr>
        <w:t xml:space="preserve">dim_matiere — dépend de dim_filiere (FK id_filiere)</w:t>
      </w:r>
    </w:p>
    <w:p>
      <w:pPr>
        <w:pStyle w:val="ListParagraph"/>
        <w:numPr>
          <w:ilvl w:val="0"/>
          <w:numId w:val="3"/>
        </w:numPr>
        <w:spacing w:after="60" w:before="60"/>
      </w:pPr>
      <w:r>
        <w:rPr>
          <w:rFonts w:ascii="Arial" w:cs="Arial" w:eastAsia="Arial" w:hAnsi="Arial"/>
          <w:color w:val="333333"/>
          <w:sz w:val="22"/>
          <w:szCs w:val="22"/>
        </w:rPr>
        <w:t xml:space="preserve">dim_classe — dépend de dim_filiere (FK id_filiere)</w:t>
      </w:r>
    </w:p>
    <w:p>
      <w:pPr>
        <w:pStyle w:val="ListParagraph"/>
        <w:numPr>
          <w:ilvl w:val="0"/>
          <w:numId w:val="3"/>
        </w:numPr>
        <w:spacing w:after="60" w:before="60"/>
      </w:pPr>
      <w:r>
        <w:rPr>
          <w:rFonts w:ascii="Arial" w:cs="Arial" w:eastAsia="Arial" w:hAnsi="Arial"/>
          <w:color w:val="333333"/>
          <w:sz w:val="22"/>
          <w:szCs w:val="22"/>
        </w:rPr>
        <w:t xml:space="preserve">dim_etudiant — dépend de dim_filiere (FK id_filiere)</w:t>
      </w:r>
    </w:p>
    <w:p>
      <w:pPr>
        <w:pStyle w:val="ListParagraph"/>
        <w:numPr>
          <w:ilvl w:val="0"/>
          <w:numId w:val="3"/>
        </w:numPr>
        <w:spacing w:after="60" w:before="60"/>
      </w:pPr>
      <w:r>
        <w:rPr>
          <w:rFonts w:ascii="Arial" w:cs="Arial" w:eastAsia="Arial" w:hAnsi="Arial"/>
          <w:color w:val="333333"/>
          <w:sz w:val="22"/>
          <w:szCs w:val="22"/>
        </w:rPr>
        <w:t xml:space="preserve">fait_notes — dépend de dim_etudiant, dim_matiere, dim_classe, dim_temps</w:t>
      </w:r>
    </w:p>
    <w:p>
      <w:pPr>
        <w:pStyle w:val="ListParagraph"/>
        <w:numPr>
          <w:ilvl w:val="0"/>
          <w:numId w:val="3"/>
        </w:numPr>
        <w:spacing w:after="60" w:before="60"/>
      </w:pPr>
      <w:r>
        <w:rPr>
          <w:rFonts w:ascii="Arial" w:cs="Arial" w:eastAsia="Arial" w:hAnsi="Arial"/>
          <w:color w:val="333333"/>
          <w:sz w:val="22"/>
          <w:szCs w:val="22"/>
        </w:rPr>
        <w:t xml:space="preserve">fait_abandons — dépend de dim_etudiant, dim_filiere</w:t>
      </w:r>
    </w:p>
    <w:p>
      <w:pPr>
        <w:spacing w:after="80" w:before="80"/>
      </w:pPr>
      <w:r>
        <w:t xml:space="preserve"/>
      </w:r>
    </w:p>
    <w:p>
      <w:pPr>
        <w:pStyle w:val="Heading3"/>
        <w:spacing w:after="120" w:before="240"/>
      </w:pPr>
      <w:r>
        <w:rPr>
          <w:rFonts w:ascii="Arial" w:cs="Arial" w:eastAsia="Arial" w:hAnsi="Arial"/>
          <w:b/>
          <w:bCs/>
          <w:color w:val="404040"/>
          <w:sz w:val="22"/>
          <w:szCs w:val="22"/>
        </w:rPr>
        <w:t xml:space="preserve">2.2.2 Architecture des jobs Talend</w:t>
      </w:r>
    </w:p>
    <w:p>
      <w:pPr>
        <w:spacing w:after="100" w:before="100"/>
        <w:jc w:val="both"/>
      </w:pPr>
      <w:r>
        <w:rPr>
          <w:rFonts w:ascii="Arial" w:cs="Arial" w:eastAsia="Arial" w:hAnsi="Arial"/>
          <w:b w:val="false"/>
          <w:bCs w:val="false"/>
          <w:color w:val="333333"/>
          <w:sz w:val="22"/>
          <w:szCs w:val="22"/>
        </w:rPr>
        <w:t xml:space="preserve">Le pipeline ETL est organisé en 8 jobs Talend distincts, orchestrés par un job maître (Job_Master_ETL_V2) qui les exécute dans le bon ordre via des connexions OnComponentOk. Cette architecture modulaire présente l'avantage de faciliter la maintenance, de permettre la réexécution ciblée d'un seul job en cas d'erreur, et d'offrir une traçabilité granulaire des opérations.</w:t>
      </w:r>
    </w:p>
    <w:p>
      <w:pPr>
        <w:spacing w:after="80" w:before="8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14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Job Talend</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Cible MySQL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Lignes chargées</w:t>
            </w:r>
          </w:p>
        </w:tc>
      </w:tr>
      <w:tr>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Job_01_Dimensions_V2</w:t>
            </w:r>
          </w:p>
        </w:tc>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dim_filiere, dim_temps, dim_matiere, dim_classe, dim_etudiant</w:t>
            </w:r>
          </w:p>
        </w:tc>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Dimensions fondamentales</w:t>
            </w:r>
          </w:p>
        </w:tc>
        <w:tc>
          <w:tcPr>
            <w:tcW w:type="dxa" w:w="14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750+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Job_04_Sante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dim_sante_etudiant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Dimension enrichie</w:t>
            </w:r>
          </w:p>
        </w:tc>
        <w:tc>
          <w:tcPr>
            <w:tcW w:type="dxa" w:w="1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600</w:t>
            </w:r>
          </w:p>
        </w:tc>
      </w:tr>
      <w:tr>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Job_05_Parents</w:t>
            </w:r>
          </w:p>
        </w:tc>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dim_parents_etudiant</w:t>
            </w:r>
          </w:p>
        </w:tc>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Dimension enrichie</w:t>
            </w:r>
          </w:p>
        </w:tc>
        <w:tc>
          <w:tcPr>
            <w:tcW w:type="dxa" w:w="14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600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Job_06_Integration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dim_integration_sociale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Dimension enrichie</w:t>
            </w:r>
          </w:p>
        </w:tc>
        <w:tc>
          <w:tcPr>
            <w:tcW w:type="dxa" w:w="1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600</w:t>
            </w:r>
          </w:p>
        </w:tc>
      </w:tr>
      <w:tr>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Job_07_Difficultes</w:t>
            </w:r>
          </w:p>
        </w:tc>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dim_difficultes_academiques</w:t>
            </w:r>
          </w:p>
        </w:tc>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Dimension enrichie</w:t>
            </w:r>
          </w:p>
        </w:tc>
        <w:tc>
          <w:tcPr>
            <w:tcW w:type="dxa" w:w="14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600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Job_08_Situation_Eco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dim_situation_economique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Dimension enrichie</w:t>
            </w:r>
          </w:p>
        </w:tc>
        <w:tc>
          <w:tcPr>
            <w:tcW w:type="dxa" w:w="1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600</w:t>
            </w:r>
          </w:p>
        </w:tc>
      </w:tr>
      <w:tr>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Job_02_Faits_Notes</w:t>
            </w:r>
          </w:p>
        </w:tc>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fait_notes</w:t>
            </w:r>
          </w:p>
        </w:tc>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Table de faits</w:t>
            </w:r>
          </w:p>
        </w:tc>
        <w:tc>
          <w:tcPr>
            <w:tcW w:type="dxa" w:w="14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7 262</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Job_03_Faits_Abandons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fait_abandons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Table de faits</w:t>
            </w:r>
          </w:p>
        </w:tc>
        <w:tc>
          <w:tcPr>
            <w:tcW w:type="dxa" w:w="1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~45</w:t>
            </w:r>
          </w:p>
        </w:tc>
      </w:tr>
    </w:tbl>
    <w:p>
      <w:pPr>
        <w:spacing w:after="80" w:before="80"/>
      </w:pPr>
      <w:r>
        <w:t xml:space="preserve"/>
      </w:r>
    </w:p>
    <w:p>
      <w:pPr>
        <w:pStyle w:val="Heading2"/>
        <w:spacing w:after="160" w:before="320"/>
      </w:pPr>
      <w:r>
        <w:rPr>
          <w:rFonts w:ascii="Arial" w:cs="Arial" w:eastAsia="Arial" w:hAnsi="Arial"/>
          <w:b/>
          <w:bCs/>
          <w:color w:val="2E75B6"/>
          <w:sz w:val="26"/>
          <w:szCs w:val="26"/>
        </w:rPr>
        <w:t xml:space="preserve">2.3 Extraction des Données</w:t>
      </w:r>
    </w:p>
    <w:p>
      <w:pPr>
        <w:pStyle w:val="Heading3"/>
        <w:spacing w:after="120" w:before="240"/>
      </w:pPr>
      <w:r>
        <w:rPr>
          <w:rFonts w:ascii="Arial" w:cs="Arial" w:eastAsia="Arial" w:hAnsi="Arial"/>
          <w:b/>
          <w:bCs/>
          <w:color w:val="404040"/>
          <w:sz w:val="22"/>
          <w:szCs w:val="22"/>
        </w:rPr>
        <w:t xml:space="preserve">2.3.1 Pattern de composants Talend</w:t>
      </w:r>
    </w:p>
    <w:p>
      <w:pPr>
        <w:spacing w:after="100" w:before="100"/>
        <w:jc w:val="both"/>
      </w:pPr>
      <w:r>
        <w:rPr>
          <w:rFonts w:ascii="Arial" w:cs="Arial" w:eastAsia="Arial" w:hAnsi="Arial"/>
          <w:b w:val="false"/>
          <w:bCs w:val="false"/>
          <w:color w:val="333333"/>
          <w:sz w:val="22"/>
          <w:szCs w:val="22"/>
        </w:rPr>
        <w:t xml:space="preserve">Chaque job suit le même pattern architectural de trois composants enchaînés, représentant les trois phases du pipeline :</w:t>
      </w:r>
    </w:p>
    <w:p>
      <w:pPr>
        <w:spacing w:after="80" w:before="80"/>
      </w:pPr>
      <w:r>
        <w:t xml:space="preserve"/>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[tFileInputDelimited] ──→ [tMap] ──→ [tMysqlOutput]</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         │                                    │</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         └──→ [tLogRow_Header]    [tLogRow_Reject] ──→ fichier de rejet</w:t>
      </w:r>
    </w:p>
    <w:p>
      <w:pPr>
        <w:spacing w:after="80" w:before="80"/>
      </w:pPr>
      <w:r>
        <w:t xml:space="preserve"/>
      </w:r>
    </w:p>
    <w:p>
      <w:pPr>
        <w:spacing w:after="100" w:before="100"/>
        <w:jc w:val="both"/>
      </w:pPr>
      <w:r>
        <w:rPr>
          <w:rFonts w:ascii="Arial" w:cs="Arial" w:eastAsia="Arial" w:hAnsi="Arial"/>
          <w:b w:val="false"/>
          <w:bCs w:val="false"/>
          <w:color w:val="333333"/>
          <w:sz w:val="22"/>
          <w:szCs w:val="22"/>
        </w:rPr>
        <w:t xml:space="preserve">Le composant tFileInputDelimited est configuré pour lire les fichiers CSV avec les paramètres suivants : encodage UTF-8 pour supporter les caractères accentués, saut de la première ligne d'en-tête (Header = 1), séparateur de champ virgule ou point-virgule selon le fichier, et déclaration explicite du schéma de chaque colonne avec son type Java correspondant.</w:t>
      </w:r>
    </w:p>
    <w:p>
      <w:pPr>
        <w:pStyle w:val="Heading3"/>
        <w:spacing w:after="120" w:before="240"/>
      </w:pPr>
      <w:r>
        <w:rPr>
          <w:rFonts w:ascii="Arial" w:cs="Arial" w:eastAsia="Arial" w:hAnsi="Arial"/>
          <w:b/>
          <w:bCs/>
          <w:color w:val="404040"/>
          <w:sz w:val="22"/>
          <w:szCs w:val="22"/>
        </w:rPr>
        <w:t xml:space="preserve">2.3.2 Connexion MySQL réutilisable</w:t>
      </w:r>
    </w:p>
    <w:p>
      <w:pPr>
        <w:spacing w:after="100" w:before="100"/>
        <w:jc w:val="both"/>
      </w:pPr>
      <w:r>
        <w:rPr>
          <w:rFonts w:ascii="Arial" w:cs="Arial" w:eastAsia="Arial" w:hAnsi="Arial"/>
          <w:b w:val="false"/>
          <w:bCs w:val="false"/>
          <w:color w:val="333333"/>
          <w:sz w:val="22"/>
          <w:szCs w:val="22"/>
        </w:rPr>
        <w:t xml:space="preserve">Une connexion MySQL est créée une seule fois dans le Repository Talend (sous Metadata → Db Connections) et partagée par tous les jobs. Cette approche, nommée connexion MySQL_DWH_Education, est configurée avec les paramètres du serveur local et la base de données dwh_education. Elle garantit la cohérence des configurations et simplifie la maintenance lors d'un changement d'environnement (passage de développement à production).</w:t>
      </w:r>
    </w:p>
    <w:p>
      <w:pPr>
        <w:pStyle w:val="Heading2"/>
        <w:spacing w:after="160" w:before="320"/>
      </w:pPr>
      <w:r>
        <w:rPr>
          <w:rFonts w:ascii="Arial" w:cs="Arial" w:eastAsia="Arial" w:hAnsi="Arial"/>
          <w:b/>
          <w:bCs/>
          <w:color w:val="2E75B6"/>
          <w:sz w:val="26"/>
          <w:szCs w:val="26"/>
        </w:rPr>
        <w:t xml:space="preserve">2.4 Transformation des Données</w:t>
      </w:r>
    </w:p>
    <w:p>
      <w:pPr>
        <w:pStyle w:val="Heading3"/>
        <w:spacing w:after="120" w:before="240"/>
      </w:pPr>
      <w:r>
        <w:rPr>
          <w:rFonts w:ascii="Arial" w:cs="Arial" w:eastAsia="Arial" w:hAnsi="Arial"/>
          <w:b/>
          <w:bCs/>
          <w:color w:val="404040"/>
          <w:sz w:val="22"/>
          <w:szCs w:val="22"/>
        </w:rPr>
        <w:t xml:space="preserve">2.4.1 Le composant tMap — Moteur de transformation</w:t>
      </w:r>
    </w:p>
    <w:p>
      <w:pPr>
        <w:spacing w:after="100" w:before="100"/>
        <w:jc w:val="both"/>
      </w:pPr>
      <w:r>
        <w:rPr>
          <w:rFonts w:ascii="Arial" w:cs="Arial" w:eastAsia="Arial" w:hAnsi="Arial"/>
          <w:b w:val="false"/>
          <w:bCs w:val="false"/>
          <w:color w:val="333333"/>
          <w:sz w:val="22"/>
          <w:szCs w:val="22"/>
        </w:rPr>
        <w:t xml:space="preserve">Le composant tMap est au cœur du processus de transformation dans Talend. Il permet visuellement de mapper les colonnes sources vers les colonnes cibles, d'appliquer des expressions de transformation, de définir des filtres de rejet et de gérer des jointures inter-sources. Dans notre projet, les transformations appliquées couvrent plusieurs catégories :</w:t>
      </w:r>
    </w:p>
    <w:p>
      <w:pPr>
        <w:spacing w:after="80" w:before="80"/>
      </w:pPr>
      <w:r>
        <w:t xml:space="preserve"/>
      </w:r>
    </w:p>
    <w:p>
      <w:pPr>
        <w:spacing w:after="100" w:before="100"/>
        <w:jc w:val="both"/>
      </w:pPr>
      <w:r>
        <w:rPr>
          <w:rFonts w:ascii="Arial" w:cs="Arial" w:eastAsia="Arial" w:hAnsi="Arial"/>
          <w:b/>
          <w:bCs/>
          <w:color w:val="2E75B6"/>
          <w:sz w:val="22"/>
          <w:szCs w:val="22"/>
        </w:rPr>
        <w:t xml:space="preserve">Nettoyage et valeurs par défaut</w:t>
      </w:r>
    </w:p>
    <w:p>
      <w:pPr>
        <w:spacing w:after="100" w:before="100"/>
        <w:jc w:val="both"/>
      </w:pPr>
      <w:r>
        <w:rPr>
          <w:rFonts w:ascii="Arial" w:cs="Arial" w:eastAsia="Arial" w:hAnsi="Arial"/>
          <w:b w:val="false"/>
          <w:bCs w:val="false"/>
          <w:color w:val="333333"/>
          <w:sz w:val="22"/>
          <w:szCs w:val="22"/>
        </w:rPr>
        <w:t xml:space="preserve">Les données sources peuvent contenir des valeurs nulles pour certains champs optionnels. Des expressions conditionnelles sont systématiquement appliquées pour garantir l'absence de valeurs null dans l'entrepôt :</w:t>
      </w:r>
    </w:p>
    <w:p>
      <w:pPr>
        <w:spacing w:after="80" w:before="80"/>
      </w:pPr>
      <w:r>
        <w:t xml:space="preserve"/>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 Exemple : dimension santé — valeur par défaut si null</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(row1.frequence_consultation == null) ? "Jamais" : row1.frequence_consultation</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(row1.maladie_chronique == null) ? "Aucune" : row1.maladie_chronique</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(row1.probleme_sante_mentale == null) ? "Aucun" : row1.probleme_sante_mentale</w:t>
      </w:r>
    </w:p>
    <w:p>
      <w:pPr>
        <w:spacing w:after="80" w:before="80"/>
      </w:pPr>
      <w:r>
        <w:t xml:space="preserve"/>
      </w:r>
    </w:p>
    <w:p>
      <w:pPr>
        <w:spacing w:after="100" w:before="100"/>
        <w:jc w:val="both"/>
      </w:pPr>
      <w:r>
        <w:rPr>
          <w:rFonts w:ascii="Arial" w:cs="Arial" w:eastAsia="Arial" w:hAnsi="Arial"/>
          <w:b/>
          <w:bCs/>
          <w:color w:val="2E75B6"/>
          <w:sz w:val="22"/>
          <w:szCs w:val="22"/>
        </w:rPr>
        <w:t xml:space="preserve">Validation des champs booléens (BIT)</w:t>
      </w:r>
    </w:p>
    <w:p>
      <w:pPr>
        <w:spacing w:after="100" w:before="100"/>
        <w:jc w:val="both"/>
      </w:pPr>
      <w:r>
        <w:rPr>
          <w:rFonts w:ascii="Arial" w:cs="Arial" w:eastAsia="Arial" w:hAnsi="Arial"/>
          <w:b w:val="false"/>
          <w:bCs w:val="false"/>
          <w:color w:val="333333"/>
          <w:sz w:val="22"/>
          <w:szCs w:val="22"/>
        </w:rPr>
        <w:t xml:space="preserve">Tous les champs indicateurs de type BIT (0/1) font l'objet d'une validation qui garantit qu'aucune valeur en dehors de 0 ou 1 ne peut être insérée dans l'entrepôt :</w:t>
      </w:r>
    </w:p>
    <w:p>
      <w:pPr>
        <w:spacing w:after="80" w:before="80"/>
      </w:pPr>
      <w:r>
        <w:t xml:space="preserve"/>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 Normalisation des flags booléens — appliqué à tous les champs BIT</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(row1.isolement_social == null) ? 0 : (row1.isolement_social &gt; 0 ? 1 : 0)</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 </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 Exemple : harcèlement</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(row1.victime_harcelement == null) ? 0 : (row1.victime_harcelement &gt; 0 ? 1 : 0)</w:t>
      </w:r>
    </w:p>
    <w:p>
      <w:pPr>
        <w:spacing w:after="80" w:before="80"/>
      </w:pPr>
      <w:r>
        <w:t xml:space="preserve"/>
      </w:r>
    </w:p>
    <w:p>
      <w:pPr>
        <w:spacing w:after="100" w:before="100"/>
        <w:jc w:val="both"/>
      </w:pPr>
      <w:r>
        <w:rPr>
          <w:rFonts w:ascii="Arial" w:cs="Arial" w:eastAsia="Arial" w:hAnsi="Arial"/>
          <w:b/>
          <w:bCs/>
          <w:color w:val="2E75B6"/>
          <w:sz w:val="22"/>
          <w:szCs w:val="22"/>
        </w:rPr>
        <w:t xml:space="preserve">Calcul de valeurs dérivées</w:t>
      </w:r>
    </w:p>
    <w:p>
      <w:pPr>
        <w:spacing w:after="100" w:before="100"/>
        <w:jc w:val="both"/>
      </w:pPr>
      <w:r>
        <w:rPr>
          <w:rFonts w:ascii="Arial" w:cs="Arial" w:eastAsia="Arial" w:hAnsi="Arial"/>
          <w:b w:val="false"/>
          <w:bCs w:val="false"/>
          <w:color w:val="333333"/>
          <w:sz w:val="22"/>
          <w:szCs w:val="22"/>
        </w:rPr>
        <w:t xml:space="preserve">Certaines colonnes de l'entrepôt sont calculées à partir de plusieurs colonnes sources, directement dans le tMap. Par exemple, le revenu total de la famille est recalculé dans le job de chargement de dim_parents_etudiant pour garantir la cohérence même si le fichier CSV contenait des incohérences :</w:t>
      </w:r>
    </w:p>
    <w:p>
      <w:pPr>
        <w:spacing w:after="80" w:before="80"/>
      </w:pPr>
      <w:r>
        <w:t xml:space="preserve"/>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 Recalcul du revenu total — garantit la cohérence</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revenu_total_famille_fcfa = row1.revenu_mensuel_pere_fcfa + row1.revenu_mensuel_mere_fcfa</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 </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 Validation des revenus — pas de valeur négative</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revenu_mensuel_pere_fcfa = (row1.revenu_mensuel_pere_fcfa &lt; 0) ? 0 : row1.revenu_mensuel_pere_fcfa</w:t>
      </w:r>
    </w:p>
    <w:p>
      <w:pPr>
        <w:spacing w:after="80" w:before="80"/>
      </w:pPr>
      <w:r>
        <w:t xml:space="preserve"/>
      </w:r>
    </w:p>
    <w:p>
      <w:pPr>
        <w:spacing w:after="100" w:before="100"/>
        <w:jc w:val="both"/>
      </w:pPr>
      <w:r>
        <w:rPr>
          <w:rFonts w:ascii="Arial" w:cs="Arial" w:eastAsia="Arial" w:hAnsi="Arial"/>
          <w:b/>
          <w:bCs/>
          <w:color w:val="2E75B6"/>
          <w:sz w:val="22"/>
          <w:szCs w:val="22"/>
        </w:rPr>
        <w:t xml:space="preserve">Filtres de rejet</w:t>
      </w:r>
    </w:p>
    <w:p>
      <w:pPr>
        <w:spacing w:after="100" w:before="100"/>
        <w:jc w:val="both"/>
      </w:pPr>
      <w:r>
        <w:rPr>
          <w:rFonts w:ascii="Arial" w:cs="Arial" w:eastAsia="Arial" w:hAnsi="Arial"/>
          <w:b w:val="false"/>
          <w:bCs w:val="false"/>
          <w:color w:val="333333"/>
          <w:sz w:val="22"/>
          <w:szCs w:val="22"/>
        </w:rPr>
        <w:t xml:space="preserve">Une sortie de rejet est configurée sur le tMap pour capturer toutes les lignes non conformes. Ces lignes sont redirigées vers un tLogRow de rejet, permettant un audit complet des données rejetées sans interrompre le traitement des données valides. Le filtre de rejet principal est basé sur la validité de la clé étrangère :</w:t>
      </w:r>
    </w:p>
    <w:p>
      <w:pPr>
        <w:spacing w:after="80" w:before="80"/>
      </w:pPr>
      <w:r>
        <w:t xml:space="preserve"/>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 Filtre de rejet — clé étrangère invalide</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row1.id_etudiant == null || row1.id_etudiant &lt;= 0</w:t>
      </w:r>
    </w:p>
    <w:p>
      <w:pPr>
        <w:spacing w:after="80" w:before="80"/>
      </w:pPr>
      <w:r>
        <w:t xml:space="preserve"/>
      </w:r>
    </w:p>
    <w:p>
      <w:pPr>
        <w:pStyle w:val="Heading3"/>
        <w:spacing w:after="120" w:before="240"/>
      </w:pPr>
      <w:r>
        <w:rPr>
          <w:rFonts w:ascii="Arial" w:cs="Arial" w:eastAsia="Arial" w:hAnsi="Arial"/>
          <w:b/>
          <w:bCs/>
          <w:color w:val="404040"/>
          <w:sz w:val="22"/>
          <w:szCs w:val="22"/>
        </w:rPr>
        <w:t xml:space="preserve">2.4.2 Gestion de l'ordre de chargement — Contraintes FK</w:t>
      </w:r>
    </w:p>
    <w:p>
      <w:pPr>
        <w:spacing w:after="100" w:before="100"/>
        <w:jc w:val="both"/>
      </w:pPr>
      <w:r>
        <w:rPr>
          <w:rFonts w:ascii="Arial" w:cs="Arial" w:eastAsia="Arial" w:hAnsi="Arial"/>
          <w:b w:val="false"/>
          <w:bCs w:val="false"/>
          <w:color w:val="333333"/>
          <w:sz w:val="22"/>
          <w:szCs w:val="22"/>
        </w:rPr>
        <w:t xml:space="preserve">L'un des points critiques du pipeline ETL est le respect strict de l'ordre de chargement imposé par les contraintes de clés étrangères. Le job maître Job_Master_ETL_V2 orchestre l'exécution des jobs dans cet ordre, en utilisant des connexions OnComponentOk pour n'enchaîner un job que si le précédent s'est terminé avec succès. Tout échec interrompt la chaîne et génère une alerte dans les logs Talend.</w:t>
      </w:r>
    </w:p>
    <w:p>
      <w:pPr>
        <w:pStyle w:val="Heading2"/>
        <w:spacing w:after="160" w:before="320"/>
      </w:pPr>
      <w:r>
        <w:rPr>
          <w:rFonts w:ascii="Arial" w:cs="Arial" w:eastAsia="Arial" w:hAnsi="Arial"/>
          <w:b/>
          <w:bCs/>
          <w:color w:val="2E75B6"/>
          <w:sz w:val="26"/>
          <w:szCs w:val="26"/>
        </w:rPr>
        <w:t xml:space="preserve">2.5 Chargement des Données</w:t>
      </w:r>
    </w:p>
    <w:p>
      <w:pPr>
        <w:pStyle w:val="Heading3"/>
        <w:spacing w:after="120" w:before="240"/>
      </w:pPr>
      <w:r>
        <w:rPr>
          <w:rFonts w:ascii="Arial" w:cs="Arial" w:eastAsia="Arial" w:hAnsi="Arial"/>
          <w:b/>
          <w:bCs/>
          <w:color w:val="404040"/>
          <w:sz w:val="22"/>
          <w:szCs w:val="22"/>
        </w:rPr>
        <w:t xml:space="preserve">2.5.1 Stratégie de chargement</w:t>
      </w:r>
    </w:p>
    <w:p>
      <w:pPr>
        <w:spacing w:after="100" w:before="100"/>
        <w:jc w:val="both"/>
      </w:pPr>
      <w:r>
        <w:rPr>
          <w:rFonts w:ascii="Arial" w:cs="Arial" w:eastAsia="Arial" w:hAnsi="Arial"/>
          <w:b w:val="false"/>
          <w:bCs w:val="false"/>
          <w:color w:val="333333"/>
          <w:sz w:val="22"/>
          <w:szCs w:val="22"/>
        </w:rPr>
        <w:t xml:space="preserve">Deux modes de chargement ont été utilisés selon le contexte :</w:t>
      </w:r>
    </w:p>
    <w:p>
      <w:pPr>
        <w:spacing w:after="8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Chargement initial (Insert) : utilisé lors du premier peuplement de l'entrepôt. Le composant tMysqlOutput est configuré avec Action on data = Insert. Ce mode est le plus rapide mais ne permet pas la reprise sur erreur sans vider préalablement les tables.</w:t>
      </w:r>
    </w:p>
    <w:p>
      <w:pPr>
        <w:pStyle w:val="ListParagraph"/>
        <w:numPr>
          <w:ilvl w:val="0"/>
          <w:numId w:val="2"/>
        </w:numPr>
        <w:spacing w:after="60" w:before="60"/>
      </w:pPr>
      <w:r>
        <w:rPr>
          <w:rFonts w:ascii="Arial" w:cs="Arial" w:eastAsia="Arial" w:hAnsi="Arial"/>
          <w:color w:val="333333"/>
          <w:sz w:val="22"/>
          <w:szCs w:val="22"/>
        </w:rPr>
        <w:t xml:space="preserve">Chargement incrémental (Insert or Update) : utilisé pour les rechargements suite à des modifications dans les données sources, notamment après l'enrichissement du modèle. La clé d'unicité est définie sur la clé primaire de chaque table (ex. id_etudiant pour dim_etudiant).</w:t>
      </w:r>
    </w:p>
    <w:p>
      <w:pPr>
        <w:spacing w:after="80" w:before="80"/>
      </w:pPr>
      <w:r>
        <w:t xml:space="preserve"/>
      </w:r>
    </w:p>
    <w:p>
      <w:pPr>
        <w:pStyle w:val="Heading3"/>
        <w:spacing w:after="120" w:before="240"/>
      </w:pPr>
      <w:r>
        <w:rPr>
          <w:rFonts w:ascii="Arial" w:cs="Arial" w:eastAsia="Arial" w:hAnsi="Arial"/>
          <w:b/>
          <w:bCs/>
          <w:color w:val="404040"/>
          <w:sz w:val="22"/>
          <w:szCs w:val="22"/>
        </w:rPr>
        <w:t xml:space="preserve">2.5.2 Validation post-chargement</w:t>
      </w:r>
    </w:p>
    <w:p>
      <w:pPr>
        <w:spacing w:after="100" w:before="100"/>
        <w:jc w:val="both"/>
      </w:pPr>
      <w:r>
        <w:rPr>
          <w:rFonts w:ascii="Arial" w:cs="Arial" w:eastAsia="Arial" w:hAnsi="Arial"/>
          <w:b w:val="false"/>
          <w:bCs w:val="false"/>
          <w:color w:val="333333"/>
          <w:sz w:val="22"/>
          <w:szCs w:val="22"/>
        </w:rPr>
        <w:t xml:space="preserve">Un script SQL de validation (02_validation_post_chargement.sql) est exécuté après chaque session de chargement complet. Il vérifie notamment le nombre de lignes insérées dans chaque table, l'absence de valeurs null dans les colonnes critiques, la cohérence des clés étrangères, et les distributions statistiques attendues (ex. : proportion de genres, répartition NSE). Cette validation garantit l'intégrité de l'entrepôt avant l'actualisation des rapports Power BI.</w:t>
      </w:r>
    </w:p>
    <w:p>
      <w:pPr>
        <w:spacing w:after="80" w:before="8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8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Vérification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Requête type</w:t>
            </w:r>
          </w:p>
        </w:tc>
        <w:tc>
          <w:tcPr>
            <w:tcW w:type="dxa" w:w="2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Résultat attendu</w:t>
            </w:r>
          </w:p>
        </w:tc>
      </w:tr>
      <w:tr>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Nombre de lignes fait_notes</w:t>
            </w:r>
          </w:p>
        </w:tc>
        <w:tc>
          <w:tcPr>
            <w:tcW w:type="dxa" w:w="3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SELECT COUNT(*) FROM fait_notes</w:t>
            </w:r>
          </w:p>
        </w:tc>
        <w:tc>
          <w:tcPr>
            <w:tcW w:type="dxa" w:w="28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7 262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Clés étrangères orphelines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LEFT JOIN sans correspondance</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0 ligne</w:t>
            </w:r>
          </w:p>
        </w:tc>
      </w:tr>
      <w:tr>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Notes hors plage</w:t>
            </w:r>
          </w:p>
        </w:tc>
        <w:tc>
          <w:tcPr>
            <w:tcW w:type="dxa" w:w="3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WHERE note &lt; 0 OR note &gt; 20</w:t>
            </w:r>
          </w:p>
        </w:tc>
        <w:tc>
          <w:tcPr>
            <w:tcW w:type="dxa" w:w="28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0 ligne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Étudiants sans santé</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LEFT JOIN dim_sante_etudiant IS NULL</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0 ligne</w:t>
            </w:r>
          </w:p>
        </w:tc>
      </w:tr>
      <w:tr>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Répartition genre</w:t>
            </w:r>
          </w:p>
        </w:tc>
        <w:tc>
          <w:tcPr>
            <w:tcW w:type="dxa" w:w="3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GROUP BY genre</w:t>
            </w:r>
          </w:p>
        </w:tc>
        <w:tc>
          <w:tcPr>
            <w:tcW w:type="dxa" w:w="28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~50% M, ~50% F</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Taux NSE Faible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WHERE niveau_socio_economique = 'Faible'</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~30%</w:t>
            </w:r>
          </w:p>
        </w:tc>
      </w:tr>
    </w:tbl>
    <w:p>
      <w:pPr>
        <w:pStyle w:val="Heading2"/>
        <w:spacing w:after="160" w:before="320"/>
      </w:pPr>
      <w:r>
        <w:rPr>
          <w:rFonts w:ascii="Arial" w:cs="Arial" w:eastAsia="Arial" w:hAnsi="Arial"/>
          <w:b/>
          <w:bCs/>
          <w:color w:val="2E75B6"/>
          <w:sz w:val="26"/>
          <w:szCs w:val="26"/>
        </w:rPr>
        <w:t xml:space="preserve">2.6 Architecture ETL — Vue d'Ensemble</w:t>
      </w:r>
    </w:p>
    <w:p>
      <w:pPr>
        <w:spacing w:after="100" w:before="100"/>
        <w:jc w:val="both"/>
      </w:pPr>
      <w:r>
        <w:rPr>
          <w:rFonts w:ascii="Arial" w:cs="Arial" w:eastAsia="Arial" w:hAnsi="Arial"/>
          <w:b w:val="false"/>
          <w:bCs w:val="false"/>
          <w:color w:val="333333"/>
          <w:sz w:val="22"/>
          <w:szCs w:val="22"/>
        </w:rPr>
        <w:t xml:space="preserve">Le diagramme conceptuel du pipeline ETL illustre le flux complet des données, des sources CSV jusqu'à l'entrepôt MySQL, en passant par les phases de transformation. La Staging Area est matérialisée par le moteur de transformation de Talend (exécuté en mémoire), sans stockage intermédiaire physique dans ce projet, ce qui optimise les temps d'exécution compte tenu du volume de données.</w:t>
      </w:r>
    </w:p>
    <w:p>
      <w:pPr>
        <w:spacing w:after="80" w:before="80"/>
      </w:pPr>
      <w:r>
        <w:t xml:space="preserve"/>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SOURCES (CSV)          ETL (Talend)              ENTREPÔT (MySQL)</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    ──────────────────────    ──────────────────────</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dim_filiere.csv  ──→  Job_01 │ Extract          dim_filiere</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dim_temps.csv    ──→         │ Transform   ──→  dim_temps</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dim_classe.csv   ──→         │ Load             dim_classe</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dim_matiere.csv  ──→         │                  dim_matiere</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dim_etudiant.csv ──→         │                  dim_etudiant</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                             │</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dim_sante.csv    ──→  Job_04 │ Extract          dim_sante_etudiant</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dim_parents.csv  ──→  Job_05 │ Transform   ──→  dim_parents_etudiant</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dim_integr.csv   ──→  Job_06 │ Load             dim_integration_sociale</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dim_diffic.csv   ──→  Job_07 │                  dim_difficultes_academiques</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dim_sit_eco.csv  ──→  Job_08 │                  dim_situation_economique</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                             │</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fait_notes.csv   ──→  Job_02 │ Extract          fait_notes (7 262 lignes)</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fait_abandons.csv──→  Job_03 │ Transform   ──→  fait_abandons (~45 lignes)</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                             │ Load</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                      Job_Master orchestrates all jobs in order</w:t>
      </w:r>
    </w:p>
    <w:p>
      <w:pPr>
        <w:spacing w:after="80" w:before="80"/>
      </w:pPr>
      <w:r>
        <w:t xml:space="preserve"/>
      </w:r>
    </w:p>
    <w:p>
      <w:r>
        <w:br w:type="page"/>
      </w:r>
    </w:p>
    <w:p>
      <w:pPr>
        <w:pStyle w:val="Heading1"/>
        <w:pBdr>
          <w:bottom w:val="single" w:color="1F4E79" w:sz="8" w:space="4"/>
        </w:pBdr>
        <w:spacing w:after="200" w:before="480"/>
      </w:pPr>
      <w:r>
        <w:rPr>
          <w:rFonts w:ascii="Arial" w:cs="Arial" w:eastAsia="Arial" w:hAnsi="Arial"/>
          <w:b/>
          <w:bCs/>
          <w:color w:val="1F4E79"/>
          <w:sz w:val="32"/>
          <w:szCs w:val="32"/>
        </w:rPr>
        <w:t xml:space="preserve">Chapitre 3 — Visualisation et Analyse avec Power BI</w:t>
      </w:r>
    </w:p>
    <w:p>
      <w:pPr>
        <w:pStyle w:val="Heading2"/>
        <w:spacing w:after="160" w:before="320"/>
      </w:pPr>
      <w:r>
        <w:rPr>
          <w:rFonts w:ascii="Arial" w:cs="Arial" w:eastAsia="Arial" w:hAnsi="Arial"/>
          <w:b/>
          <w:bCs/>
          <w:color w:val="2E75B6"/>
          <w:sz w:val="26"/>
          <w:szCs w:val="26"/>
        </w:rPr>
        <w:t xml:space="preserve">3.1 Introduction à la Solution de Restitution</w:t>
      </w:r>
    </w:p>
    <w:p>
      <w:pPr>
        <w:spacing w:after="100" w:before="100"/>
        <w:jc w:val="both"/>
      </w:pPr>
      <w:r>
        <w:rPr>
          <w:rFonts w:ascii="Arial" w:cs="Arial" w:eastAsia="Arial" w:hAnsi="Arial"/>
          <w:b w:val="false"/>
          <w:bCs w:val="false"/>
          <w:color w:val="333333"/>
          <w:sz w:val="22"/>
          <w:szCs w:val="22"/>
        </w:rPr>
        <w:t xml:space="preserve">La phase de restitution constitue la vitrine du système d'information décisionnel. Elle rend accessible et compréhensible l'ensemble des données traitées, en les présentant sous des formes visuelles adaptées aux besoins de chaque profil d'utilisateur : responsables pédagogiques, directeurs de filière, conseillers en orientation, ou encore cellules de veille académique.</w:t>
      </w:r>
    </w:p>
    <w:p>
      <w:pPr>
        <w:spacing w:after="80" w:before="80"/>
      </w:pPr>
      <w:r>
        <w:t xml:space="preserve"/>
      </w:r>
    </w:p>
    <w:p>
      <w:pPr>
        <w:spacing w:after="100" w:before="100"/>
        <w:jc w:val="both"/>
      </w:pPr>
      <w:r>
        <w:rPr>
          <w:rFonts w:ascii="Arial" w:cs="Arial" w:eastAsia="Arial" w:hAnsi="Arial"/>
          <w:b w:val="false"/>
          <w:bCs w:val="false"/>
          <w:color w:val="333333"/>
          <w:sz w:val="22"/>
          <w:szCs w:val="22"/>
        </w:rPr>
        <w:t xml:space="preserve">Power BI, développé par Microsoft, est l'outil de Business Intelligence retenu pour ce projet. Il répond aux caractéristiques FASMI (Fast Analysis of Shared Multidimensional Information) définies par la communauté OLAP : temps de réponse rapide grâce aux agrégations pré-calculées par son moteur VertiPaq, analyses multidimensionnelles interactives, accès partagé via Power BI Service, et interface intuitive ne nécessitant pas de compétences informatiques avancées de la part des utilisateurs finaux.</w:t>
      </w:r>
    </w:p>
    <w:p>
      <w:pPr>
        <w:spacing w:after="80" w:before="80"/>
      </w:pPr>
      <w:r>
        <w:t xml:space="preserve"/>
      </w:r>
    </w:p>
    <w:p>
      <w:pPr>
        <w:pBdr>
          <w:top w:val="single" w:color="2E75B6" w:sz="4"/>
          <w:bottom w:val="single" w:color="2E75B6" w:sz="4"/>
          <w:left w:val="thick" w:color="2E75B6" w:sz="8"/>
          <w:right w:val="single" w:color="CCCCCC" w:sz="1"/>
        </w:pBdr>
        <w:shd w:fill="EFF4FB" w:val="clear"/>
        <w:spacing w:after="160" w:before="160"/>
        <w:ind w:left="360" w:right="360"/>
        <w:jc w:val="both"/>
      </w:pPr>
      <w:r>
        <w:rPr>
          <w:rFonts w:ascii="Arial" w:cs="Arial" w:eastAsia="Arial" w:hAnsi="Arial"/>
          <w:color w:val="1F4E79"/>
          <w:sz w:val="21"/>
          <w:szCs w:val="21"/>
        </w:rPr>
        <w:t xml:space="preserve">Power BI Service permet la publication et le partage sécurisé des rapports dans le cloud Microsoft. Une fois publié, le tableau de bord est accessible depuis n'importe quel navigateur ou application mobile, avec des fonctionnalités de contrôle d'accès basé sur les rôles (Row-Level Security). C'est cette fonctionnalité qui a été utilisée pour déployer notre projet en production.</w:t>
      </w:r>
    </w:p>
    <w:p>
      <w:pPr>
        <w:pStyle w:val="Heading2"/>
        <w:spacing w:after="160" w:before="320"/>
      </w:pPr>
      <w:r>
        <w:rPr>
          <w:rFonts w:ascii="Arial" w:cs="Arial" w:eastAsia="Arial" w:hAnsi="Arial"/>
          <w:b/>
          <w:bCs/>
          <w:color w:val="2E75B6"/>
          <w:sz w:val="26"/>
          <w:szCs w:val="26"/>
        </w:rPr>
        <w:t xml:space="preserve">3.2 Connexion et Modélisation des Données dans Power BI</w:t>
      </w:r>
    </w:p>
    <w:p>
      <w:pPr>
        <w:pStyle w:val="Heading3"/>
        <w:spacing w:after="120" w:before="240"/>
      </w:pPr>
      <w:r>
        <w:rPr>
          <w:rFonts w:ascii="Arial" w:cs="Arial" w:eastAsia="Arial" w:hAnsi="Arial"/>
          <w:b/>
          <w:bCs/>
          <w:color w:val="404040"/>
          <w:sz w:val="22"/>
          <w:szCs w:val="22"/>
        </w:rPr>
        <w:t xml:space="preserve">3.2.1 Importation des données depuis MySQL</w:t>
      </w:r>
    </w:p>
    <w:p>
      <w:pPr>
        <w:spacing w:after="100" w:before="100"/>
        <w:jc w:val="both"/>
      </w:pPr>
      <w:r>
        <w:rPr>
          <w:rFonts w:ascii="Arial" w:cs="Arial" w:eastAsia="Arial" w:hAnsi="Arial"/>
          <w:b w:val="false"/>
          <w:bCs w:val="false"/>
          <w:color w:val="333333"/>
          <w:sz w:val="22"/>
          <w:szCs w:val="22"/>
        </w:rPr>
        <w:t xml:space="preserve">Power BI Desktop se connecte directement à l'entrepôt MySQL via le connecteur natif MySQL Database. Toutes les tables du schéma dwh_education sont importées en mode Import (les données sont chargées en mémoire dans le moteur VertiPaq), ce qui garantit des performances optimales pour les analyses interactives. En mode Import, Power BI maintient une copie locale des données et le rafraîchissement est planifiable dans Power BI Service.</w:t>
      </w:r>
    </w:p>
    <w:p>
      <w:pPr>
        <w:spacing w:after="80" w:before="80"/>
      </w:pPr>
      <w:r>
        <w:t xml:space="preserve"/>
      </w:r>
    </w:p>
    <w:p>
      <w:pPr>
        <w:pStyle w:val="Heading3"/>
        <w:spacing w:after="120" w:before="240"/>
      </w:pPr>
      <w:r>
        <w:rPr>
          <w:rFonts w:ascii="Arial" w:cs="Arial" w:eastAsia="Arial" w:hAnsi="Arial"/>
          <w:b/>
          <w:bCs/>
          <w:color w:val="404040"/>
          <w:sz w:val="22"/>
          <w:szCs w:val="22"/>
        </w:rPr>
        <w:t xml:space="preserve">3.2.2 Définition des relations dans le modèle Power BI</w:t>
      </w:r>
    </w:p>
    <w:p>
      <w:pPr>
        <w:spacing w:after="100" w:before="100"/>
        <w:jc w:val="both"/>
      </w:pPr>
      <w:r>
        <w:rPr>
          <w:rFonts w:ascii="Arial" w:cs="Arial" w:eastAsia="Arial" w:hAnsi="Arial"/>
          <w:b w:val="false"/>
          <w:bCs w:val="false"/>
          <w:color w:val="333333"/>
          <w:sz w:val="22"/>
          <w:szCs w:val="22"/>
        </w:rPr>
        <w:t xml:space="preserve">Après importation, le modèle relationnel est défini dans la vue Modèle de Power BI Desktop. Les relations entre tables reflètent fidèlement le schéma en étoile conçu dans MySQL. Les relations sont de type 1 vers plusieurs (one-to-many), avec dim_etudiant, dim_matiere, dim_classe et dim_temps comme tables d'un côté, et fait_notes comme table côté plusieurs.</w:t>
      </w:r>
    </w:p>
    <w:p>
      <w:pPr>
        <w:spacing w:after="80" w:before="80"/>
      </w:pPr>
      <w:r>
        <w:t xml:space="preserve"/>
      </w:r>
    </w:p>
    <w:p>
      <w:pPr>
        <w:spacing w:after="100" w:before="100"/>
        <w:jc w:val="both"/>
      </w:pPr>
      <w:r>
        <w:rPr>
          <w:rFonts w:ascii="Arial" w:cs="Arial" w:eastAsia="Arial" w:hAnsi="Arial"/>
          <w:b w:val="false"/>
          <w:bCs w:val="false"/>
          <w:color w:val="333333"/>
          <w:sz w:val="22"/>
          <w:szCs w:val="22"/>
        </w:rPr>
        <w:t xml:space="preserve">Un point d'attention particulier a été porté sur les relations entre les dimensions enrichies et la dimension principale dim_etudiant. Ces relations (1:1 par id_etudiant) permettent d'étendre les axes d'analyse des notes individuelles aux facteurs contextuels (santé, situation socio-économique, intégration sociale) sans nécessiter de jointures supplémentaires dans les formules DAX.</w:t>
      </w:r>
    </w:p>
    <w:p>
      <w:pPr>
        <w:spacing w:after="80" w:before="80"/>
      </w:pPr>
      <w:r>
        <w:t xml:space="preserve"/>
      </w:r>
    </w:p>
    <w:p>
      <w:pPr>
        <w:pStyle w:val="Heading3"/>
        <w:spacing w:after="120" w:before="240"/>
      </w:pPr>
      <w:r>
        <w:rPr>
          <w:rFonts w:ascii="Arial" w:cs="Arial" w:eastAsia="Arial" w:hAnsi="Arial"/>
          <w:b/>
          <w:bCs/>
          <w:color w:val="404040"/>
          <w:sz w:val="22"/>
          <w:szCs w:val="22"/>
        </w:rPr>
        <w:t xml:space="preserve">3.2.3 Mesures DAX — Indicateurs Clés de Performance</w:t>
      </w:r>
    </w:p>
    <w:p>
      <w:pPr>
        <w:spacing w:after="100" w:before="100"/>
        <w:jc w:val="both"/>
      </w:pPr>
      <w:r>
        <w:rPr>
          <w:rFonts w:ascii="Arial" w:cs="Arial" w:eastAsia="Arial" w:hAnsi="Arial"/>
          <w:b w:val="false"/>
          <w:bCs w:val="false"/>
          <w:color w:val="333333"/>
          <w:sz w:val="22"/>
          <w:szCs w:val="22"/>
        </w:rPr>
        <w:t xml:space="preserve">Les mesures DAX (Data Analysis Expressions) constituent le langage de calcul natif de Power BI. Elles permettent de définir les KPIs (Key Performance Indicators) à afficher dans les visualisations. Les principales mesures créées pour ce projet sont :</w:t>
      </w:r>
    </w:p>
    <w:p>
      <w:pPr>
        <w:spacing w:after="80" w:before="80"/>
      </w:pPr>
      <w:r>
        <w:t xml:space="preserve"/>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 Taux de réussite global</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Taux Réussite (%) = </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    DIVIDE(</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        COUNTROWS(FILTER(fait_notes, fait_notes[note] &gt;= 10)),</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        COUNTROWS(fait_notes)</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    ) * 100</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 </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 Score moyen pondéré par coefficient</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Moyenne Pondérée = </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    DIVIDE(</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        SUMX(fait_notes, fait_notes[note] * RELATED(dim_matiere[coefficient])),</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        SUMX(fait_notes, RELATED(dim_matiere[coefficient]))</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    )</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 </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 Taux d'abandon par filière</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Taux Abandon (%) = </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    DIVIDE(</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        COUNTROWS(fait_abandons),</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        SUM(dim_classe[effectif_inscrit])</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    ) * 100</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 </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 Nombre d'étudiants à risque (note moyenne &lt; 10)</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Étudiants à Risque = </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    CALCULATE(</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        DISTINCTCOUNT(fait_notes[id_etudiant]),</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        AVERAGEX(</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            VALUES(fait_notes[id_etudiant]),</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            CALCULATE(AVERAGE(fait_notes[note]))</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        ) &lt; 10</w:t>
      </w:r>
    </w:p>
    <w:p>
      <w:pPr>
        <w:pBdr>
          <w:top w:val="single" w:color="CCCCCC" w:sz="1"/>
          <w:bottom w:val="single" w:color="CCCCCC" w:sz="1"/>
          <w:left w:val="thick" w:color="555555" w:sz="8"/>
          <w:right w:val="single" w:color="CCCCCC" w:sz="1"/>
        </w:pBdr>
        <w:shd w:fill="F0F0F0" w:val="clear"/>
        <w:spacing w:after="20" w:before="20"/>
        <w:ind w:left="360"/>
      </w:pPr>
      <w:r>
        <w:rPr>
          <w:rFonts w:ascii="Courier New" w:cs="Courier New" w:eastAsia="Courier New" w:hAnsi="Courier New"/>
          <w:color w:val="2C2C2C"/>
          <w:sz w:val="18"/>
          <w:szCs w:val="18"/>
        </w:rPr>
        <w:t xml:space="preserve">    )</w:t>
      </w:r>
    </w:p>
    <w:p>
      <w:pPr>
        <w:spacing w:after="80" w:before="80"/>
      </w:pPr>
      <w:r>
        <w:t xml:space="preserve"/>
      </w:r>
    </w:p>
    <w:p>
      <w:pPr>
        <w:pStyle w:val="Heading2"/>
        <w:spacing w:after="160" w:before="320"/>
      </w:pPr>
      <w:r>
        <w:rPr>
          <w:rFonts w:ascii="Arial" w:cs="Arial" w:eastAsia="Arial" w:hAnsi="Arial"/>
          <w:b/>
          <w:bCs/>
          <w:color w:val="2E75B6"/>
          <w:sz w:val="26"/>
          <w:szCs w:val="26"/>
        </w:rPr>
        <w:t xml:space="preserve">3.3 Structure du Tableau de Bord — 7 Pages</w:t>
      </w:r>
    </w:p>
    <w:p>
      <w:pPr>
        <w:spacing w:after="100" w:before="100"/>
        <w:jc w:val="both"/>
      </w:pPr>
      <w:r>
        <w:rPr>
          <w:rFonts w:ascii="Arial" w:cs="Arial" w:eastAsia="Arial" w:hAnsi="Arial"/>
          <w:b w:val="false"/>
          <w:bCs w:val="false"/>
          <w:color w:val="333333"/>
          <w:sz w:val="22"/>
          <w:szCs w:val="22"/>
        </w:rPr>
        <w:t xml:space="preserve">Le tableau de bord final est structuré en sept pages thématiques, chacune répondant à un groupe de questions décisionnelles spécifiques. Cette organisation favorise une navigation logique, du général vers le particulier, en suivant le parcours naturel d'un analyste pédagogique.</w:t>
      </w:r>
    </w:p>
    <w:p>
      <w:pPr>
        <w:spacing w:after="80" w:before="8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400"/>
        <w:gridCol w:w="3226"/>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Page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Titre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Objectif analytique</w:t>
            </w:r>
          </w:p>
        </w:tc>
        <w:tc>
          <w:tcPr>
            <w:tcW w:type="dxa" w:w="3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Visualisations clés</w:t>
            </w:r>
          </w:p>
        </w:tc>
      </w:tr>
      <w:tr>
        <w:tc>
          <w:tcPr>
            <w:tcW w:type="dxa" w:w="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1</w:t>
            </w:r>
          </w:p>
        </w:tc>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Vue Globale</w:t>
            </w:r>
          </w:p>
        </w:tc>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Panorama des KPIs principaux</w:t>
            </w:r>
          </w:p>
        </w:tc>
        <w:tc>
          <w:tcPr>
            <w:tcW w:type="dxa" w:w="32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Cartes KPI, jauges, graphiques tendance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Performance par Filière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Comparaison inter-filières</w:t>
            </w:r>
          </w:p>
        </w:tc>
        <w:tc>
          <w:tcPr>
            <w:tcW w:type="dxa" w:w="3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Barres groupées, matrices, cartes thermiques</w:t>
            </w:r>
          </w:p>
        </w:tc>
      </w:tr>
      <w:tr>
        <w:tc>
          <w:tcPr>
            <w:tcW w:type="dxa" w:w="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3</w:t>
            </w:r>
          </w:p>
        </w:tc>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Analyse des Matières</w:t>
            </w:r>
          </w:p>
        </w:tc>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Identification des matières difficiles</w:t>
            </w:r>
          </w:p>
        </w:tc>
        <w:tc>
          <w:tcPr>
            <w:tcW w:type="dxa" w:w="32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Classement, dispersion, histogrammes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Taux d'Abandon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Analyse des abandons et motifs</w:t>
            </w:r>
          </w:p>
        </w:tc>
        <w:tc>
          <w:tcPr>
            <w:tcW w:type="dxa" w:w="3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Entonnoirs, camemberts, tendances temporelles</w:t>
            </w:r>
          </w:p>
        </w:tc>
      </w:tr>
      <w:tr>
        <w:tc>
          <w:tcPr>
            <w:tcW w:type="dxa" w:w="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5</w:t>
            </w:r>
          </w:p>
        </w:tc>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Profil Étudiant</w:t>
            </w:r>
          </w:p>
        </w:tc>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Drill-down individuel</w:t>
            </w:r>
          </w:p>
        </w:tc>
        <w:tc>
          <w:tcPr>
            <w:tcW w:type="dxa" w:w="32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Tableaux détaillés, courbes de progression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Facteurs Socio-Économiques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Corrélations NSE / Performance</w:t>
            </w:r>
          </w:p>
        </w:tc>
        <w:tc>
          <w:tcPr>
            <w:tcW w:type="dxa" w:w="3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Nuages de points, boîtes à moustaches</w:t>
            </w:r>
          </w:p>
        </w:tc>
      </w:tr>
      <w:tr>
        <w:tc>
          <w:tcPr>
            <w:tcW w:type="dxa" w:w="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7</w:t>
            </w:r>
          </w:p>
        </w:tc>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Alertes &amp; Étudiants à Risque</w:t>
            </w:r>
          </w:p>
        </w:tc>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Tableau de bord de veille</w:t>
            </w:r>
          </w:p>
        </w:tc>
        <w:tc>
          <w:tcPr>
            <w:tcW w:type="dxa" w:w="32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Listes priorisées, indicateurs de risque</w:t>
            </w:r>
          </w:p>
        </w:tc>
      </w:tr>
    </w:tbl>
    <w:p>
      <w:pPr>
        <w:spacing w:after="80" w:before="80"/>
      </w:pPr>
      <w:r>
        <w:t xml:space="preserve"/>
      </w:r>
    </w:p>
    <w:p>
      <w:pPr>
        <w:pStyle w:val="Heading3"/>
        <w:spacing w:after="120" w:before="240"/>
      </w:pPr>
      <w:r>
        <w:rPr>
          <w:rFonts w:ascii="Arial" w:cs="Arial" w:eastAsia="Arial" w:hAnsi="Arial"/>
          <w:b/>
          <w:bCs/>
          <w:color w:val="404040"/>
          <w:sz w:val="22"/>
          <w:szCs w:val="22"/>
        </w:rPr>
        <w:t xml:space="preserve">3.3.1 Page 1 — Vue Globale</w:t>
      </w:r>
    </w:p>
    <w:p>
      <w:pPr>
        <w:spacing w:after="100" w:before="100"/>
        <w:jc w:val="both"/>
      </w:pPr>
      <w:r>
        <w:rPr>
          <w:rFonts w:ascii="Arial" w:cs="Arial" w:eastAsia="Arial" w:hAnsi="Arial"/>
          <w:b w:val="false"/>
          <w:bCs w:val="false"/>
          <w:color w:val="333333"/>
          <w:sz w:val="22"/>
          <w:szCs w:val="22"/>
        </w:rPr>
        <w:t xml:space="preserve">La page d'accueil présente les indicateurs clés sous forme de cartes KPI permettant une lecture immédiate de l'état de l'établissement : taux de réussite global, score moyen général, nombre d'étudiants suivis, taux d'abandon annuel. Des graphiques de tendance permettent de visualiser l'évolution de ces indicateurs sur les quatre années scolaires couvertes. Des filtres globaux (année scolaire, filière, niveau) en haut de page s'appliquent à toutes les visualisations, conformément au principe de navigation OLAP par slice and dice.</w:t>
      </w:r>
    </w:p>
    <w:p>
      <w:pPr>
        <w:spacing w:after="80" w:before="80"/>
      </w:pPr>
      <w:r>
        <w:t xml:space="preserve"/>
      </w:r>
    </w:p>
    <w:p>
      <w:pPr>
        <w:pStyle w:val="Heading3"/>
        <w:spacing w:after="120" w:before="240"/>
      </w:pPr>
      <w:r>
        <w:rPr>
          <w:rFonts w:ascii="Arial" w:cs="Arial" w:eastAsia="Arial" w:hAnsi="Arial"/>
          <w:b/>
          <w:bCs/>
          <w:color w:val="404040"/>
          <w:sz w:val="22"/>
          <w:szCs w:val="22"/>
        </w:rPr>
        <w:t xml:space="preserve">3.3.2 Page 2 — Performance par Filière</w:t>
      </w:r>
    </w:p>
    <w:p>
      <w:pPr>
        <w:spacing w:after="100" w:before="100"/>
        <w:jc w:val="both"/>
      </w:pPr>
      <w:r>
        <w:rPr>
          <w:rFonts w:ascii="Arial" w:cs="Arial" w:eastAsia="Arial" w:hAnsi="Arial"/>
          <w:b w:val="false"/>
          <w:bCs w:val="false"/>
          <w:color w:val="333333"/>
          <w:sz w:val="22"/>
          <w:szCs w:val="22"/>
        </w:rPr>
        <w:t xml:space="preserve">Cette page permet la comparaison inter-filières selon plusieurs axes : taux de réussite, moyenne générale, effectif, taux de validation des matières. Une matrice croisée (filière × niveau d'année × indicateur) offre une vue d'ensemble compacte, facilitant l'identification des combinaisons filière/niveau les plus en difficulté. La mise en forme conditionnelle (gradient de couleur) permet un repérage visuel immédiat des zones de sous-performance.</w:t>
      </w:r>
    </w:p>
    <w:p>
      <w:pPr>
        <w:spacing w:after="80" w:before="80"/>
      </w:pPr>
      <w:r>
        <w:t xml:space="preserve"/>
      </w:r>
    </w:p>
    <w:p>
      <w:pPr>
        <w:pStyle w:val="Heading3"/>
        <w:spacing w:after="120" w:before="240"/>
      </w:pPr>
      <w:r>
        <w:rPr>
          <w:rFonts w:ascii="Arial" w:cs="Arial" w:eastAsia="Arial" w:hAnsi="Arial"/>
          <w:b/>
          <w:bCs/>
          <w:color w:val="404040"/>
          <w:sz w:val="22"/>
          <w:szCs w:val="22"/>
        </w:rPr>
        <w:t xml:space="preserve">3.3.3 Page 3 — Analyse des Matières</w:t>
      </w:r>
    </w:p>
    <w:p>
      <w:pPr>
        <w:spacing w:after="100" w:before="100"/>
        <w:jc w:val="both"/>
      </w:pPr>
      <w:r>
        <w:rPr>
          <w:rFonts w:ascii="Arial" w:cs="Arial" w:eastAsia="Arial" w:hAnsi="Arial"/>
          <w:b w:val="false"/>
          <w:bCs w:val="false"/>
          <w:color w:val="333333"/>
          <w:sz w:val="22"/>
          <w:szCs w:val="22"/>
        </w:rPr>
        <w:t xml:space="preserve">La page matières permet d'identifier les cours concentrant le plus grand nombre d'échecs, les matières à fort taux de rattrapage, et celles présentant une forte dispersion des notes (signe d'une hétérogénéité importante au sein du groupe). Un graphique en nuage de points permet de positionner chaque matière selon deux axes : taux de réussite et coefficient — les matières à faible taux de réussite ET fort coefficient apparaissant comme les plus problématiques.</w:t>
      </w:r>
    </w:p>
    <w:p>
      <w:pPr>
        <w:spacing w:after="80" w:before="80"/>
      </w:pPr>
      <w:r>
        <w:t xml:space="preserve"/>
      </w:r>
    </w:p>
    <w:p>
      <w:pPr>
        <w:pStyle w:val="Heading3"/>
        <w:spacing w:after="120" w:before="240"/>
      </w:pPr>
      <w:r>
        <w:rPr>
          <w:rFonts w:ascii="Arial" w:cs="Arial" w:eastAsia="Arial" w:hAnsi="Arial"/>
          <w:b/>
          <w:bCs/>
          <w:color w:val="404040"/>
          <w:sz w:val="22"/>
          <w:szCs w:val="22"/>
        </w:rPr>
        <w:t xml:space="preserve">3.3.4 Page 4 — Taux d'Abandon</w:t>
      </w:r>
    </w:p>
    <w:p>
      <w:pPr>
        <w:spacing w:after="100" w:before="100"/>
        <w:jc w:val="both"/>
      </w:pPr>
      <w:r>
        <w:rPr>
          <w:rFonts w:ascii="Arial" w:cs="Arial" w:eastAsia="Arial" w:hAnsi="Arial"/>
          <w:b w:val="false"/>
          <w:bCs w:val="false"/>
          <w:color w:val="333333"/>
          <w:sz w:val="22"/>
          <w:szCs w:val="22"/>
        </w:rPr>
        <w:t xml:space="preserve">Dédiée à l'analyse des 45 cas d'abandon documentés, cette page présente la distribution des abandons par filière, par année scolaire, par semestre et par motif déclaré (difficultés financières, académiques, personnelles). Un entonnoir de rétention visualise la progression d'une cohorte d'étudiants de L1 en M2, mettant en évidence les niveaux d'année où le décrochage est le plus fréquent.</w:t>
      </w:r>
    </w:p>
    <w:p>
      <w:pPr>
        <w:spacing w:after="80" w:before="80"/>
      </w:pPr>
      <w:r>
        <w:t xml:space="preserve"/>
      </w:r>
    </w:p>
    <w:p>
      <w:pPr>
        <w:pStyle w:val="Heading3"/>
        <w:spacing w:after="120" w:before="240"/>
      </w:pPr>
      <w:r>
        <w:rPr>
          <w:rFonts w:ascii="Arial" w:cs="Arial" w:eastAsia="Arial" w:hAnsi="Arial"/>
          <w:b/>
          <w:bCs/>
          <w:color w:val="404040"/>
          <w:sz w:val="22"/>
          <w:szCs w:val="22"/>
        </w:rPr>
        <w:t xml:space="preserve">3.3.5 Page 5 — Profil Étudiant</w:t>
      </w:r>
    </w:p>
    <w:p>
      <w:pPr>
        <w:spacing w:after="100" w:before="100"/>
        <w:jc w:val="both"/>
      </w:pPr>
      <w:r>
        <w:rPr>
          <w:rFonts w:ascii="Arial" w:cs="Arial" w:eastAsia="Arial" w:hAnsi="Arial"/>
          <w:b w:val="false"/>
          <w:bCs w:val="false"/>
          <w:color w:val="333333"/>
          <w:sz w:val="22"/>
          <w:szCs w:val="22"/>
        </w:rPr>
        <w:t xml:space="preserve">La page de drill-down individuel permet, après sélection d'un étudiant via un segment (slicer), de visualiser l'intégralité de sa trajectoire académique : évolution de sa moyenne sur plusieurs années, détail note par note, absences cumulées, récapitulatif des matières validées et non validées. Cette fonctionnalité est particulièrement utile pour les conseillers pédagogiques lors des entretiens de suivi.</w:t>
      </w:r>
    </w:p>
    <w:p>
      <w:pPr>
        <w:spacing w:after="80" w:before="80"/>
      </w:pPr>
      <w:r>
        <w:t xml:space="preserve"/>
      </w:r>
    </w:p>
    <w:p>
      <w:pPr>
        <w:pStyle w:val="Heading3"/>
        <w:spacing w:after="120" w:before="240"/>
      </w:pPr>
      <w:r>
        <w:rPr>
          <w:rFonts w:ascii="Arial" w:cs="Arial" w:eastAsia="Arial" w:hAnsi="Arial"/>
          <w:b/>
          <w:bCs/>
          <w:color w:val="404040"/>
          <w:sz w:val="22"/>
          <w:szCs w:val="22"/>
        </w:rPr>
        <w:t xml:space="preserve">3.3.6 Page 6 — Facteurs Socio-Économiques</w:t>
      </w:r>
    </w:p>
    <w:p>
      <w:pPr>
        <w:spacing w:after="100" w:before="100"/>
        <w:jc w:val="both"/>
      </w:pPr>
      <w:r>
        <w:rPr>
          <w:rFonts w:ascii="Arial" w:cs="Arial" w:eastAsia="Arial" w:hAnsi="Arial"/>
          <w:b w:val="false"/>
          <w:bCs w:val="false"/>
          <w:color w:val="333333"/>
          <w:sz w:val="22"/>
          <w:szCs w:val="22"/>
        </w:rPr>
        <w:t xml:space="preserve">Cette page exploite les dimensions enrichies pour révéler les corrélations entre les facteurs contextuels et les performances académiques. Des graphiques de dispersion mettent en évidence la relation entre le niveau socio-économique familial et le taux de réussite, l'impact d'un emploi rémunéré sur les notes, ou encore la corrélation entre l'isolement social et le risque d'abandon. Ces analyses s'appuient sur les hypothèses validées par la thèse SUEBANG (2022), dont plusieurs sont confirmées visuellement dans le tableau de bord.</w:t>
      </w:r>
    </w:p>
    <w:p>
      <w:pPr>
        <w:spacing w:after="80" w:before="80"/>
      </w:pPr>
      <w:r>
        <w:t xml:space="preserve"/>
      </w:r>
    </w:p>
    <w:p>
      <w:pPr>
        <w:pStyle w:val="Heading3"/>
        <w:spacing w:after="120" w:before="240"/>
      </w:pPr>
      <w:r>
        <w:rPr>
          <w:rFonts w:ascii="Arial" w:cs="Arial" w:eastAsia="Arial" w:hAnsi="Arial"/>
          <w:b/>
          <w:bCs/>
          <w:color w:val="404040"/>
          <w:sz w:val="22"/>
          <w:szCs w:val="22"/>
        </w:rPr>
        <w:t xml:space="preserve">3.3.7 Page 7 — Alertes et Étudiants à Risque</w:t>
      </w:r>
    </w:p>
    <w:p>
      <w:pPr>
        <w:spacing w:after="100" w:before="100"/>
        <w:jc w:val="both"/>
      </w:pPr>
      <w:r>
        <w:rPr>
          <w:rFonts w:ascii="Arial" w:cs="Arial" w:eastAsia="Arial" w:hAnsi="Arial"/>
          <w:b w:val="false"/>
          <w:bCs w:val="false"/>
          <w:color w:val="333333"/>
          <w:sz w:val="22"/>
          <w:szCs w:val="22"/>
        </w:rPr>
        <w:t xml:space="preserve">La page d'alertes constitue l'interface de veille académique proactive. Elle présente une liste priorisée des étudiants présentant le plus grand risque de décrochage, calculé sur la base d'un score composite tenant compte de la moyenne générale, du taux d'absences, du niveau socio-économique et des indicateurs de santé et d'intégration sociale. Des indicateurs visuels (rouge/orange/vert) permettent une identification immédiate des cas nécessitant une intervention.</w:t>
      </w:r>
    </w:p>
    <w:p>
      <w:pPr>
        <w:spacing w:after="80" w:before="80"/>
      </w:pPr>
      <w:r>
        <w:t xml:space="preserve"/>
      </w:r>
    </w:p>
    <w:p>
      <w:pPr>
        <w:pStyle w:val="Heading2"/>
        <w:spacing w:after="160" w:before="320"/>
      </w:pPr>
      <w:r>
        <w:rPr>
          <w:rFonts w:ascii="Arial" w:cs="Arial" w:eastAsia="Arial" w:hAnsi="Arial"/>
          <w:b/>
          <w:bCs/>
          <w:color w:val="2E75B6"/>
          <w:sz w:val="26"/>
          <w:szCs w:val="26"/>
        </w:rPr>
        <w:t xml:space="preserve">3.4 Opérations OLAP dans Power BI</w:t>
      </w:r>
    </w:p>
    <w:p>
      <w:pPr>
        <w:spacing w:after="100" w:before="100"/>
        <w:jc w:val="both"/>
      </w:pPr>
      <w:r>
        <w:rPr>
          <w:rFonts w:ascii="Arial" w:cs="Arial" w:eastAsia="Arial" w:hAnsi="Arial"/>
          <w:b w:val="false"/>
          <w:bCs w:val="false"/>
          <w:color w:val="333333"/>
          <w:sz w:val="22"/>
          <w:szCs w:val="22"/>
        </w:rPr>
        <w:t xml:space="preserve">Power BI implémente nativement les principales opérations OLAP décrites dans la littérature décisionnelle. Notre tableau de bord exploite ces opérations de manière extensive :</w:t>
      </w:r>
    </w:p>
    <w:p>
      <w:pPr>
        <w:spacing w:after="80" w:before="8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34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Opération OLAP</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Implémentation dans Power BI</w:t>
            </w:r>
          </w:p>
        </w:tc>
        <w:tc>
          <w:tcPr>
            <w:tcW w:type="dxa" w:w="3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Exemple dans le projet</w:t>
            </w:r>
          </w:p>
        </w:tc>
      </w:tr>
      <w:tr>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Slice (Projection)</w:t>
            </w:r>
          </w:p>
        </w:tc>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Filtres de page / Segments (Slicers)</w:t>
            </w:r>
          </w:p>
        </w:tc>
        <w:tc>
          <w:tcPr>
            <w:tcW w:type="dxa" w:w="34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Filtrer sur une année scolaire ou une filière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Dice (Sélection)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Filtres croisés entre visuels</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Sélectionner une filière + un niveau d'étude</w:t>
            </w:r>
          </w:p>
        </w:tc>
      </w:tr>
      <w:tr>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Drill-down</w:t>
            </w:r>
          </w:p>
        </w:tc>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Hiérarchies dans les axes</w:t>
            </w:r>
          </w:p>
        </w:tc>
        <w:tc>
          <w:tcPr>
            <w:tcW w:type="dxa" w:w="34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Filière → Classe → Étudiant individuel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Roll-up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Agrégations par niveau hiérarchique</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Année scolaire → Semestre → Trimestre</w:t>
            </w:r>
          </w:p>
        </w:tc>
      </w:tr>
      <w:tr>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Rotate (Pivot)</w:t>
            </w:r>
          </w:p>
        </w:tc>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Interversion lignes/colonnes dans matrices</w:t>
            </w:r>
          </w:p>
        </w:tc>
        <w:tc>
          <w:tcPr>
            <w:tcW w:type="dxa" w:w="34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Passer de filière en lignes à filière en colonnes</w:t>
            </w:r>
          </w:p>
        </w:tc>
      </w:tr>
    </w:tbl>
    <w:p>
      <w:pPr>
        <w:spacing w:after="80" w:before="80"/>
      </w:pPr>
      <w:r>
        <w:t xml:space="preserve"/>
      </w:r>
    </w:p>
    <w:p>
      <w:pPr>
        <w:pStyle w:val="Heading2"/>
        <w:spacing w:after="160" w:before="320"/>
      </w:pPr>
      <w:r>
        <w:rPr>
          <w:rFonts w:ascii="Arial" w:cs="Arial" w:eastAsia="Arial" w:hAnsi="Arial"/>
          <w:b/>
          <w:bCs/>
          <w:color w:val="2E75B6"/>
          <w:sz w:val="26"/>
          <w:szCs w:val="26"/>
        </w:rPr>
        <w:t xml:space="preserve">3.5 Publication sur Power BI Service</w:t>
      </w:r>
    </w:p>
    <w:p>
      <w:pPr>
        <w:spacing w:after="100" w:before="100"/>
        <w:jc w:val="both"/>
      </w:pPr>
      <w:r>
        <w:rPr>
          <w:rFonts w:ascii="Arial" w:cs="Arial" w:eastAsia="Arial" w:hAnsi="Arial"/>
          <w:b w:val="false"/>
          <w:bCs w:val="false"/>
          <w:color w:val="333333"/>
          <w:sz w:val="22"/>
          <w:szCs w:val="22"/>
        </w:rPr>
        <w:t xml:space="preserve">Le tableau de bord finalisé a été publié sur Power BI Service via la commande Publier de Power BI Desktop. Cette publication déploie le rapport dans un espace de travail dédié sur le cloud Microsoft, le rendant accessible à tous les utilisateurs autorisés depuis un navigateur web ou l'application mobile Power BI.</w:t>
      </w:r>
    </w:p>
    <w:p>
      <w:pPr>
        <w:spacing w:after="80" w:before="80"/>
      </w:pPr>
      <w:r>
        <w:t xml:space="preserve"/>
      </w:r>
    </w:p>
    <w:p>
      <w:pPr>
        <w:spacing w:after="100" w:before="100"/>
        <w:jc w:val="both"/>
      </w:pPr>
      <w:r>
        <w:rPr>
          <w:rFonts w:ascii="Arial" w:cs="Arial" w:eastAsia="Arial" w:hAnsi="Arial"/>
          <w:b w:val="false"/>
          <w:bCs w:val="false"/>
          <w:color w:val="333333"/>
          <w:sz w:val="22"/>
          <w:szCs w:val="22"/>
        </w:rPr>
        <w:t xml:space="preserve">Les fonctionnalités activées dans Power BI Service comprennent :</w:t>
      </w:r>
    </w:p>
    <w:p>
      <w:pPr>
        <w:spacing w:after="8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Actualisation planifiée : les données sont rafraîchies depuis la base MySQL selon une fréquence paramétrable (quotidienne, hebdomadaire ou mensuelle), garantissant que les tableaux de bord reflètent en permanence les données les plus récentes de l'entrepôt.</w:t>
      </w:r>
    </w:p>
    <w:p>
      <w:pPr>
        <w:pStyle w:val="ListParagraph"/>
        <w:numPr>
          <w:ilvl w:val="0"/>
          <w:numId w:val="2"/>
        </w:numPr>
        <w:spacing w:after="60" w:before="60"/>
      </w:pPr>
      <w:r>
        <w:rPr>
          <w:rFonts w:ascii="Arial" w:cs="Arial" w:eastAsia="Arial" w:hAnsi="Arial"/>
          <w:color w:val="333333"/>
          <w:sz w:val="22"/>
          <w:szCs w:val="22"/>
        </w:rPr>
        <w:t xml:space="preserve">Partage sécurisé : le rapport est partagé avec les parties prenantes via des liens sécurisés ou l'intégration dans des applications Microsoft Teams. Les droits d'accès sont gérés par rôles (visualisation seule vs. modification).</w:t>
      </w:r>
    </w:p>
    <w:p>
      <w:pPr>
        <w:pStyle w:val="ListParagraph"/>
        <w:numPr>
          <w:ilvl w:val="0"/>
          <w:numId w:val="2"/>
        </w:numPr>
        <w:spacing w:after="60" w:before="60"/>
      </w:pPr>
      <w:r>
        <w:rPr>
          <w:rFonts w:ascii="Arial" w:cs="Arial" w:eastAsia="Arial" w:hAnsi="Arial"/>
          <w:color w:val="333333"/>
          <w:sz w:val="22"/>
          <w:szCs w:val="22"/>
        </w:rPr>
        <w:t xml:space="preserve">Application mobile : l'accès depuis l'application Power BI Mobile permet aux responsables pédagogiques de consulter les indicateurs clés en situation de mobilité.</w:t>
      </w:r>
    </w:p>
    <w:p>
      <w:pPr>
        <w:pStyle w:val="ListParagraph"/>
        <w:numPr>
          <w:ilvl w:val="0"/>
          <w:numId w:val="2"/>
        </w:numPr>
        <w:spacing w:after="60" w:before="60"/>
      </w:pPr>
      <w:r>
        <w:rPr>
          <w:rFonts w:ascii="Arial" w:cs="Arial" w:eastAsia="Arial" w:hAnsi="Arial"/>
          <w:color w:val="333333"/>
          <w:sz w:val="22"/>
          <w:szCs w:val="22"/>
        </w:rPr>
        <w:t xml:space="preserve">Tableaux de bord (Dashboards) : des épingles de visualisation ont été créées pour composer un tableau de bord synthétique réunissant les KPIs les plus importants de toutes les pages du rapport.</w:t>
      </w:r>
    </w:p>
    <w:p>
      <w:pPr>
        <w:pStyle w:val="ListParagraph"/>
        <w:numPr>
          <w:ilvl w:val="0"/>
          <w:numId w:val="2"/>
        </w:numPr>
        <w:spacing w:after="60" w:before="60"/>
      </w:pPr>
      <w:r>
        <w:rPr>
          <w:rFonts w:ascii="Arial" w:cs="Arial" w:eastAsia="Arial" w:hAnsi="Arial"/>
          <w:color w:val="333333"/>
          <w:sz w:val="22"/>
          <w:szCs w:val="22"/>
        </w:rPr>
        <w:t xml:space="preserve">Alertes de données : des alertes sont configurées sur certains KPIs critiques (ex. : taux de réussite &lt; 50% sur une matière, taux d'abandon &gt; 10%) pour notifier automatiquement les responsables par e-mail lorsque les seuils sont franchis.</w:t>
      </w:r>
    </w:p>
    <w:p>
      <w:pPr>
        <w:spacing w:after="80" w:before="80"/>
      </w:pPr>
      <w:r>
        <w:t xml:space="preserve"/>
      </w:r>
    </w:p>
    <w:p>
      <w:pPr>
        <w:spacing w:after="100" w:before="100"/>
        <w:jc w:val="both"/>
      </w:pPr>
      <w:r>
        <w:rPr>
          <w:rFonts w:ascii="Arial" w:cs="Arial" w:eastAsia="Arial" w:hAnsi="Arial"/>
          <w:b w:val="false"/>
          <w:bCs w:val="false"/>
          <w:color w:val="333333"/>
          <w:sz w:val="22"/>
          <w:szCs w:val="22"/>
        </w:rPr>
        <w:t xml:space="preserve">La publication sur Power BI Service marque la transition du projet d'un outil d'analyse en mode développement (Power BI Desktop) vers une solution de Business Intelligence opérationnelle, intégrée dans les processus de gouvernance académique de l'établissement.</w:t>
      </w:r>
    </w:p>
    <w:p>
      <w:r>
        <w:br w:type="page"/>
      </w:r>
    </w:p>
    <w:p>
      <w:pPr>
        <w:pStyle w:val="Heading1"/>
        <w:pBdr>
          <w:bottom w:val="single" w:color="1F4E79" w:sz="8" w:space="4"/>
        </w:pBdr>
        <w:spacing w:after="200" w:before="480"/>
      </w:pPr>
      <w:r>
        <w:rPr>
          <w:rFonts w:ascii="Arial" w:cs="Arial" w:eastAsia="Arial" w:hAnsi="Arial"/>
          <w:b/>
          <w:bCs/>
          <w:color w:val="1F4E79"/>
          <w:sz w:val="32"/>
          <w:szCs w:val="32"/>
        </w:rPr>
        <w:t xml:space="preserve">Chapitre 4 — Analyses Avancées, Résultats et Perspectives</w:t>
      </w:r>
    </w:p>
    <w:p>
      <w:pPr>
        <w:pStyle w:val="Heading2"/>
        <w:spacing w:after="160" w:before="320"/>
      </w:pPr>
      <w:r>
        <w:rPr>
          <w:rFonts w:ascii="Arial" w:cs="Arial" w:eastAsia="Arial" w:hAnsi="Arial"/>
          <w:b/>
          <w:bCs/>
          <w:color w:val="2E75B6"/>
          <w:sz w:val="26"/>
          <w:szCs w:val="26"/>
        </w:rPr>
        <w:t xml:space="preserve">4.1 Résultats des Analyses de Performance</w:t>
      </w:r>
    </w:p>
    <w:p>
      <w:pPr>
        <w:pStyle w:val="Heading3"/>
        <w:spacing w:after="120" w:before="240"/>
      </w:pPr>
      <w:r>
        <w:rPr>
          <w:rFonts w:ascii="Arial" w:cs="Arial" w:eastAsia="Arial" w:hAnsi="Arial"/>
          <w:b/>
          <w:bCs/>
          <w:color w:val="404040"/>
          <w:sz w:val="22"/>
          <w:szCs w:val="22"/>
        </w:rPr>
        <w:t xml:space="preserve">4.1.1 Taux de réussite et performance globale</w:t>
      </w:r>
    </w:p>
    <w:p>
      <w:pPr>
        <w:spacing w:after="100" w:before="100"/>
        <w:jc w:val="both"/>
      </w:pPr>
      <w:r>
        <w:rPr>
          <w:rFonts w:ascii="Arial" w:cs="Arial" w:eastAsia="Arial" w:hAnsi="Arial"/>
          <w:b w:val="false"/>
          <w:bCs w:val="false"/>
          <w:color w:val="333333"/>
          <w:sz w:val="22"/>
          <w:szCs w:val="22"/>
        </w:rPr>
        <w:t xml:space="preserve">L'analyse des 7 262 évaluations enregistrées dans l'entrepôt révèle des disparités significatives entre filières, niveaux d'étude et matières. La distribution des notes présente une forme légèrement asymétrique à gauche, avec un score moyen général autour de 11,8/20 — ce qui correspond à un taux de réussite global estimé à environ 62%. Ce taux masque cependant des écarts importants selon les axes d'analyse.</w:t>
      </w:r>
    </w:p>
    <w:p>
      <w:pPr>
        <w:spacing w:after="80" w:before="80"/>
      </w:pPr>
      <w:r>
        <w:t xml:space="preserve"/>
      </w:r>
    </w:p>
    <w:p>
      <w:pPr>
        <w:spacing w:after="100" w:before="100"/>
        <w:jc w:val="both"/>
      </w:pPr>
      <w:r>
        <w:rPr>
          <w:rFonts w:ascii="Arial" w:cs="Arial" w:eastAsia="Arial" w:hAnsi="Arial"/>
          <w:b w:val="false"/>
          <w:bCs w:val="false"/>
          <w:color w:val="333333"/>
          <w:sz w:val="22"/>
          <w:szCs w:val="22"/>
        </w:rPr>
        <w:t xml:space="preserve">Par niveau d'étude, les étudiants de première année (L1) présentent le taux de réussite le plus faible — phénomène connu sous le nom de choc de la transition secondaire-supérieur — alors que les niveaux Master enregistrent les meilleures performances, ce qui traduit l'effet de sélection naturelle opérée par les années précédentes. Par filière, les formations scientifiques et technologiques affichent des taux de réussite inférieurs aux filières des sciences humaines, reflétant la difficulté plus grande des matières fondamentales (mathématiques, algorithmique, physique).</w:t>
      </w:r>
    </w:p>
    <w:p>
      <w:pPr>
        <w:spacing w:after="80" w:before="80"/>
      </w:pPr>
      <w:r>
        <w:t xml:space="preserve"/>
      </w:r>
    </w:p>
    <w:p>
      <w:pPr>
        <w:pStyle w:val="Heading3"/>
        <w:spacing w:after="120" w:before="240"/>
      </w:pPr>
      <w:r>
        <w:rPr>
          <w:rFonts w:ascii="Arial" w:cs="Arial" w:eastAsia="Arial" w:hAnsi="Arial"/>
          <w:b/>
          <w:bCs/>
          <w:color w:val="404040"/>
          <w:sz w:val="22"/>
          <w:szCs w:val="22"/>
        </w:rPr>
        <w:t xml:space="preserve">4.1.2 Analyse des taux d'abandon</w:t>
      </w:r>
    </w:p>
    <w:p>
      <w:pPr>
        <w:spacing w:after="100" w:before="100"/>
        <w:jc w:val="both"/>
      </w:pPr>
      <w:r>
        <w:rPr>
          <w:rFonts w:ascii="Arial" w:cs="Arial" w:eastAsia="Arial" w:hAnsi="Arial"/>
          <w:b w:val="false"/>
          <w:bCs w:val="false"/>
          <w:color w:val="333333"/>
          <w:sz w:val="22"/>
          <w:szCs w:val="22"/>
        </w:rPr>
        <w:t xml:space="preserve">Sur les 45 abandons documentés, la distribution par motif déclaré révèle que les difficultés financières constituent le premier facteur d'abandon (environ 38% des cas), suivies des difficultés académiques (31%) et des raisons personnelles ou familiales (31%). Cette répartition est cohérente avec les résultats de la thèse SUEBANG (2022) qui identifie les conditions économiques précaires comme le principal déterminant du décrochage au premier cycle universitaire.</w:t>
      </w:r>
    </w:p>
    <w:p>
      <w:pPr>
        <w:spacing w:after="80" w:before="80"/>
      </w:pPr>
      <w:r>
        <w:t xml:space="preserve"/>
      </w:r>
    </w:p>
    <w:p>
      <w:pPr>
        <w:spacing w:after="100" w:before="100"/>
        <w:jc w:val="both"/>
      </w:pPr>
      <w:r>
        <w:rPr>
          <w:rFonts w:ascii="Arial" w:cs="Arial" w:eastAsia="Arial" w:hAnsi="Arial"/>
          <w:b w:val="false"/>
          <w:bCs w:val="false"/>
          <w:color w:val="333333"/>
          <w:sz w:val="22"/>
          <w:szCs w:val="22"/>
        </w:rPr>
        <w:t xml:space="preserve">L'analyse temporelle montre une concentration des abandons au premier semestre de l'année universitaire, suggérant que les étudiants en difficulté prennent la décision de quitter l'établissement relativement tôt dans l'année scolaire — ce qui ouvre une fenêtre d'intervention précoce pour les services d'accompagnement pédagogique.</w:t>
      </w:r>
    </w:p>
    <w:p>
      <w:pPr>
        <w:spacing w:after="80" w:before="8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400"/>
        <w:gridCol w:w="27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Motif d'abandon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Nombre de cas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du total</w:t>
            </w:r>
          </w:p>
        </w:tc>
        <w:tc>
          <w:tcPr>
            <w:tcW w:type="dxa" w:w="27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Semestre majoritaire</w:t>
            </w:r>
          </w:p>
        </w:tc>
      </w:tr>
      <w:tr>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Difficultés financières</w:t>
            </w:r>
          </w:p>
        </w:tc>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~17</w:t>
            </w:r>
          </w:p>
        </w:tc>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~38%</w:t>
            </w:r>
          </w:p>
        </w:tc>
        <w:tc>
          <w:tcPr>
            <w:tcW w:type="dxa" w:w="27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Semestre 1</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Difficultés académiques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~14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~31%</w:t>
            </w:r>
          </w:p>
        </w:tc>
        <w:tc>
          <w:tcPr>
            <w:tcW w:type="dxa" w:w="2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Semestre 1</w:t>
            </w:r>
          </w:p>
        </w:tc>
      </w:tr>
      <w:tr>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Raisons personnelles/familiales</w:t>
            </w:r>
          </w:p>
        </w:tc>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~9</w:t>
            </w:r>
          </w:p>
        </w:tc>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~20%</w:t>
            </w:r>
          </w:p>
        </w:tc>
        <w:tc>
          <w:tcPr>
            <w:tcW w:type="dxa" w:w="27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Semestre 2</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Orientation / Réorientation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~11%</w:t>
            </w:r>
          </w:p>
        </w:tc>
        <w:tc>
          <w:tcPr>
            <w:tcW w:type="dxa" w:w="2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Semestre 1 et 2</w:t>
            </w:r>
          </w:p>
        </w:tc>
      </w:tr>
    </w:tbl>
    <w:p>
      <w:pPr>
        <w:spacing w:after="80" w:before="80"/>
      </w:pPr>
      <w:r>
        <w:t xml:space="preserve"/>
      </w:r>
    </w:p>
    <w:p>
      <w:pPr>
        <w:pStyle w:val="Heading3"/>
        <w:spacing w:after="120" w:before="240"/>
      </w:pPr>
      <w:r>
        <w:rPr>
          <w:rFonts w:ascii="Arial" w:cs="Arial" w:eastAsia="Arial" w:hAnsi="Arial"/>
          <w:b/>
          <w:bCs/>
          <w:color w:val="404040"/>
          <w:sz w:val="22"/>
          <w:szCs w:val="22"/>
        </w:rPr>
        <w:t xml:space="preserve">4.1.3 Corrélations facteurs contextuels / Performance</w:t>
      </w:r>
    </w:p>
    <w:p>
      <w:pPr>
        <w:spacing w:after="100" w:before="100"/>
        <w:jc w:val="both"/>
      </w:pPr>
      <w:r>
        <w:rPr>
          <w:rFonts w:ascii="Arial" w:cs="Arial" w:eastAsia="Arial" w:hAnsi="Arial"/>
          <w:b w:val="false"/>
          <w:bCs w:val="false"/>
          <w:color w:val="333333"/>
          <w:sz w:val="22"/>
          <w:szCs w:val="22"/>
        </w:rPr>
        <w:t xml:space="preserve">L'exploitation des dimensions enrichies dans Power BI a permis de mettre en évidence plusieurs corrélations analytiquement significatives, cohérentes avec la littérature académique de référence :</w:t>
      </w:r>
    </w:p>
    <w:p>
      <w:pPr>
        <w:spacing w:after="8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Niveau socio-économique et réussite : les étudiants de NSE élevé présentent un taux de réussite supérieur d'environ 15 points de pourcentage par rapport aux étudiants de NSE faible. Cet écart, bien que prévisible, quantifie l'ampleur des inégalités académiques liées aux conditions économiques.</w:t>
      </w:r>
    </w:p>
    <w:p>
      <w:pPr>
        <w:pStyle w:val="ListParagraph"/>
        <w:numPr>
          <w:ilvl w:val="0"/>
          <w:numId w:val="2"/>
        </w:numPr>
        <w:spacing w:after="60" w:before="60"/>
      </w:pPr>
      <w:r>
        <w:rPr>
          <w:rFonts w:ascii="Arial" w:cs="Arial" w:eastAsia="Arial" w:hAnsi="Arial"/>
          <w:color w:val="333333"/>
          <w:sz w:val="22"/>
          <w:szCs w:val="22"/>
        </w:rPr>
        <w:t xml:space="preserve">Emploi rémunéré et performance : les étudiants exerçant un emploi de plus de 20 heures par semaine obtiennent une moyenne inférieure d'environ 2 points à celle des étudiants sans emploi, confirmant l'hypothèse de la thèse SUEBANG (tab. 44) selon laquelle l'emploi rémunéré intensif constitue un facteur de risque académique.</w:t>
      </w:r>
    </w:p>
    <w:p>
      <w:pPr>
        <w:pStyle w:val="ListParagraph"/>
        <w:numPr>
          <w:ilvl w:val="0"/>
          <w:numId w:val="2"/>
        </w:numPr>
        <w:spacing w:after="60" w:before="60"/>
      </w:pPr>
      <w:r>
        <w:rPr>
          <w:rFonts w:ascii="Arial" w:cs="Arial" w:eastAsia="Arial" w:hAnsi="Arial"/>
          <w:color w:val="333333"/>
          <w:sz w:val="22"/>
          <w:szCs w:val="22"/>
        </w:rPr>
        <w:t xml:space="preserve">Isolement social et décrochage : 73% des cas d'abandon concernent des étudiants présentant un score d'isolement social élevé dans la dimension dim_integration_sociale, soulignant l'importance de l'accompagnement social dans la prévention du décrochage.</w:t>
      </w:r>
    </w:p>
    <w:p>
      <w:pPr>
        <w:pStyle w:val="ListParagraph"/>
        <w:numPr>
          <w:ilvl w:val="0"/>
          <w:numId w:val="2"/>
        </w:numPr>
        <w:spacing w:after="60" w:before="60"/>
      </w:pPr>
      <w:r>
        <w:rPr>
          <w:rFonts w:ascii="Arial" w:cs="Arial" w:eastAsia="Arial" w:hAnsi="Arial"/>
          <w:color w:val="333333"/>
          <w:sz w:val="22"/>
          <w:szCs w:val="22"/>
        </w:rPr>
        <w:t xml:space="preserve">Mention au baccalauréat et réussite universitaire : les étudiants titulaires d'une mention Bien ou Très Bien au baccalauréat présentent un taux de réussite universitaire supérieur de 18 à 22 points par rapport aux bacheliers passables, confirmant la valeur prédictive du parcours scolaire antérieur.</w:t>
      </w:r>
    </w:p>
    <w:p>
      <w:pPr>
        <w:pStyle w:val="ListParagraph"/>
        <w:numPr>
          <w:ilvl w:val="0"/>
          <w:numId w:val="2"/>
        </w:numPr>
        <w:spacing w:after="60" w:before="60"/>
      </w:pPr>
      <w:r>
        <w:rPr>
          <w:rFonts w:ascii="Arial" w:cs="Arial" w:eastAsia="Arial" w:hAnsi="Arial"/>
          <w:color w:val="333333"/>
          <w:sz w:val="22"/>
          <w:szCs w:val="22"/>
        </w:rPr>
        <w:t xml:space="preserve">Santé et absences : les étudiants présentant un problème de santé chronique à impact élevé affichent un taux d'absences 2,4 fois supérieur à la moyenne, avec une corrélation directe sur la baisse des performances académiques.</w:t>
      </w:r>
    </w:p>
    <w:p>
      <w:pPr>
        <w:spacing w:after="80" w:before="80"/>
      </w:pPr>
      <w:r>
        <w:t xml:space="preserve"/>
      </w:r>
    </w:p>
    <w:p>
      <w:pPr>
        <w:pStyle w:val="Heading2"/>
        <w:spacing w:after="160" w:before="320"/>
      </w:pPr>
      <w:r>
        <w:rPr>
          <w:rFonts w:ascii="Arial" w:cs="Arial" w:eastAsia="Arial" w:hAnsi="Arial"/>
          <w:b/>
          <w:bCs/>
          <w:color w:val="2E75B6"/>
          <w:sz w:val="26"/>
          <w:szCs w:val="26"/>
        </w:rPr>
        <w:t xml:space="preserve">4.2 Approches Analytiques Avancées</w:t>
      </w:r>
    </w:p>
    <w:p>
      <w:pPr>
        <w:pStyle w:val="Heading3"/>
        <w:spacing w:after="120" w:before="240"/>
      </w:pPr>
      <w:r>
        <w:rPr>
          <w:rFonts w:ascii="Arial" w:cs="Arial" w:eastAsia="Arial" w:hAnsi="Arial"/>
          <w:b/>
          <w:bCs/>
          <w:color w:val="404040"/>
          <w:sz w:val="22"/>
          <w:szCs w:val="22"/>
        </w:rPr>
        <w:t xml:space="preserve">4.2.1 Segmentation des profils d'étudiants</w:t>
      </w:r>
    </w:p>
    <w:p>
      <w:pPr>
        <w:spacing w:after="100" w:before="100"/>
        <w:jc w:val="both"/>
      </w:pPr>
      <w:r>
        <w:rPr>
          <w:rFonts w:ascii="Arial" w:cs="Arial" w:eastAsia="Arial" w:hAnsi="Arial"/>
          <w:b w:val="false"/>
          <w:bCs w:val="false"/>
          <w:color w:val="333333"/>
          <w:sz w:val="22"/>
          <w:szCs w:val="22"/>
        </w:rPr>
        <w:t xml:space="preserve">La richesse du modèle dimensionnel — avec ses 10 tables de dimensions et ses nombreux attributs contextuels — ouvre la voie à une segmentation avancée des profils d'étudiants. Deux approches complémentaires ont été explorées :</w:t>
      </w:r>
    </w:p>
    <w:p>
      <w:pPr>
        <w:spacing w:after="80" w:before="80"/>
      </w:pPr>
      <w:r>
        <w:t xml:space="preserve"/>
      </w:r>
    </w:p>
    <w:p>
      <w:pPr>
        <w:spacing w:after="100" w:before="100"/>
        <w:jc w:val="both"/>
      </w:pPr>
      <w:r>
        <w:rPr>
          <w:rFonts w:ascii="Arial" w:cs="Arial" w:eastAsia="Arial" w:hAnsi="Arial"/>
          <w:b/>
          <w:bCs/>
          <w:color w:val="333333"/>
          <w:sz w:val="22"/>
          <w:szCs w:val="22"/>
        </w:rPr>
        <w:t xml:space="preserve">Segmentation par règles métier (Power BI)</w:t>
      </w:r>
    </w:p>
    <w:p>
      <w:pPr>
        <w:spacing w:after="100" w:before="100"/>
        <w:jc w:val="both"/>
      </w:pPr>
      <w:r>
        <w:rPr>
          <w:rFonts w:ascii="Arial" w:cs="Arial" w:eastAsia="Arial" w:hAnsi="Arial"/>
          <w:b w:val="false"/>
          <w:bCs w:val="false"/>
          <w:color w:val="333333"/>
          <w:sz w:val="22"/>
          <w:szCs w:val="22"/>
        </w:rPr>
        <w:t xml:space="preserve">Dans Power BI, une catégorisation manuelle des étudiants en quatre profils de risque a été implémentée via des mesures DAX conditionnelles, en combinant les dimensions performance académique, situation économique et intégration sociale. Cette approche déterministe produit des segments immédiatement interprétables par les conseillers pédagogiques.</w:t>
      </w:r>
    </w:p>
    <w:p>
      <w:pPr>
        <w:spacing w:after="80" w:before="8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400"/>
        <w:gridCol w:w="2226"/>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Profil</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Critères combinés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 de risque</w:t>
            </w:r>
          </w:p>
        </w:tc>
        <w:tc>
          <w:tcPr>
            <w:tcW w:type="dxa" w:w="2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 recommandée</w:t>
            </w:r>
          </w:p>
        </w:tc>
      </w:tr>
      <w:tr>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Profil Performant</w:t>
            </w:r>
          </w:p>
        </w:tc>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Moyenne &gt; 13, NSE moyen+, intégration élevée</w:t>
            </w:r>
          </w:p>
        </w:tc>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Faible</w:t>
            </w:r>
          </w:p>
        </w:tc>
        <w:tc>
          <w:tcPr>
            <w:tcW w:type="dxa" w:w="22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Suivi standard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Profil Fragile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Moyenne 10-13, NSE faible, emploi partiel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Modéré</w:t>
            </w:r>
          </w:p>
        </w:tc>
        <w:tc>
          <w:tcPr>
            <w:tcW w:type="dxa" w:w="2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Accompagnement préventif</w:t>
            </w:r>
          </w:p>
        </w:tc>
      </w:tr>
      <w:tr>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Profil À Risque</w:t>
            </w:r>
          </w:p>
        </w:tc>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Moyenne &lt; 10, isolement social, difficultés financières</w:t>
            </w:r>
          </w:p>
        </w:tc>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Élevé</w:t>
            </w:r>
          </w:p>
        </w:tc>
        <w:tc>
          <w:tcPr>
            <w:tcW w:type="dxa" w:w="22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Intervention rapide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Profil Critique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Absences élevées + score risque composite &gt; 0.7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Critique</w:t>
            </w:r>
          </w:p>
        </w:tc>
        <w:tc>
          <w:tcPr>
            <w:tcW w:type="dxa" w:w="2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Entretien obligatoire</w:t>
            </w:r>
          </w:p>
        </w:tc>
      </w:tr>
    </w:tbl>
    <w:p>
      <w:pPr>
        <w:spacing w:after="80" w:before="80"/>
      </w:pPr>
      <w:r>
        <w:t xml:space="preserve"/>
      </w:r>
    </w:p>
    <w:p>
      <w:pPr>
        <w:spacing w:after="100" w:before="100"/>
        <w:jc w:val="both"/>
      </w:pPr>
      <w:r>
        <w:rPr>
          <w:rFonts w:ascii="Arial" w:cs="Arial" w:eastAsia="Arial" w:hAnsi="Arial"/>
          <w:b/>
          <w:bCs/>
          <w:color w:val="333333"/>
          <w:sz w:val="22"/>
          <w:szCs w:val="22"/>
        </w:rPr>
        <w:t xml:space="preserve">Segmentation par clustering (perspective analytique avancée)</w:t>
      </w:r>
    </w:p>
    <w:p>
      <w:pPr>
        <w:spacing w:after="100" w:before="100"/>
        <w:jc w:val="both"/>
      </w:pPr>
      <w:r>
        <w:rPr>
          <w:rFonts w:ascii="Arial" w:cs="Arial" w:eastAsia="Arial" w:hAnsi="Arial"/>
          <w:b w:val="false"/>
          <w:bCs w:val="false"/>
          <w:color w:val="333333"/>
          <w:sz w:val="22"/>
          <w:szCs w:val="22"/>
        </w:rPr>
        <w:t xml:space="preserve">Pour une segmentation non supervisée, l'application d'algorithmes de clustering (k-means) sur les variables numériques du profil étudiant (moyenne générale, taux d'absences, heures d'emploi, revenu familial, score d'intégration sociale) permettrait d'identifier des segments naturels dans les données, indépendamment des seuils arbitraires définis par les règles métier. Cette approche, qui constitue une perspective d'évolution du projet, pourrait être implémentée via Python/scikit-learn avec intégration des résultats dans Power BI via le connecteur Python.</w:t>
      </w:r>
    </w:p>
    <w:p>
      <w:pPr>
        <w:spacing w:after="80" w:before="80"/>
      </w:pPr>
      <w:r>
        <w:t xml:space="preserve"/>
      </w:r>
    </w:p>
    <w:p>
      <w:pPr>
        <w:pStyle w:val="Heading3"/>
        <w:spacing w:after="120" w:before="240"/>
      </w:pPr>
      <w:r>
        <w:rPr>
          <w:rFonts w:ascii="Arial" w:cs="Arial" w:eastAsia="Arial" w:hAnsi="Arial"/>
          <w:b/>
          <w:bCs/>
          <w:color w:val="404040"/>
          <w:sz w:val="22"/>
          <w:szCs w:val="22"/>
        </w:rPr>
        <w:t xml:space="preserve">4.2.2 Prédiction des performances académiques</w:t>
      </w:r>
    </w:p>
    <w:p>
      <w:pPr>
        <w:spacing w:after="100" w:before="100"/>
        <w:jc w:val="both"/>
      </w:pPr>
      <w:r>
        <w:rPr>
          <w:rFonts w:ascii="Arial" w:cs="Arial" w:eastAsia="Arial" w:hAnsi="Arial"/>
          <w:b w:val="false"/>
          <w:bCs w:val="false"/>
          <w:color w:val="333333"/>
          <w:sz w:val="22"/>
          <w:szCs w:val="22"/>
        </w:rPr>
        <w:t xml:space="preserve">La disposition du modèle enrichi — avec ses multiples dimensions contextuelles — offre un terreau idéal pour le développement de modèles prédictifs. Plusieurs approches algorithmiques sont envisageables comme évolutions du projet :</w:t>
      </w:r>
    </w:p>
    <w:p>
      <w:pPr>
        <w:spacing w:after="8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Régression logistique : prédire la probabilité de réussite ou d'échec d'un étudiant dans une matière donnée, en fonction de son historique académique, de son niveau socio-économique et de ses habitudes d'étude. Ce modèle simple et interprétable serait idéal pour une implémentation en production.</w:t>
      </w:r>
    </w:p>
    <w:p>
      <w:pPr>
        <w:pStyle w:val="ListParagraph"/>
        <w:numPr>
          <w:ilvl w:val="0"/>
          <w:numId w:val="2"/>
        </w:numPr>
        <w:spacing w:after="60" w:before="60"/>
      </w:pPr>
      <w:r>
        <w:rPr>
          <w:rFonts w:ascii="Arial" w:cs="Arial" w:eastAsia="Arial" w:hAnsi="Arial"/>
          <w:color w:val="333333"/>
          <w:sz w:val="22"/>
          <w:szCs w:val="22"/>
        </w:rPr>
        <w:t xml:space="preserve">Forêts aléatoires (Random Forest) : un modèle plus complexe mais plus performant, capable de capturer des interactions non linéaires entre les variables (ex. : l'interaction entre emploi rémunéré et niveau socio-économique dans la prédiction du décrochage). Power BI supporte l'intégration de modèles Python via les visuels Python.</w:t>
      </w:r>
    </w:p>
    <w:p>
      <w:pPr>
        <w:pStyle w:val="ListParagraph"/>
        <w:numPr>
          <w:ilvl w:val="0"/>
          <w:numId w:val="2"/>
        </w:numPr>
        <w:spacing w:after="60" w:before="60"/>
      </w:pPr>
      <w:r>
        <w:rPr>
          <w:rFonts w:ascii="Arial" w:cs="Arial" w:eastAsia="Arial" w:hAnsi="Arial"/>
          <w:color w:val="333333"/>
          <w:sz w:val="22"/>
          <w:szCs w:val="22"/>
        </w:rPr>
        <w:t xml:space="preserve">Détection d'anomalies : identifier les étudiants dont le profil de performances s'écarte significativement de leur cluster habituel — signal précoce d'une dégradation de la situation académique nécessitant une intervention.</w:t>
      </w:r>
    </w:p>
    <w:p>
      <w:pPr>
        <w:spacing w:after="80" w:before="80"/>
      </w:pPr>
      <w:r>
        <w:t xml:space="preserve"/>
      </w:r>
    </w:p>
    <w:p>
      <w:pPr>
        <w:pBdr>
          <w:top w:val="single" w:color="2E75B6" w:sz="4"/>
          <w:bottom w:val="single" w:color="2E75B6" w:sz="4"/>
          <w:left w:val="thick" w:color="2E75B6" w:sz="8"/>
          <w:right w:val="single" w:color="CCCCCC" w:sz="1"/>
        </w:pBdr>
        <w:shd w:fill="EFF4FB" w:val="clear"/>
        <w:spacing w:after="160" w:before="160"/>
        <w:ind w:left="360" w:right="360"/>
        <w:jc w:val="both"/>
      </w:pPr>
      <w:r>
        <w:rPr>
          <w:rFonts w:ascii="Arial" w:cs="Arial" w:eastAsia="Arial" w:hAnsi="Arial"/>
          <w:color w:val="1F4E79"/>
          <w:sz w:val="21"/>
          <w:szCs w:val="21"/>
        </w:rPr>
        <w:t xml:space="preserve">Perspective de déploiement : les modèles prédictifs développés en Python pourraient être exposés via Azure Machine Learning et connectés directement à Power BI Service, permettant ainsi d'afficher des scores de risque mis à jour en temps réel pour chaque étudiant, directement dans le tableau de bord de veille académique.</w:t>
      </w:r>
    </w:p>
    <w:p>
      <w:pPr>
        <w:pStyle w:val="Heading2"/>
        <w:spacing w:after="160" w:before="320"/>
      </w:pPr>
      <w:r>
        <w:rPr>
          <w:rFonts w:ascii="Arial" w:cs="Arial" w:eastAsia="Arial" w:hAnsi="Arial"/>
          <w:b/>
          <w:bCs/>
          <w:color w:val="2E75B6"/>
          <w:sz w:val="26"/>
          <w:szCs w:val="26"/>
        </w:rPr>
        <w:t xml:space="preserve">4.3 Bilan Technique et Choix Architecturaux</w:t>
      </w:r>
    </w:p>
    <w:p>
      <w:pPr>
        <w:pStyle w:val="Heading3"/>
        <w:spacing w:after="120" w:before="240"/>
      </w:pPr>
      <w:r>
        <w:rPr>
          <w:rFonts w:ascii="Arial" w:cs="Arial" w:eastAsia="Arial" w:hAnsi="Arial"/>
          <w:b/>
          <w:bCs/>
          <w:color w:val="404040"/>
          <w:sz w:val="22"/>
          <w:szCs w:val="22"/>
        </w:rPr>
        <w:t xml:space="preserve">4.3.1 Comparaison des stratégies de stockage OLAP</w:t>
      </w:r>
    </w:p>
    <w:p>
      <w:pPr>
        <w:spacing w:after="100" w:before="100"/>
        <w:jc w:val="both"/>
      </w:pPr>
      <w:r>
        <w:rPr>
          <w:rFonts w:ascii="Arial" w:cs="Arial" w:eastAsia="Arial" w:hAnsi="Arial"/>
          <w:b w:val="false"/>
          <w:bCs w:val="false"/>
          <w:color w:val="333333"/>
          <w:sz w:val="22"/>
          <w:szCs w:val="22"/>
        </w:rPr>
        <w:t xml:space="preserve">Notre projet utilise une stratégie ROLAP (Relational OLAP), dans laquelle les données sont stockées dans une base de données relationnelle MySQL et le moteur OLAP (Power BI VertiPaq) se charge de la couche analytique. Ce choix est justifié par plusieurs facteurs :</w:t>
      </w:r>
    </w:p>
    <w:p>
      <w:pPr>
        <w:spacing w:after="80" w:before="8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20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Critère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ROLAP (choix retenu)</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MOLAP</w:t>
            </w:r>
          </w:p>
        </w:tc>
        <w:tc>
          <w:tcPr>
            <w:tcW w:type="dxa" w:w="2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HOLAP</w:t>
            </w:r>
          </w:p>
        </w:tc>
      </w:tr>
      <w:tr>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Technologie</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MySQL + Power BI VertiPaq</w:t>
            </w:r>
          </w:p>
        </w:tc>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BD multidimensionnelle native</w:t>
            </w:r>
          </w:p>
        </w:tc>
        <w:tc>
          <w:tcPr>
            <w:tcW w:type="dxa" w:w="20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Hybride (rel. + multiD.)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Volume de données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Très adapté (scalable)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Limité (risque explosion volume)</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Adapté</w:t>
            </w:r>
          </w:p>
        </w:tc>
      </w:tr>
      <w:tr>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Facilité d'implémentation</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Élevée (technologies matures)</w:t>
            </w:r>
          </w:p>
        </w:tc>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Complexe</w:t>
            </w:r>
          </w:p>
        </w:tc>
        <w:tc>
          <w:tcPr>
            <w:tcW w:type="dxa" w:w="20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Complexe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Performance requêtes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Bonne (avec index et agrégats)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Excellente</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Très bonne</w:t>
            </w:r>
          </w:p>
        </w:tc>
      </w:tr>
      <w:tr>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Coût infrastructure</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Faible (MySQL open source)</w:t>
            </w:r>
          </w:p>
        </w:tc>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Élevé (licences)</w:t>
            </w:r>
          </w:p>
        </w:tc>
        <w:tc>
          <w:tcPr>
            <w:tcW w:type="dxa" w:w="20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333333"/>
                <w:sz w:val="19"/>
                <w:szCs w:val="19"/>
              </w:rPr>
              <w:t xml:space="preserve">Moyen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Rafraîchissement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Flexible (incrémental ou complet)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Reconstruction fréquente</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19"/>
                <w:szCs w:val="19"/>
              </w:rPr>
              <w:t xml:space="preserve">Flexible</w:t>
            </w:r>
          </w:p>
        </w:tc>
      </w:tr>
    </w:tbl>
    <w:p>
      <w:pPr>
        <w:spacing w:after="80" w:before="80"/>
      </w:pPr>
      <w:r>
        <w:t xml:space="preserve"/>
      </w:r>
    </w:p>
    <w:p>
      <w:pPr>
        <w:pStyle w:val="Heading3"/>
        <w:spacing w:after="120" w:before="240"/>
      </w:pPr>
      <w:r>
        <w:rPr>
          <w:rFonts w:ascii="Arial" w:cs="Arial" w:eastAsia="Arial" w:hAnsi="Arial"/>
          <w:b/>
          <w:bCs/>
          <w:color w:val="404040"/>
          <w:sz w:val="22"/>
          <w:szCs w:val="22"/>
        </w:rPr>
        <w:t xml:space="preserve">4.3.2 Gestion de l'historisation des dimensions</w:t>
      </w:r>
    </w:p>
    <w:p>
      <w:pPr>
        <w:spacing w:after="100" w:before="100"/>
        <w:jc w:val="both"/>
      </w:pPr>
      <w:r>
        <w:rPr>
          <w:rFonts w:ascii="Arial" w:cs="Arial" w:eastAsia="Arial" w:hAnsi="Arial"/>
          <w:b w:val="false"/>
          <w:bCs w:val="false"/>
          <w:color w:val="333333"/>
          <w:sz w:val="22"/>
          <w:szCs w:val="22"/>
        </w:rPr>
        <w:t xml:space="preserve">Dans notre modèle, la gestion des changements dans les dimensions suit le type 2 de Kimball (Slowly Changing Dimensions — SCD Type 2) pour les attributs critiques comme le grade ou le statut d'un enseignant. Pour les attributs moins importants (ex. : nom d'une matière), un changement de type 1 (écrasement de valeurs) est préféré, évitant une croissance excessive de la dimension.</w:t>
      </w:r>
    </w:p>
    <w:p>
      <w:pPr>
        <w:spacing w:after="80" w:before="80"/>
      </w:pPr>
      <w:r>
        <w:t xml:space="preserve"/>
      </w:r>
    </w:p>
    <w:p>
      <w:pPr>
        <w:spacing w:after="100" w:before="100"/>
        <w:jc w:val="both"/>
      </w:pPr>
      <w:r>
        <w:rPr>
          <w:rFonts w:ascii="Arial" w:cs="Arial" w:eastAsia="Arial" w:hAnsi="Arial"/>
          <w:b w:val="false"/>
          <w:bCs w:val="false"/>
          <w:color w:val="333333"/>
          <w:sz w:val="22"/>
          <w:szCs w:val="22"/>
        </w:rPr>
        <w:t xml:space="preserve">Exemple d'application : si le niveau socio-économique d'un étudiant évolue au cours de sa scolarité (ex. : obtention d'une bourse), une nouvelle ligne est insérée dans dim_etudiant avec les nouvelles valeurs et une date de début/fin, tandis que l'ancienne ligne est marquée comme inactive (flag). Cela garantit que les notes historiques restent liées au contexte socio-économique qui prévalait à leur moment de saisie.</w:t>
      </w:r>
    </w:p>
    <w:p>
      <w:pPr>
        <w:pStyle w:val="Heading2"/>
        <w:spacing w:after="160" w:before="320"/>
      </w:pPr>
      <w:r>
        <w:rPr>
          <w:rFonts w:ascii="Arial" w:cs="Arial" w:eastAsia="Arial" w:hAnsi="Arial"/>
          <w:b/>
          <w:bCs/>
          <w:color w:val="2E75B6"/>
          <w:sz w:val="26"/>
          <w:szCs w:val="26"/>
        </w:rPr>
        <w:t xml:space="preserve">4.4 Limites et Perspectives d'Amélioration</w:t>
      </w:r>
    </w:p>
    <w:p>
      <w:pPr>
        <w:pStyle w:val="Heading3"/>
        <w:spacing w:after="120" w:before="240"/>
      </w:pPr>
      <w:r>
        <w:rPr>
          <w:rFonts w:ascii="Arial" w:cs="Arial" w:eastAsia="Arial" w:hAnsi="Arial"/>
          <w:b/>
          <w:bCs/>
          <w:color w:val="404040"/>
          <w:sz w:val="22"/>
          <w:szCs w:val="22"/>
        </w:rPr>
        <w:t xml:space="preserve">4.4.1 Limites actuelles du système</w:t>
      </w:r>
    </w:p>
    <w:p>
      <w:pPr>
        <w:pStyle w:val="ListParagraph"/>
        <w:numPr>
          <w:ilvl w:val="0"/>
          <w:numId w:val="2"/>
        </w:numPr>
        <w:spacing w:after="60" w:before="60"/>
      </w:pPr>
      <w:r>
        <w:rPr>
          <w:rFonts w:ascii="Arial" w:cs="Arial" w:eastAsia="Arial" w:hAnsi="Arial"/>
          <w:color w:val="333333"/>
          <w:sz w:val="22"/>
          <w:szCs w:val="22"/>
        </w:rPr>
        <w:t xml:space="preserve">Données simulées : bien que réalistes et fondées sur des références académiques solides, les données générées ne reflètent pas parfaitement les distributions d'un établissement réel. Un déploiement sur données réelles nécessiterait une phase de nettoyage et d'harmonisation plus longue.</w:t>
      </w:r>
    </w:p>
    <w:p>
      <w:pPr>
        <w:pStyle w:val="ListParagraph"/>
        <w:numPr>
          <w:ilvl w:val="0"/>
          <w:numId w:val="2"/>
        </w:numPr>
        <w:spacing w:after="60" w:before="60"/>
      </w:pPr>
      <w:r>
        <w:rPr>
          <w:rFonts w:ascii="Arial" w:cs="Arial" w:eastAsia="Arial" w:hAnsi="Arial"/>
          <w:color w:val="333333"/>
          <w:sz w:val="22"/>
          <w:szCs w:val="22"/>
        </w:rPr>
        <w:t xml:space="preserve">Rafraîchissement non en temps réel : le mode Import de Power BI implique une latence entre la mise à jour des données sources et leur reflet dans les tableaux de bord. Pour certains cas d'usage critiques (alerte en temps réel), le mode DirectQuery ou un flux de données en streaming serait préférable.</w:t>
      </w:r>
    </w:p>
    <w:p>
      <w:pPr>
        <w:pStyle w:val="ListParagraph"/>
        <w:numPr>
          <w:ilvl w:val="0"/>
          <w:numId w:val="2"/>
        </w:numPr>
        <w:spacing w:after="60" w:before="60"/>
      </w:pPr>
      <w:r>
        <w:rPr>
          <w:rFonts w:ascii="Arial" w:cs="Arial" w:eastAsia="Arial" w:hAnsi="Arial"/>
          <w:color w:val="333333"/>
          <w:sz w:val="22"/>
          <w:szCs w:val="22"/>
        </w:rPr>
        <w:t xml:space="preserve">Absence d'interface de saisie : le système actuel est purement analytique. Il ne dispose pas d'interface permettant aux enseignants de saisir directement les notes dans le système ; cette saisie se fait via le SIO opérationnel en amont.</w:t>
      </w:r>
    </w:p>
    <w:p>
      <w:pPr>
        <w:pStyle w:val="ListParagraph"/>
        <w:numPr>
          <w:ilvl w:val="0"/>
          <w:numId w:val="2"/>
        </w:numPr>
        <w:spacing w:after="60" w:before="60"/>
      </w:pPr>
      <w:r>
        <w:rPr>
          <w:rFonts w:ascii="Arial" w:cs="Arial" w:eastAsia="Arial" w:hAnsi="Arial"/>
          <w:color w:val="333333"/>
          <w:sz w:val="22"/>
          <w:szCs w:val="22"/>
        </w:rPr>
        <w:t xml:space="preserve">Modèles prédictifs non intégrés : les algorithmes de machine learning évoqués restent au stade de perspectives. Leur intégration nécessite un travail de data science supplémentaire et une infrastructure adaptée (Python, Azure ML).</w:t>
      </w:r>
    </w:p>
    <w:p>
      <w:pPr>
        <w:spacing w:after="80" w:before="80"/>
      </w:pPr>
      <w:r>
        <w:t xml:space="preserve"/>
      </w:r>
    </w:p>
    <w:p>
      <w:pPr>
        <w:pStyle w:val="Heading3"/>
        <w:spacing w:after="120" w:before="240"/>
      </w:pPr>
      <w:r>
        <w:rPr>
          <w:rFonts w:ascii="Arial" w:cs="Arial" w:eastAsia="Arial" w:hAnsi="Arial"/>
          <w:b/>
          <w:bCs/>
          <w:color w:val="404040"/>
          <w:sz w:val="22"/>
          <w:szCs w:val="22"/>
        </w:rPr>
        <w:t xml:space="preserve">4.4.2 Perspectives d'évolution</w:t>
      </w:r>
    </w:p>
    <w:p>
      <w:pPr>
        <w:pStyle w:val="ListParagraph"/>
        <w:numPr>
          <w:ilvl w:val="0"/>
          <w:numId w:val="2"/>
        </w:numPr>
        <w:spacing w:after="60" w:before="60"/>
      </w:pPr>
      <w:r>
        <w:rPr>
          <w:rFonts w:ascii="Arial" w:cs="Arial" w:eastAsia="Arial" w:hAnsi="Arial"/>
          <w:color w:val="333333"/>
          <w:sz w:val="22"/>
          <w:szCs w:val="22"/>
        </w:rPr>
        <w:t xml:space="preserve">Intégration d'un module de machine learning : déploiement de modèles de régression logistique ou de forêts aléatoires pour la prédiction des risques d'abandon, avec affichage des scores dans Power BI via intégration Python.</w:t>
      </w:r>
    </w:p>
    <w:p>
      <w:pPr>
        <w:pStyle w:val="ListParagraph"/>
        <w:numPr>
          <w:ilvl w:val="0"/>
          <w:numId w:val="2"/>
        </w:numPr>
        <w:spacing w:after="60" w:before="60"/>
      </w:pPr>
      <w:r>
        <w:rPr>
          <w:rFonts w:ascii="Arial" w:cs="Arial" w:eastAsia="Arial" w:hAnsi="Arial"/>
          <w:color w:val="333333"/>
          <w:sz w:val="22"/>
          <w:szCs w:val="22"/>
        </w:rPr>
        <w:t xml:space="preserve">Passage au mode DirectQuery ou Composite : pour les cas d'usage nécessitant des données quasi-temps réel, une migration partielle vers le mode DirectQuery ou un modèle composite permettrait de réduire la latence de rafraîchissement.</w:t>
      </w:r>
    </w:p>
    <w:p>
      <w:pPr>
        <w:pStyle w:val="ListParagraph"/>
        <w:numPr>
          <w:ilvl w:val="0"/>
          <w:numId w:val="2"/>
        </w:numPr>
        <w:spacing w:after="60" w:before="60"/>
      </w:pPr>
      <w:r>
        <w:rPr>
          <w:rFonts w:ascii="Arial" w:cs="Arial" w:eastAsia="Arial" w:hAnsi="Arial"/>
          <w:color w:val="333333"/>
          <w:sz w:val="22"/>
          <w:szCs w:val="22"/>
        </w:rPr>
        <w:t xml:space="preserve">Extension géographique : ajout d'une dimension géographique enrichie (région, pays d'origine) pour analyser les disparités territoriales dans les performances et les taux d'abandon.</w:t>
      </w:r>
    </w:p>
    <w:p>
      <w:pPr>
        <w:pStyle w:val="ListParagraph"/>
        <w:numPr>
          <w:ilvl w:val="0"/>
          <w:numId w:val="2"/>
        </w:numPr>
        <w:spacing w:after="60" w:before="60"/>
      </w:pPr>
      <w:r>
        <w:rPr>
          <w:rFonts w:ascii="Arial" w:cs="Arial" w:eastAsia="Arial" w:hAnsi="Arial"/>
          <w:color w:val="333333"/>
          <w:sz w:val="22"/>
          <w:szCs w:val="22"/>
        </w:rPr>
        <w:t xml:space="preserve">Déploiement sur données réelles : connexion du système à un SIO opérationnel réel (système de gestion des notes de l'établissement) via un pipeline ETL incrémental déclenché automatiquement à chaque session d'évaluation.</w:t>
      </w:r>
    </w:p>
    <w:p>
      <w:pPr>
        <w:pStyle w:val="ListParagraph"/>
        <w:numPr>
          <w:ilvl w:val="0"/>
          <w:numId w:val="2"/>
        </w:numPr>
        <w:spacing w:after="60" w:before="60"/>
      </w:pPr>
      <w:r>
        <w:rPr>
          <w:rFonts w:ascii="Arial" w:cs="Arial" w:eastAsia="Arial" w:hAnsi="Arial"/>
          <w:color w:val="333333"/>
          <w:sz w:val="22"/>
          <w:szCs w:val="22"/>
        </w:rPr>
        <w:t xml:space="preserve">Portail self-service : développement d'une interface Power BI Embedded permettant aux étudiants de consulter leurs propres indicateurs de performance, favorisant leur implication dans le suivi de leur parcours académique.</w:t>
      </w:r>
    </w:p>
    <w:p>
      <w:pPr>
        <w:pStyle w:val="Heading2"/>
        <w:spacing w:after="160" w:before="320"/>
      </w:pPr>
      <w:r>
        <w:rPr>
          <w:rFonts w:ascii="Arial" w:cs="Arial" w:eastAsia="Arial" w:hAnsi="Arial"/>
          <w:b/>
          <w:bCs/>
          <w:color w:val="2E75B6"/>
          <w:sz w:val="26"/>
          <w:szCs w:val="26"/>
        </w:rPr>
        <w:t xml:space="preserve">4.5 Conclusion du Projet</w:t>
      </w:r>
    </w:p>
    <w:p>
      <w:pPr>
        <w:spacing w:after="100" w:before="100"/>
        <w:jc w:val="both"/>
      </w:pPr>
      <w:r>
        <w:rPr>
          <w:rFonts w:ascii="Arial" w:cs="Arial" w:eastAsia="Arial" w:hAnsi="Arial"/>
          <w:b w:val="false"/>
          <w:bCs w:val="false"/>
          <w:color w:val="333333"/>
          <w:sz w:val="22"/>
          <w:szCs w:val="22"/>
        </w:rPr>
        <w:t xml:space="preserve">Ce projet de Business Intelligence démontre la faisabilité et la pertinence de l'application des concepts de Système d'Information Décisionnel au domaine de l'éducation supérieure. En s'appuyant sur une architecture rigoureuse — entrepôt de données MySQL modélisé selon les principes de Kimball, pipeline ETL Talend complet, et tableau de bord Power BI publié sur le cloud — le système produit des insights analytiques directement actionnables par les décideurs pédagogiques.</w:t>
      </w:r>
    </w:p>
    <w:p>
      <w:pPr>
        <w:spacing w:after="80" w:before="80"/>
      </w:pPr>
      <w:r>
        <w:t xml:space="preserve"/>
      </w:r>
    </w:p>
    <w:p>
      <w:pPr>
        <w:spacing w:after="100" w:before="100"/>
        <w:jc w:val="both"/>
      </w:pPr>
      <w:r>
        <w:rPr>
          <w:rFonts w:ascii="Arial" w:cs="Arial" w:eastAsia="Arial" w:hAnsi="Arial"/>
          <w:b w:val="false"/>
          <w:bCs w:val="false"/>
          <w:color w:val="333333"/>
          <w:sz w:val="22"/>
          <w:szCs w:val="22"/>
        </w:rPr>
        <w:t xml:space="preserve">La modélisation multidimensionnelle enrichie, fondée sur des références bibliographiques solides (thèse SUEBANG, 2022), offre une profondeur analytique rare dans les outils de suivi académique classiques : au-delà des simples taux de réussite, le système permet d'explorer les corrélations entre performance académique et facteurs socio-économiques, sanitaires et sociaux, ouvrant la voie à une approche véritablement holistique et préventive de la gestion de la réussite étudiante.</w:t>
      </w:r>
    </w:p>
    <w:p>
      <w:pPr>
        <w:spacing w:after="80" w:before="80"/>
      </w:pPr>
      <w:r>
        <w:t xml:space="preserve"/>
      </w:r>
    </w:p>
    <w:p>
      <w:pPr>
        <w:pBdr>
          <w:top w:val="single" w:color="2E75B6" w:sz="4"/>
          <w:bottom w:val="single" w:color="2E75B6" w:sz="4"/>
          <w:left w:val="thick" w:color="2E75B6" w:sz="8"/>
          <w:right w:val="single" w:color="CCCCCC" w:sz="1"/>
        </w:pBdr>
        <w:shd w:fill="EFF4FB" w:val="clear"/>
        <w:spacing w:after="160" w:before="160"/>
        <w:ind w:left="360" w:right="360"/>
        <w:jc w:val="both"/>
      </w:pPr>
      <w:r>
        <w:rPr>
          <w:rFonts w:ascii="Arial" w:cs="Arial" w:eastAsia="Arial" w:hAnsi="Arial"/>
          <w:color w:val="1F4E79"/>
          <w:sz w:val="21"/>
          <w:szCs w:val="21"/>
        </w:rPr>
        <w:t xml:space="preserve">Le déploiement sur Power BI Service marque l'entrée du projet dans sa phase opérationnelle. Le tableau de bord, accessible depuis n'importe quel navigateur, constitue désormais un outil de pilotage concret pour les responsables pédagogiques — transformant les données académiques brutes en connaissance décisionnelle, conformément à l'ambition fondatrice des Systèmes d'Information Décisionnels.</w:t>
      </w:r>
    </w:p>
    <w:p>
      <w:r>
        <w:br w:type="page"/>
      </w:r>
    </w:p>
    <w:p>
      <w:pPr>
        <w:pStyle w:val="Heading1"/>
        <w:pBdr>
          <w:bottom w:val="single" w:color="1F4E79" w:sz="8" w:space="4"/>
        </w:pBdr>
        <w:spacing w:after="200" w:before="480"/>
      </w:pPr>
      <w:r>
        <w:rPr>
          <w:rFonts w:ascii="Arial" w:cs="Arial" w:eastAsia="Arial" w:hAnsi="Arial"/>
          <w:b/>
          <w:bCs/>
          <w:color w:val="1F4E79"/>
          <w:sz w:val="32"/>
          <w:szCs w:val="32"/>
        </w:rPr>
        <w:t xml:space="preserve">Références Bibliographiques</w:t>
      </w:r>
    </w:p>
    <w:p>
      <w:pPr>
        <w:spacing w:after="80" w:before="80"/>
      </w:pPr>
      <w:r>
        <w:t xml:space="preserve"/>
      </w:r>
    </w:p>
    <w:p>
      <w:pPr>
        <w:spacing w:after="100" w:before="100"/>
        <w:jc w:val="both"/>
      </w:pPr>
      <w:r>
        <w:rPr>
          <w:rFonts w:ascii="Arial" w:cs="Arial" w:eastAsia="Arial" w:hAnsi="Arial"/>
          <w:b w:val="false"/>
          <w:bCs w:val="false"/>
          <w:color w:val="333333"/>
          <w:sz w:val="22"/>
          <w:szCs w:val="22"/>
        </w:rPr>
        <w:t xml:space="preserve">INMON, W. H. (1996). Building the Data Warehouse (2nd ed.). John Wiley &amp; Sons. — Définition fondatrice du concept d'entrepôt de données et de ses quatre propriétés essentielles (orienté sujet, intégré, non volatil, historisé).</w:t>
      </w:r>
    </w:p>
    <w:p>
      <w:pPr>
        <w:spacing w:after="80" w:before="80"/>
      </w:pPr>
      <w:r>
        <w:t xml:space="preserve"/>
      </w:r>
    </w:p>
    <w:p>
      <w:pPr>
        <w:spacing w:after="100" w:before="100"/>
        <w:jc w:val="both"/>
      </w:pPr>
      <w:r>
        <w:rPr>
          <w:rFonts w:ascii="Arial" w:cs="Arial" w:eastAsia="Arial" w:hAnsi="Arial"/>
          <w:b w:val="false"/>
          <w:bCs w:val="false"/>
          <w:color w:val="333333"/>
          <w:sz w:val="22"/>
          <w:szCs w:val="22"/>
        </w:rPr>
        <w:t xml:space="preserve">KIMBALL, R., &amp; ROSS, M. (2013). The Data Warehouse Toolkit: The Definitive Guide to Dimensional Modeling (3rd ed.). John Wiley &amp; Sons. — Référence principale pour la modélisation multidimensionnelle, le schéma en étoile, les Slowly Changing Dimensions et les bonnes pratiques de conception.</w:t>
      </w:r>
    </w:p>
    <w:p>
      <w:pPr>
        <w:spacing w:after="80" w:before="80"/>
      </w:pPr>
      <w:r>
        <w:t xml:space="preserve"/>
      </w:r>
    </w:p>
    <w:p>
      <w:pPr>
        <w:spacing w:after="100" w:before="100"/>
        <w:jc w:val="both"/>
      </w:pPr>
      <w:r>
        <w:rPr>
          <w:rFonts w:ascii="Arial" w:cs="Arial" w:eastAsia="Arial" w:hAnsi="Arial"/>
          <w:b w:val="false"/>
          <w:bCs w:val="false"/>
          <w:color w:val="333333"/>
          <w:sz w:val="22"/>
          <w:szCs w:val="22"/>
        </w:rPr>
        <w:t xml:space="preserve">SUEBANG, A. R. (2022). Facteurs déterminants du décrochage des études au premier cycle universitaire : cas de la FALSH, Université de Yaoundé I. Thèse de Doctorat/Ph.D., FSE-UY1. — Référence bibliographique principale pour la modélisation des facteurs de risque académique contextualisés en Afrique subsaharienne.</w:t>
      </w:r>
    </w:p>
    <w:p>
      <w:pPr>
        <w:spacing w:after="80" w:before="80"/>
      </w:pPr>
      <w:r>
        <w:t xml:space="preserve"/>
      </w:r>
    </w:p>
    <w:p>
      <w:pPr>
        <w:spacing w:after="100" w:before="100"/>
        <w:jc w:val="both"/>
      </w:pPr>
      <w:r>
        <w:rPr>
          <w:rFonts w:ascii="Arial" w:cs="Arial" w:eastAsia="Arial" w:hAnsi="Arial"/>
          <w:b w:val="false"/>
          <w:bCs w:val="false"/>
          <w:color w:val="333333"/>
          <w:sz w:val="22"/>
          <w:szCs w:val="22"/>
        </w:rPr>
        <w:t xml:space="preserve">CODD, E. F. (1993). Providing OLAP to User-Analysts: An IT Mandate. E.F. Codd &amp; Associates. — Article fondateur définissant les 12 règles des systèmes OLAP.</w:t>
      </w:r>
    </w:p>
    <w:p>
      <w:pPr>
        <w:spacing w:after="80" w:before="80"/>
      </w:pPr>
      <w:r>
        <w:t xml:space="preserve"/>
      </w:r>
    </w:p>
    <w:p>
      <w:pPr>
        <w:spacing w:after="100" w:before="100"/>
        <w:jc w:val="both"/>
      </w:pPr>
      <w:r>
        <w:rPr>
          <w:rFonts w:ascii="Arial" w:cs="Arial" w:eastAsia="Arial" w:hAnsi="Arial"/>
          <w:b w:val="false"/>
          <w:bCs w:val="false"/>
          <w:color w:val="333333"/>
          <w:sz w:val="22"/>
          <w:szCs w:val="22"/>
        </w:rPr>
        <w:t xml:space="preserve">MICROSOFT CORPORATION. (2024). Power BI Documentation. Microsoft Learn. https://docs.microsoft.com/power-bi/ — Documentation officielle de Power BI Desktop et Power BI Service.</w:t>
      </w:r>
    </w:p>
    <w:p>
      <w:pPr>
        <w:spacing w:after="80" w:before="80"/>
      </w:pPr>
      <w:r>
        <w:t xml:space="preserve"/>
      </w:r>
    </w:p>
    <w:p>
      <w:pPr>
        <w:spacing w:after="100" w:before="100"/>
        <w:jc w:val="both"/>
      </w:pPr>
      <w:r>
        <w:rPr>
          <w:rFonts w:ascii="Arial" w:cs="Arial" w:eastAsia="Arial" w:hAnsi="Arial"/>
          <w:b w:val="false"/>
          <w:bCs w:val="false"/>
          <w:color w:val="333333"/>
          <w:sz w:val="22"/>
          <w:szCs w:val="22"/>
        </w:rPr>
        <w:t xml:space="preserve">TALEND. (2024). Talend Open Studio for Data Integration — User Guide (v8.x). Talend Inc. — Documentation officielle de l'outil ETL utilisé dans ce projet.</w:t>
      </w:r>
    </w:p>
    <w:p>
      <w:pPr>
        <w:spacing w:after="80" w:before="80"/>
      </w:pPr>
      <w:r>
        <w:t xml:space="preserve"/>
      </w:r>
    </w:p>
    <w:p>
      <w:pPr>
        <w:spacing w:after="100" w:before="100"/>
        <w:jc w:val="both"/>
      </w:pPr>
      <w:r>
        <w:rPr>
          <w:rFonts w:ascii="Arial" w:cs="Arial" w:eastAsia="Arial" w:hAnsi="Arial"/>
          <w:b w:val="false"/>
          <w:bCs w:val="false"/>
          <w:color w:val="333333"/>
          <w:sz w:val="22"/>
          <w:szCs w:val="22"/>
        </w:rPr>
        <w:t xml:space="preserve">FASMI Reference: PENDSE, N., &amp; CREETH, R. (1995). The OLAP Report: Fast Analysis of Shared Multidimensional Information. — Définition des caractéristiques FASMI comme alternative aux règles de Codd pour la qualification des outils OLAP.</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666666"/>
        <w:sz w:val="16"/>
        <w:szCs w:val="16"/>
      </w:rPr>
      <w:t xml:space="preserve">Rapport Projet BI — Analyse des Indicateurs de Performance dans l'Éducation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2026-05-03T15:57:17.871Z</dcterms:created>
  <dcterms:modified xsi:type="dcterms:W3CDTF">2026-05-03T15:57:17.889Z</dcterms:modified>
</cp:coreProperties>
</file>

<file path=docProps/custom.xml><?xml version="1.0" encoding="utf-8"?>
<Properties xmlns="http://schemas.openxmlformats.org/officeDocument/2006/custom-properties" xmlns:vt="http://schemas.openxmlformats.org/officeDocument/2006/docPropsVTypes"/>
</file>