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March 1, 2024 (the Effective Date) by and between:</w:t>
      </w:r>
    </w:p>
    <w:p>
      <w:r>
        <w:t>Acme Corporation, a Delaware corporation with its principal place of business at 123 Main Street, San Francisco, CA 94105 (Client)</w:t>
      </w:r>
    </w:p>
    <w:p>
      <w:r>
        <w:t>TechVendor Inc., a New York corporation with its principal place of business at 456 Park Avenue, New York, NY 10022 (Vendor)</w:t>
      </w:r>
    </w:p>
    <w:p>
      <w:pPr>
        <w:pStyle w:val="Heading1"/>
      </w:pPr>
      <w:r>
        <w:t>1. TERM</w:t>
      </w:r>
    </w:p>
    <w:p>
      <w:r>
        <w:t>This Agreement shall commence on the Effective Date and continue through February 28, 2026, unless earlier terminated. This Agreement shall automatically renew for successive one-year periods unless either party provides written notice of non-renewal at least 60 days prior to the expiration of the then-current term.</w:t>
      </w:r>
    </w:p>
    <w:p>
      <w:pPr>
        <w:pStyle w:val="Heading1"/>
      </w:pPr>
      <w:r>
        <w:t>2. SERVICES AND FEES</w:t>
      </w:r>
    </w:p>
    <w:p>
      <w:r>
        <w:t>Vendor shall provide software development and consulting services as described in each Statement of Work. The total contract value shall not exceed USD 480,000 over the initial term. Client shall pay all undisputed invoices within Net 30 days of receipt.</w:t>
      </w:r>
    </w:p>
    <w:p>
      <w:pPr>
        <w:pStyle w:val="Heading1"/>
      </w:pPr>
      <w:r>
        <w:t>3. SERVICE LEVELS</w:t>
      </w:r>
    </w:p>
    <w:p>
      <w:r>
        <w:t>Vendor shall ensure 99.9% uptime for all production systems. Critical support tickets shall be acknowledged within 1 hour and resolved within 4 hours. Non-critical tickets shall be resolved within 2 business days.</w:t>
      </w:r>
    </w:p>
    <w:p>
      <w:pPr>
        <w:pStyle w:val="Heading1"/>
      </w:pPr>
      <w:r>
        <w:t>4. OBLIGATIONS</w:t>
      </w:r>
    </w:p>
    <w:p>
      <w:r>
        <w:t>Vendor shall: (a) provide qualified personnel for all engagements; (b) maintain industry-standard security practices; (c) deliver monthly status reports; (d) comply with all applicable laws and regulations.</w:t>
      </w:r>
    </w:p>
    <w:p>
      <w:r>
        <w:t>Client shall: (a) provide timely access to systems and personnel; (b) review and approve deliverables within 10 business days; (c) pay all invoices on time.</w:t>
      </w:r>
    </w:p>
    <w:p>
      <w:pPr>
        <w:pStyle w:val="Heading1"/>
      </w:pPr>
      <w:r>
        <w:t>5. LIABILITY</w:t>
      </w:r>
    </w:p>
    <w:p>
      <w:r>
        <w:t>Each party total aggregate liability under this Agreement shall not exceed USD 960,000, representing two times the total fees paid or payable in the twelve months preceding the claim.</w:t>
      </w:r>
    </w:p>
    <w:p>
      <w:pPr>
        <w:pStyle w:val="Heading1"/>
      </w:pPr>
      <w:r>
        <w:t>6. GOVERNING LAW</w:t>
      </w:r>
    </w:p>
    <w:p>
      <w:r>
        <w:t>This Agreement shall be governed by and construed in accordance with the laws of the State of New York, without regard to its conflict of laws principles.</w:t>
      </w:r>
    </w:p>
    <w:p>
      <w:pPr>
        <w:pStyle w:val="Heading1"/>
      </w:pPr>
      <w:r>
        <w:t>7. TERMINATION</w:t>
      </w:r>
    </w:p>
    <w:p>
      <w:r>
        <w:t>Either party may terminate this Agreement for convenience upon 90 days written notice to the other party. Either party may terminate immediately upon material breach if such breach remains uncured for 30 days after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