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 w:line="240" w:lineRule="auto"/>
      </w:pPr>
      <w:r>
        <w:rPr>
          <w:b/>
          <w:sz w:val="30"/>
          <w:color w:val="0F172A"/>
        </w:rPr>
        <w:t xml:space="preserve">Universal Composable Architecture for Operational Intelligence &amp; Action</w:t>
      </w:r>
    </w:p>
    <w:p>
      <w:pPr>
        <w:spacing w:before="0" w:after="120" w:line="240" w:lineRule="auto"/>
      </w:pPr>
      <w:r>
        <w:rPr>
          <w:i/>
          <w:sz w:val="18"/>
          <w:color w:val="475569"/>
        </w:rPr>
        <w:t xml:space="preserve">A Standard Reference Architecture for Event Ingestion, Digital Twin Ontology, Dynamic Verification, and Reversible External Actions</w:t>
      </w:r>
    </w:p>
    <w:p>
      <w:pPr>
        <w:pBdr>
          <w:left w:val="single" w:sz="24" w:space="12" w:color="0284C7"/>
        </w:pBdr>
        <w:shd w:val="clear" w:color="auto" w:fill="F0F9FF"/>
        <w:spacing w:before="80" w:after="80" w:line="240" w:lineRule="auto"/>
        <w:ind w:left="160" w:right="120"/>
      </w:pPr>
      <w:r>
        <w:rPr>
          <w:b/>
          <w:sz w:val="19"/>
          <w:color w:val="0284C7"/>
        </w:rPr>
        <w:t xml:space="preserve">Core Architectural Thesis: </w:t>
      </w:r>
      <w:r>
        <w:rPr>
          <w:sz w:val="18"/>
          <w:color w:val="334155"/>
        </w:rPr>
        <w:t xml:space="preserve">Legacy and modern enterprise systems of record are essential but slow, siloed, and non-reactive. This architecture establishes a non-invasive, autonomous operational layer that continuously ingests disparate transactions, binds them to a living digital twin, evaluates deterministic guardrails, and executes verifiable, reversible interventions with zero modification to underlying transactional databases.</w:t>
      </w:r>
    </w:p>
    <w:p>
      <w:pPr>
        <w:spacing w:before="100" w:after="60" w:line="240" w:lineRule="auto"/>
      </w:pPr>
      <w:r>
        <w:rPr>
          <w:b/>
          <w:sz w:val="22"/>
          <w:color w:val="1E3A8A"/>
        </w:rPr>
        <w:t xml:space="preserve">1. The Universal 6-Layer Architecture Stack</w:t>
      </w:r>
    </w:p>
    <w:tbl>
      <w:tblPr>
        <w:tblW w:w="96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</w:tblBorders>
      </w:tblPr>
      <w:tr>
        <w:tc>
          <w:tcPr>
            <w:tcW w:w="2200" w:type="dxa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sz w:val="18"/>
                <w:color w:val="0F172A"/>
              </w:rPr>
              <w:t xml:space="preserve">Layer</w:t>
            </w:r>
          </w:p>
        </w:tc>
        <w:tc>
          <w:tcPr>
            <w:tcW w:w="4600" w:type="dxa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sz w:val="18"/>
                <w:color w:val="0F172A"/>
              </w:rPr>
              <w:t xml:space="preserve">Core Functional Responsibility</w:t>
            </w:r>
          </w:p>
        </w:tc>
        <w:tc>
          <w:tcPr>
            <w:tcW w:w="2800" w:type="dxa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sz w:val="18"/>
                <w:color w:val="0F172A"/>
              </w:rPr>
              <w:t xml:space="preserve">Universal Mechanism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sz w:val="17"/>
                <w:color w:val="1E293B"/>
              </w:rPr>
              <w:t xml:space="preserve">1. Universal Ingestion &amp; Edge Adapters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Accepts multi-modal payloads across synchronous REST/GraphQL, Webhooks, binary file streams, and unstructured documents.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Schema introspection, PII redaction, RFC-7636 PKCE auth, cryptographic intake hashing.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sz w:val="17"/>
                <w:color w:val="1E293B"/>
              </w:rPr>
              <w:t xml:space="preserve">2. Multi-Tenant Broker &amp; State Fabric</w:t>
            </w:r>
          </w:p>
        </w:tc>
        <w:tc>
          <w:tcPr>
            <w:tcW w:w="4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Decouples producers and consumers with strict logical/physical isolation, backpressure handling, and distributed concurrency control.</w:t>
            </w:r>
          </w:p>
        </w:tc>
        <w:tc>
          <w:tcPr>
            <w:tcW w:w="2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Triple-Broker: Distributed Locks (Key-Value), Priority Queues (AMQP), and Append-Only Logs (Event Stream).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sz w:val="17"/>
                <w:color w:val="1E293B"/>
              </w:rPr>
              <w:t xml:space="preserve">3. Living Ontology &amp; Digital Twin Graph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Constructs a real-time semantic knowledge graph linking transactions, counter-parties, contracts, and physical assets.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Dynamic entity-relationship binding, temporal state tracking, multidimensional graph traversal.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sz w:val="17"/>
                <w:color w:val="1E293B"/>
              </w:rPr>
              <w:t xml:space="preserve">4. Deterministic Policy Decision Engine</w:t>
            </w:r>
          </w:p>
        </w:tc>
        <w:tc>
          <w:tcPr>
            <w:tcW w:w="4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Evaluates real-time business guardrails, variance calculations, SLA tracking, and regulatory compliance constraints.</w:t>
            </w:r>
          </w:p>
        </w:tc>
        <w:tc>
          <w:tcPr>
            <w:tcW w:w="2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Zero-code threshold rules, multi-way variance matching (Obligation vs Claim vs Fulfillment), anomaly alerts.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sz w:val="17"/>
                <w:color w:val="1E293B"/>
              </w:rPr>
              <w:t xml:space="preserve">5. Closed-Loop Action &amp; Execution Plane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Transforms intelligence into transactional interventions in external systems with guaranteed idempotency and auditability.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Automated holds/blocks, credit/dispute dispatch, 1-click human-in-the-loop override with cryptographic seals.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b/>
                <w:sz w:val="17"/>
                <w:color w:val="1E293B"/>
              </w:rPr>
              <w:t xml:space="preserve">6. Observability &amp; Forensic Audit Ledger</w:t>
            </w:r>
          </w:p>
        </w:tc>
        <w:tc>
          <w:tcPr>
            <w:tcW w:w="4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Quantifies business value protected, operational cycle-time reduction, and forensic compliance evidence.</w:t>
            </w:r>
          </w:p>
        </w:tc>
        <w:tc>
          <w:tcPr>
            <w:tcW w:w="2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20" w:lineRule="auto"/>
            </w:pPr>
            <w:r>
              <w:rPr>
                <w:sz w:val="17"/>
                <w:color w:val="1E293B"/>
              </w:rPr>
              <w:t xml:space="preserve">Immutable audit stream, SOX/SOC2 tamper-evident hashing, real-time executive ROI telemetry.</w:t>
            </w:r>
          </w:p>
        </w:tc>
      </w:tr>
    </w:tbl>
    <w:p>
      <w:pPr>
        <w:spacing w:before="120" w:after="60" w:line="240" w:lineRule="auto"/>
      </w:pPr>
      <w:r>
        <w:rPr>
          <w:b/>
          <w:sz w:val="22"/>
          <w:color w:val="1E3A8A"/>
        </w:rPr>
        <w:t xml:space="preserve">2. Standard Lifecycle: Intake → Contextualize → Verify → Act</w:t>
      </w:r>
    </w:p>
    <w:p>
      <w:pPr>
        <w:spacing w:before="0" w:after="80" w:line="240" w:lineRule="auto"/>
      </w:pPr>
      <w:r>
        <w:rPr>
          <w:sz w:val="17"/>
          <w:color w:val="334155"/>
        </w:rPr>
        <w:t xml:space="preserve">1. Intake &amp; Scrub: Upstream systems emit payloads or files. The Edge Adapter extracts normalized fields, redacts PII, and seals the raw payload with SHA-256.
2. Isolated Broker Transit: Payload enters tenant-scoped priority queues with distributed locking to eliminate race conditions and noisy-neighbor interference.
3. Semantic Graph Binding: The event is hydrated against the Digital Twin graph, correlating the incoming record with historical agreements and baseline parameters.
4. Deterministic Verification: Multi-way comparison evaluates tolerance rules (e.g., price creep, volume shortages, unapproved surcharges, tax deviations).
5. Automated Intervention: If compliant, the transaction cleanly posts. If a breach is detected, the platform instantly triggers a downstream hold/block, drafts an itemized dispute memo, and alerts the domain supervisor.
6. Human-in-the-Loop Override: Supervisors can approve or reject holds with 1 click; every decision appends an immutable cryptographic record to the audit log.</w:t>
      </w:r>
    </w:p>
    <w:p>
      <w:pPr>
        <w:spacing w:before="100" w:after="60" w:line="240" w:lineRule="auto"/>
      </w:pPr>
      <w:r>
        <w:rPr>
          <w:b/>
          <w:sz w:val="22"/>
          <w:color w:val="1E3A8A"/>
        </w:rPr>
        <w:t xml:space="preserve">3. Adoption Blueprint for Existing Enterprise Platforms</w:t>
      </w:r>
    </w:p>
    <w:p>
      <w:pPr>
        <w:pBdr>
          <w:left w:val="single" w:sz="24" w:space="12" w:color="059669"/>
        </w:pBdr>
        <w:shd w:val="clear" w:color="auto" w:fill="ECFDF5"/>
        <w:spacing w:before="80" w:after="80" w:line="240" w:lineRule="auto"/>
        <w:ind w:left="160" w:right="120"/>
      </w:pPr>
      <w:r>
        <w:rPr>
          <w:b/>
          <w:sz w:val="19"/>
          <w:color w:val="059669"/>
        </w:rPr>
        <w:t xml:space="preserve">3-Phase Non-Invasive Adoption Methodology: </w:t>
      </w:r>
      <w:r>
        <w:rPr>
          <w:sz w:val="18"/>
          <w:color w:val="334155"/>
        </w:rPr>
        <w:t xml:space="preserve">• Phase 1 (Observer Pattern): Deploy edge connectors as read-only listeners or webhook receivers. Ingest production events into the Broker and observe graph formation with zero operational risk.
• Phase 2 (Shadow Verification): Activate the Deterministic Policy Engine in audit-only mode. Quantify financial discrepancies, workflow bottlenecks, and data variances against live records.
• Phase 3 (Closed-Loop Enforcement): Enable bidirectional write-backs and automated administrative holds. Equip operational managers with 1-click override controls and live executive ROI metrics.</w:t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color w:val="222222"/>
      </w:rPr>
    </w:rPrDefault>
    <w:pPrDefault>
      <w:pPr>
        <w:spacing w:line="240" w:lineRule="auto" w:after="80"/>
      </w:pPr>
    </w:pPrDefault>
  </w:docDefaults>
  <w:style w:type="paragraph" w:styleId="Title">
    <w:name w:val="Title"/>
    <w:pPr>
      <w:spacing w:before="0" w:after="60"/>
    </w:pPr>
    <w:rPr>
      <w:b/>
      <w:sz w:val="34"/>
      <w:color w:val="0F172A"/>
    </w:rPr>
  </w:style>
  <w:style w:type="paragraph" w:styleId="Subtitle">
    <w:name w:val="Subtitle"/>
    <w:pPr>
      <w:spacing w:before="0" w:after="160"/>
    </w:pPr>
    <w:rPr>
      <w:i/>
      <w:sz w:val="19"/>
      <w:color w:val="475569"/>
    </w:rPr>
  </w:style>
  <w:style w:type="paragraph" w:styleId="Heading1">
    <w:name w:val="heading 1"/>
    <w:pPr>
      <w:spacing w:before="140" w:after="60"/>
    </w:pPr>
    <w:rPr>
      <w:b/>
      <w:sz w:val="24"/>
      <w:color w:val="1E3A8A"/>
    </w:rPr>
  </w:style>
  <w:style w:type="paragraph" w:styleId="Heading2">
    <w:name w:val="heading 2"/>
    <w:pPr>
      <w:spacing w:before="100" w:after="40"/>
    </w:pPr>
    <w:rPr>
      <w:b/>
      <w:sz w:val="21"/>
      <w:color w:val="0F766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