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30" w:line="230" w:lineRule="auto"/>
      </w:pPr>
      <w:r>
        <w:rPr>
          <w:b/>
          <w:sz w:val="28"/>
          <w:color w:val="0F172A"/>
        </w:rPr>
        <w:t xml:space="preserve">Universal True Multi-Tenant SaaS Architecture Blueprint</w:t>
      </w:r>
    </w:p>
    <w:p>
      <w:pPr>
        <w:spacing w:before="0" w:after="90" w:line="230" w:lineRule="auto"/>
      </w:pPr>
      <w:r>
        <w:rPr>
          <w:i/>
          <w:sz w:val="17"/>
          <w:color w:val="475569"/>
        </w:rPr>
        <w:t xml:space="preserve">A Domain-Agnostic Reference Architecture for Scalable, Compliant, and Cost-Efficient B2B SaaS Platforms</w:t>
      </w:r>
    </w:p>
    <w:p>
      <w:pPr>
        <w:pBdr>
          <w:left w:val="single" w:sz="24" w:space="10" w:color="0284C7"/>
        </w:pBdr>
        <w:shd w:val="clear" w:color="auto" w:fill="F0F9FF"/>
        <w:spacing w:before="60" w:after="70" w:line="230" w:lineRule="auto"/>
        <w:ind w:left="140" w:right="100"/>
      </w:pPr>
      <w:r>
        <w:rPr>
          <w:b/>
          <w:sz w:val="18"/>
          <w:color w:val="0284C7"/>
        </w:rPr>
        <w:t xml:space="preserve">Definition of 'True SaaS': </w:t>
      </w:r>
      <w:r>
        <w:rPr>
          <w:sz w:val="17"/>
          <w:color w:val="334155"/>
        </w:rPr>
        <w:t xml:space="preserve">A True SaaS architecture runs a single, unified codebase serving N distinct tenant organizations. It strictly decouples the administrative Control Plane (onboarding, billing, entitlements) from the operational Data Plane (business execution, data persistence), guarantees zero cross-tenant data leakage via automated context propagation, and provides seamless tenant scaling from pooled multi-tenancy to dedicated enterprise silos without code modification.</w:t>
      </w:r>
    </w:p>
    <w:p>
      <w:pPr>
        <w:spacing w:before="80" w:after="50" w:line="230" w:lineRule="auto"/>
      </w:pPr>
      <w:r>
        <w:rPr>
          <w:b/>
          <w:sz w:val="21"/>
          <w:color w:val="1E3A8A"/>
        </w:rPr>
        <w:t xml:space="preserve">1. The 5-Pillar Multi-Tenant SaaS Architectural Stack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r>
        <w:tc>
          <w:tcPr>
            <w:tcW w:w="2200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7"/>
                <w:color w:val="0F172A"/>
              </w:rPr>
              <w:t xml:space="preserve">Pillar / Plane</w:t>
            </w:r>
          </w:p>
        </w:tc>
        <w:tc>
          <w:tcPr>
            <w:tcW w:w="4600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7"/>
                <w:color w:val="0F172A"/>
              </w:rPr>
              <w:t xml:space="preserve">Core Functional Responsibility</w:t>
            </w:r>
          </w:p>
        </w:tc>
        <w:tc>
          <w:tcPr>
            <w:tcW w:w="2800" w:type="dxa"/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7"/>
                <w:color w:val="0F172A"/>
              </w:rPr>
              <w:t xml:space="preserve">Standard Implementation Mechanism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6"/>
                <w:color w:val="1E293B"/>
              </w:rPr>
              <w:t xml:space="preserve">1. Edge &amp; Tenant Routing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Identifies tenant identity from hostname ({tenant}.app.com), custom CNAME, or JWT claims; injects tenant context before code execution.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Wildcard DNS, TLS SNI termination, Reverse Proxy Edge Middleware, Tenant Resolver.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6"/>
                <w:color w:val="1E293B"/>
              </w:rPr>
              <w:t xml:space="preserve">2. Identity &amp; Access Governance</w:t>
            </w:r>
          </w:p>
        </w:tc>
        <w:tc>
          <w:tcPr>
            <w:tcW w:w="46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Provides federated enterprise authentication (SAML 2.0 / OIDC), JIT user provisioning, MFA, and hierarchical RBAC / ABAC scoping.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Tenant-scoped User Directory, OAuth 2.0 PKCE, Token Vending Service (tenant_id in JWT claims).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6"/>
                <w:color w:val="1E293B"/>
              </w:rPr>
              <w:t xml:space="preserve">3. Control Plane &amp; Commerce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Manages non-runtime commercial lifecycle: automated onboarding, usage metering, subscription tiering, and dynamic feature entitlement gating.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Stripe/Metronome/Orb webhooks, Entitlements Engine (hasEntitlement(tenant, feature)), Quota Manager.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6"/>
                <w:color w:val="1E293B"/>
              </w:rPr>
              <w:t xml:space="preserve">4. Data Plane &amp; Hybrid Isolation</w:t>
            </w:r>
          </w:p>
        </w:tc>
        <w:tc>
          <w:tcPr>
            <w:tcW w:w="46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Guarantees zero-leakage persistence &amp; execution across Pooled (Row-Level Security) and Siloed (Schema/DB-per-tenant) tiers.</w:t>
            </w:r>
          </w:p>
        </w:tc>
        <w:tc>
          <w:tcPr>
            <w:tcW w:w="28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AsyncLocalStorage / ThreadLocal context propagation, Tenant-aware DB Connection Pool, AMQP vhosts, Kafka topics.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b/>
                <w:sz w:val="16"/>
                <w:color w:val="1E293B"/>
              </w:rPr>
              <w:t xml:space="preserve">5. Observability &amp; Governance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Ensures noisy-neighbor protection, auditability, tenant billing transparency, and compliance (SOC2/GDPR) right to be forgotten.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before="0" w:after="0" w:line="210" w:lineRule="auto"/>
            </w:pPr>
            <w:r>
              <w:rPr>
                <w:sz w:val="16"/>
                <w:color w:val="1E293B"/>
              </w:rPr>
              <w:t xml:space="preserve">Tenant-tagged OpenTelemetry traces &amp; logs, Per-tenant token bucket rate limiting, Automated tenant purge/export.</w:t>
            </w:r>
          </w:p>
        </w:tc>
      </w:tr>
    </w:tbl>
    <w:p>
      <w:pPr>
        <w:spacing w:before="100" w:after="50" w:line="230" w:lineRule="auto"/>
      </w:pPr>
      <w:r>
        <w:rPr>
          <w:b/>
          <w:sz w:val="21"/>
          <w:color w:val="1E3A8A"/>
        </w:rPr>
        <w:t xml:space="preserve">2. Standard True-SaaS Request Flow: Edge to Persistence</w:t>
      </w:r>
    </w:p>
    <w:p>
      <w:pPr>
        <w:spacing w:before="0" w:after="60" w:line="230" w:lineRule="auto"/>
      </w:pPr>
      <w:r>
        <w:rPr>
          <w:sz w:val="16"/>
          <w:color w:val="334155"/>
        </w:rPr>
        <w:t xml:space="preserve">1. Ingress Resolution: Edge gateway extracts Tenant ID from subdomain, custom domain mapping, or Authorization bearer token.
2. Context Injection: Framework middleware binds tenantId, userId, and roleSet to an immutable asynchronous execution context (e.g., AsyncLocalStorage / ThreadLocal). No downstream business method requires manual tenant passing.
3. Entitlement &amp; Quota Verification: Fast in-memory / Redis cache checks verify the tenant's tier has access to the requested feature and remains within metered rate limits (noisy-neighbor protection).
4. Dynamic Storage Routing: Data layer applies tenant isolation based on tenant tier: (a) Appends WHERE tenant_id = :ctx to SQL queries (RLS / Pooled), or (b) Selects tenant-specific DB connection string / schema from the Connection Pool (Siloed).
5. Asynchronous Messaging: Events and worker tasks are dispatched to tenant-scoped queues or partitioned Kafka topics with tenant header routing.
6. Tagged Observability: Structured logs, Prometheus metrics, and distributed spans are automatically stamped with tenant_id for forensic audits.</w:t>
      </w:r>
    </w:p>
    <w:p>
      <w:pPr>
        <w:spacing w:before="80" w:after="50" w:line="230" w:lineRule="auto"/>
      </w:pPr>
      <w:r>
        <w:rPr>
          <w:b/>
          <w:sz w:val="21"/>
          <w:color w:val="1E3A8A"/>
        </w:rPr>
        <w:t xml:space="preserve">3. Blueprint for Adopting True SaaS in Existing Products</w:t>
      </w:r>
    </w:p>
    <w:p>
      <w:pPr>
        <w:pBdr>
          <w:left w:val="single" w:sz="24" w:space="10" w:color="059669"/>
        </w:pBdr>
        <w:shd w:val="clear" w:color="auto" w:fill="ECFDF5"/>
        <w:spacing w:before="60" w:after="70" w:line="230" w:lineRule="auto"/>
        <w:ind w:left="140" w:right="100"/>
      </w:pPr>
      <w:r>
        <w:rPr>
          <w:b/>
          <w:sz w:val="18"/>
          <w:color w:val="059669"/>
        </w:rPr>
        <w:t xml:space="preserve">4-Step Migration Playbook: </w:t>
      </w:r>
      <w:r>
        <w:rPr>
          <w:sz w:val="17"/>
          <w:color w:val="334155"/>
        </w:rPr>
        <w:t xml:space="preserve">• Step 1 (Context Decoupling): Introduce a global Tenant Context Provider. Strip hardcoded company IDs and replace with request-bound context.
• Step 2 (Database RLS or Schema Switching): Add tenant_id to all tables with Postgres Row-Level Security (RLS) or implement dynamic multi-pool routing.
• Step 3 (Extract the Control Plane): Move user onboarding, subscription billing, and feature flags out of application code into a dedicated tenant orchestrator.
• Step 4 (Noisy Neighbor Defense): Implement per-tenant Redis rate limiters, isolated broker vhosts/topics, and tenant-correlated OpenTelemetry tracing.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color w:val="1E293B"/>
      </w:rPr>
    </w:rPrDefault>
    <w:pPrDefault>
      <w:pPr>
        <w:spacing w:line="230" w:lineRule="auto" w:after="7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