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Arial" w:hAnsi="Arial"/>
          <w:b/>
          <w:color w:val="0F172A"/>
          <w:sz w:val="48"/>
        </w:rPr>
        <w:t>Enterprise ERP Modernization Specification</w:t>
      </w:r>
    </w:p>
    <w:p>
      <w:pPr>
        <w:spacing w:after="480"/>
        <w:jc w:val="center"/>
      </w:pPr>
      <w:r>
        <w:rPr>
          <w:rFonts w:ascii="Arial" w:hAnsi="Arial"/>
          <w:i/>
          <w:color w:val="2563EB"/>
          <w:sz w:val="26"/>
        </w:rPr>
        <w:t>Architectural Blueprint &amp; Implementation Guide: Reverse-Engineering iDempiere into Gigalibs with Medusa UI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8"/>
              </w:rPr>
              <w:t>Document Status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sz w:val="18"/>
              </w:rPr>
              <w:t>Production Engineering Master Specification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8"/>
              </w:rPr>
              <w:t>Target Stack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sz w:val="18"/>
              </w:rPr>
              <w:t>TypeScript 5.x, Next.js 15 (React 19), NestJS (Fastify), PostgreSQL 16+ RLS, Medusa UI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8"/>
              </w:rPr>
              <w:t>Source Foundation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sz w:val="18"/>
              </w:rPr>
              <w:t>iDempiere ERP/CRM/SCM 20-Year Active Data Dictionary &amp; Core Engines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8"/>
              </w:rPr>
              <w:t>Target Monorepo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sz w:val="18"/>
              </w:rPr>
              <w:t>/Users/rayapudi/dev/gigalibs (Workspaces, BullMQ, Prisma, Turborepo)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Strategic Architectural Vision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The objective of this engineering initiative is to modernize the comprehensive enterprise business intelligence of iDempiere into Gigalibs without inheriting legacy anti-patterns. An audit of iDempiere revealed 4,569 Java source files comprising 1,454,820 lines of code, coupled with 2,346 PostgreSQL migration scripts containing 460,518 lines of SQL. Over 85% of this codebase consists of auto-generated active record models (X_*.java) and legacy OSGi / ZK desktop UI wrappers.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Rather than an impossible 1:1 file conversion, our approach reverse-engineers the mathematical invariants, transactional state machines, and relational domain schemas of iDempiere directly into a clean, cloud-native TypeScript and Medusa UI ecosystem.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Kernel-Enforced Tenancy: </w:t>
      </w:r>
      <w:r>
        <w:rPr>
          <w:rFonts w:ascii="Arial" w:hAnsi="Arial"/>
          <w:color w:val="334155"/>
          <w:sz w:val="20"/>
        </w:rPr>
        <w:t>Hardware-Level PostgreSQL 16 Row-Level Security (RLS) replacing legacy string-concatenated SQL filters.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DocAction Transaction Engine: </w:t>
      </w:r>
      <w:r>
        <w:rPr>
          <w:rFonts w:ascii="Arial" w:hAnsi="Arial"/>
          <w:color w:val="334155"/>
          <w:sz w:val="20"/>
        </w:rPr>
        <w:t>Two-phase commit state machine (prepareIt -&gt; completeIt) with pessimistic row locks (SELECT FOR UPDATE) preventing concurrency corruption.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Universal Business Partner: </w:t>
      </w:r>
      <w:r>
        <w:rPr>
          <w:rFonts w:ascii="Arial" w:hAnsi="Arial"/>
          <w:color w:val="334155"/>
          <w:sz w:val="20"/>
        </w:rPr>
        <w:t>Unified Customer, Vendor, and Employee profile eliminating master data duplication across sales and procurement.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General Ledger Engine: </w:t>
      </w:r>
      <w:r>
        <w:rPr>
          <w:rFonts w:ascii="Arial" w:hAnsi="Arial"/>
          <w:color w:val="334155"/>
          <w:sz w:val="20"/>
        </w:rPr>
        <w:t>Automated, zero-touch double-entry bookkeeping (Fact_Acct) posting in real-time upon document completion.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Material Ledger (WMS): </w:t>
      </w:r>
      <w:r>
        <w:rPr>
          <w:rFonts w:ascii="Arial" w:hAnsi="Arial"/>
          <w:color w:val="334155"/>
          <w:sz w:val="20"/>
        </w:rPr>
        <w:t>Real-time Available-to-Promise (ATP) calculation with physical multi-locator tracking (Aisle-Bay-Shelf).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Medusa UI Engine: </w:t>
      </w:r>
      <w:r>
        <w:rPr>
          <w:rFonts w:ascii="Arial" w:hAnsi="Arial"/>
          <w:color w:val="334155"/>
          <w:sz w:val="20"/>
        </w:rPr>
        <w:t>Composable, high-density, accessible React 19 interface leveraging @medusajs/ui components (DataTable, FocusModal, Drawer, CommandBar).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Core Enterprise Foundations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2.1 Two-Tier Multi-Tenant &amp; Multi-Organization Architecture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Gigalibs currently operates on a single-tier tenancy model (Tenant + Department). To support multinational holding companies, franchises, and regional branch operations, it must adopt iDempiere's proven two-tier separation: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Tier 1: Tenant (Client) — </w:t>
      </w:r>
      <w:r>
        <w:rPr>
          <w:rFonts w:ascii="Arial" w:hAnsi="Arial"/>
          <w:color w:val="334155"/>
          <w:sz w:val="20"/>
        </w:rPr>
        <w:t>AD_Client represents the strict legal and data boundary. Tenants share zero transactional or customer records.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Tier 2: Organization (Org) — </w:t>
      </w:r>
      <w:r>
        <w:rPr>
          <w:rFonts w:ascii="Arial" w:hAnsi="Arial"/>
          <w:color w:val="334155"/>
          <w:sz w:val="20"/>
        </w:rPr>
        <w:t>AD_Org represents operating units within a tenant (Legal Entities, Branches, Distribution Centers, Cost Centers).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Shared Master Data (Org 0) — </w:t>
      </w:r>
      <w:r>
        <w:rPr>
          <w:rFonts w:ascii="Arial" w:hAnsi="Arial"/>
          <w:color w:val="334155"/>
          <w:sz w:val="20"/>
        </w:rPr>
        <w:t>Master catalogs (Products, Standard Price Lists, Tax Rules, Chart of Accounts) assigned to organizationId = null are inherited by all child branches. Branches only store location-specific transactions.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r>
              <w:rPr>
                <w:rFonts w:ascii="Arial" w:hAnsi="Arial"/>
                <w:b/>
                <w:color w:val="2563EB"/>
                <w:sz w:val="19"/>
              </w:rPr>
              <w:t xml:space="preserve">[MANDATORY SECURITY DIRECTIVE] </w:t>
            </w:r>
            <w:r>
              <w:rPr>
                <w:rFonts w:ascii="Arial" w:hAnsi="Arial"/>
                <w:color w:val="334155"/>
                <w:sz w:val="19"/>
              </w:rPr>
              <w:t>In Gigalibs, query isolation must be upgraded from manual tenantWhere() helper wrappers to a Prisma Client Extension ($extends) that automatically splices tenantId and organizationId into every query AST, backed by native PostgreSQL RLS policies.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2.2 Document Engine (DocAction) State Machine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Business documents (Sales Orders, Invoices, Material Receipts, Payments) must adhere to a strict finite state machine rather than arbitrary status strings. Concurrency safety is guaranteed via pessimistic locking (SELECT FOR UPDATE NOWAIT).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Document Status Lifecycle: </w:t>
      </w:r>
      <w:r>
        <w:rPr>
          <w:rFonts w:ascii="Arial" w:hAnsi="Arial"/>
          <w:color w:val="334155"/>
          <w:sz w:val="20"/>
        </w:rPr>
        <w:t>DRAFT -&gt; PREPARED -&gt; APPROVED -&gt; COMPLETED -&gt; CLOSED / VOIDED / REVERSED.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1: prepareIt() — </w:t>
      </w:r>
      <w:r>
        <w:rPr>
          <w:rFonts w:ascii="Arial" w:hAnsi="Arial"/>
          <w:color w:val="334155"/>
          <w:sz w:val="20"/>
        </w:rPr>
        <w:t>Acquires database lock, validates open fiscal period, checks business partner credit limits, explodes bill of materials, reserves stock, and calculates multi-tier tax lines.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2: completeIt() — </w:t>
      </w:r>
      <w:r>
        <w:rPr>
          <w:rFonts w:ascii="Arial" w:hAnsi="Arial"/>
          <w:color w:val="334155"/>
          <w:sz w:val="20"/>
        </w:rPr>
        <w:t>Locks document against modifications, generates downstream logistics documents, deducts physical stock, and triggers automated General Ledger posting.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3: reverseCorrectIt() — </w:t>
      </w:r>
      <w:r>
        <w:rPr>
          <w:rFonts w:ascii="Arial" w:hAnsi="Arial"/>
          <w:color w:val="334155"/>
          <w:sz w:val="20"/>
        </w:rPr>
        <w:t>Finalized financial documents cannot be deleted. Corrections create an exact inverted counter-document referencing the original, preserving total audit compliance.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2.3 Audit Trail &amp; Field-Level Change Logging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Every persistent entity inherits standard audit columns (createdAt, createdBy, updatedAt, updatedBy). In addition, transactional entities stream field-level diffs into an immutable audit table (AD_ChangeLog). Changes compare old memory values against new patch values, recording actor session metadata, old strings, and new strings while filtering out sensitive fields like passwords.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2.4 Dynamic Forms Studio &amp; Metadata Foundation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Gigalibs adopts a 3-tier dynamic form resolution engine: Platform Canon -&gt; Tenant Extension -&gt; Org Customization. Instead of running fragile runtime DDL (ALTER TABLE), custom attributes are stored in a typed JSONB container with PostgreSQL GIN indexing. Next.js 15 renders forms dynamically via a Medusa UI Form Engine backed by isomorphic Zod schemas.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Comprehensive Specifications for the 12 Enterprise Modules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 Universal Business Partner (CRM &amp; Master Data)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Traditional systems isolate Customers, Vendors, and Employees into disjointed tables. This creates master data duplication, prevents cross-module credit control, and makes accounts receivable/payable netting impossible.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C_BPartner, C_BPartner_Location, AD_User, C_BP_Customer_Acct, C_BP_Vendor_Acct.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Counterparty is a single entity with isCustomer, isVendor, isEmployee flags.</w:t>
        <w:br/>
        <w:t>2. Simultaneous AR control account (11200) and AP control account (21100).</w:t>
        <w:br/>
        <w:t>3. Exposure Formula: Open Invoices AR + Uninvoiced Orders - Prepayments &lt;= Credit Limit.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Medusa UI Split-Screen: Filterable DataTable on the left; Detail FocusModal / Drawer on the right with tabbed views (Locations, Contacts, Credit Status, Financials).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Credit exposure calculation under complex prepayment scenarios.</w:t>
        <w:br/>
        <w:t>Integration: Creating an invoice automatically updates partner open balance AR.</w:t>
        <w:br/>
        <w:t>E2E: Sales clerk blocked with Medusa UI Toaster alert when partner is placed on CREDIT_HOLD.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3.2 Order-to-Cash (Sales Orders &amp; Fulfillments)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Sales orders without integrated inventory reservations result in ghost sales (selling items already promised to other clients) and disconnected billing schedules.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C_Order, C_OrderLine, C_OrderTax, M_InOut, M_StorageReservation, DocSubTypeSO.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prepareIt() reserves Available-to-Promise (ATP) stock without moving physical on-hand.</w:t>
        <w:br/>
        <w:t>2. DocSubTypeSO controls automation: Standard (Manual Pick), Warehouse (Auto Pick Slip), POS Cash (Instant Ship &amp; Bill).</w:t>
        <w:br/>
        <w:t>3. Partial delivery tracking: Billed quantity cannot exceed shipped quantity.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High-density Medusa UI editable grid. Sticky footer CommandBar for batch operations (Split Delivery, Apply Discount). Real-time tax breakdown summary container.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Line net total, discount tiering, and jurisdictional sales tax computation.</w:t>
        <w:br/>
        <w:t>Integration: Order completion acquiring DB row lock and writing storage_reservations.</w:t>
        <w:br/>
        <w:t>E2E: Submitting order for 100 units with 60 delivered generates an invoice for exactly 60 units.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3.3 Procurement &amp; Procure-to-Pay (3-Way Matching)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Accounts payable fraud and vendor overbilling occur when bills are paid without mathematically verifying PO prices and physical warehouse receipt quantities.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M_Requisition, C_Order (PO), M_InOut (Receipt), C_Invoice (Bill), C_MatchPO, C_MatchInv.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3-Way Match Verification: Invoiced Qty &lt;= Received Qty &lt;= Ordered Qty.</w:t>
        <w:br/>
        <w:t>2. Price Tolerance Engine: Variances &gt; 1% trigger Invoice Price Variance (IPV) GL postings and payment hold.</w:t>
        <w:br/>
        <w:t>3. Automatic accrual clearing upon invoice matching.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Medusa UI 3-Column Reconciliation Matrix (PO vs Goods Receipt vs AP Bill). Discrepancies highlighted with red/orange Badges. Action Drawer for Debit Memo generation.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Tolerance algorithm checking decimal rounding on multi-currency POs.</w:t>
        <w:br/>
        <w:t>Integration: Receiving material generates uncompleted match_po record.</w:t>
        <w:br/>
        <w:t>E2E: Uploading vendor bill with 10% price markup blocks approval with 'Variance Hold' status.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3.4 Material &amp; Warehouse Management (WMS, Locators &amp; ATP)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Tracking inventory solely by warehouse without locator (Aisle/Bay/Shelf) and lot/serial granularity causes picking delays, stock write-offs, and recall failures.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M_Warehouse, M_Locator, M_StorageOnHand, M_StorageReservation, M_Transaction, M_Cost.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Stock location coordinate: Warehouse -&gt; Aisle (X) -&gt; Bay (Y) -&gt; Shelf (Z).</w:t>
        <w:br/>
        <w:t>2. Available-to-Promise: ATP = QtyOnHand - QtyReserved.</w:t>
        <w:br/>
        <w:t>3. Immutable transaction ledger: Every movement writes an inventory_transaction audit row.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Interactive CSS Grid Warehouse Map. Hover Popovers showing lot numbers and expiry dates. Mobile-first Barcode Scanner Drawer for rapid putaway and picking.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Available-to-Promise calculation preventing negative ATP.</w:t>
        <w:br/>
        <w:t>Integration: Concurrent order reservations handled via atomic PostgreSQL transactions.</w:t>
        <w:br/>
        <w:t>E2E: Warehouse operator moves 50 items between bins; on-hand balance transfers instantly.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3.5 Financial Accounting &amp; General Ledger (Record-to-Report)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Manual journal entries create delayed financial reporting, human accounting errors, and compliance failures under US GAAP and IFRS standards.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C_AcctSchema, C_ElementValue, Fact_Acct, Doc_Invoice, Doc_InOut, Doc_Payment, C_Period.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Zero-Touch Automated Posting: Every operational document generates balanced GL facts.</w:t>
        <w:br/>
        <w:t>2. Mathematical Invariant: Sum(Debits) - Sum(Credits) == 0.0000 per document.</w:t>
        <w:br/>
        <w:t>3. Period Lockdown: Posting to closed fiscal periods throws an unrecoverable exception.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Medusa UI General Ledger DataTable with source document drill-down Drawer. Expandable hierarchical Trial Balance and Balance Sheet tree view.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Debit/credit balancing on multi-line foreign currency invoices.</w:t>
        <w:br/>
        <w:t>Integration: Completing a customer invoice inserts immutable lines into fact_acct.</w:t>
        <w:br/>
        <w:t>E2E: Attempting to post a transaction to a closed accounting period is strictly rejected.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3.6 Manufacturing, Bill of Materials &amp; MRP (Work Orders)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Companies assembling products suffer component stock-outs, inaccurate finished good costing, and manual BOM disassembly errors.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M_BOM, M_BOMProduct, M_Production, M_ProductionLine, M_ProductionPlan.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Multi-level hierarchical recipe resolution (Explosion and Where-Used Implosion).</w:t>
        <w:br/>
        <w:t>2. Atomic production run: Discharges raw materials, stocks finished goods, rolls component costs.</w:t>
        <w:br/>
        <w:t>3. Scrap factor: Component requirement adjusted by scrap allowance percentage.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Medusa UI Hierarchical Tree Component showing sub-assemblies. Component shortage status badges (Green = In Stock, Red = Shortage). FocusModal execution cockpit.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Multi-level BOM cost rollup calculation including scrap percentage.</w:t>
        <w:br/>
        <w:t>Integration: Executing production run deducts 100 raw parts and adds 10 finished machines.</w:t>
        <w:br/>
        <w:t>E2E: Work order release with missing components triggers visual shortage warnings.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3.7 Advanced Supply Chain &amp; Inter-Warehouse Transfers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Moving goods between distant facilities without in-transit accounting leads to phantom inventory spikes and inaccurate balance sheet valuations.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M_Movement, M_MovementLine, M_Replenish, M_Shipper, M_Package.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In-Transit Accounting: Source Warehouse -&gt; In-Transit Virtual Locator -&gt; Dest Warehouse.</w:t>
        <w:br/>
        <w:t>2. GL In-Transit clearance on physical arrival confirmation.</w:t>
        <w:br/>
        <w:t>3. Min-Max Replenishment: Automated order generation when Effective Stock &lt; Minimum Level.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Kanban Transfer Board (Outbound, In-Transit, Receiving). Replenishment Radar table with bulk 'Generate Purchase Orders' action.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Min-max replenishment formula respecting supplier minimum order pack sizes.</w:t>
        <w:br/>
        <w:t>Integration: Dispatched inventory movement moves assets into the in-transit GL account.</w:t>
        <w:br/>
        <w:t>E2E: Confirming receipt at destination warehouse releases in-transit stock into sellable ATP.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3.8 Landed Cost Allocation (Freight, Duty &amp; True Costing)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Failing to capitalize external freight and customs duties into product unit costs results in distorted gross margins and selling products at an undetected loss.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C_LandedCost, C_LandedCostAllocation, M_Cost, M_CostDetail.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Allocation criteria: By Quantity, By Value, By Weight, or By Volume.</w:t>
        <w:br/>
        <w:t>2. Inventory Cost True-Up: Product asset value increased by allocated fractional cost.</w:t>
        <w:br/>
        <w:t>3. Sold Goods Variance: Allocated cost for already-shipped goods posts directly to COGS.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Medusa UI 3-Step Allocation Wizard FocusModal. Side-by-side impact table displaying Original Unit Cost -&gt; Landed Cost -&gt; Adjusted Final Cost.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Value-based cost distribution across multi-item overseas shipping containers.</w:t>
        <w:br/>
        <w:t>Integration: Posting landed cost adjusts product inventory valuation in the ledger.</w:t>
        <w:br/>
        <w:t>E2E: Allocating $3,000 ocean freight across 500 units adjusts unit valuation by exactly $6.00.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3.9 Treasury &amp; Automated Bank Statement Reconciliation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Manual bank reconciliation consumes hundreds of accounting hours monthly and delays visibility into true cash liquidity and unrecorded bank charges.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C_BankAccount, C_BankStatement, C_BankStatementLine, C_Payment.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Ingestion: Parsers for OFX, MT940, and ISO 20022 CAMT.053 electronic bank feeds.</w:t>
        <w:br/>
        <w:t>2. Fuzzy Match Engine: Evaluates amount equality, reference number, and date proximity (+/- 2 days).</w:t>
        <w:br/>
        <w:t>3. Reconciled payment moves funds from 'Cash in Transit' to 'Operating Bank Account'.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Dual-pane T-Account Reconciler in Medusa UI. Confidence Score badges (e.g., 95% Match) with spacebar one-click accept. Direct Bank Fee split drawer.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Fuzzy scoring algorithm matching bank feeds to customer payments.</w:t>
        <w:br/>
        <w:t>Integration: Bank statement reconciliation updates bank account balance and marks line cleared.</w:t>
        <w:br/>
        <w:t>E2E: Uploading 100-line bank statement auto-matches and clears &gt;= 90% of transactions.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3.10 Fixed Asset Management &amp; Depreciation Engine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Manual fixed asset tracking leads to inaccurate balance sheets, missed depreciation tax deductions, and lost physical asset custody.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A_Asset, A_Asset_Group, A_Asset_Acct, A_Depreciation_Workfile, A_Asset_Disposed.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CapEx Capitalization: Links asset acquisition directly to AP invoices and POs.</w:t>
        <w:br/>
        <w:t>2. Straight-Line Monthly Depreciation: (Purchase Cost - Salvage Value) / Useful Life Months.</w:t>
        <w:br/>
        <w:t>3. Disposal Accounting: Auto-calculates gain/loss on asset sale or scrap.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Asset Lifecycle Timeline in Medusa UI. Bulk Monthly Depreciation Run preview table with one-click 'Post to General Ledger' button.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Straight-line and declining-balance depreciation mathematical calculation.</w:t>
        <w:br/>
        <w:t>Integration: Running monthly depreciation inserts balanced FactAcct entries.</w:t>
        <w:br/>
        <w:t>E2E: Selling an asset with $20k book value for $25k posts $5,000 gain on disposal to GL.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3.11 Project Accounting &amp; Work Breakdown Structure (WBS)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Professional services and construction projects suffer budget overruns and delayed billing when project hours and materials are disconnected from invoicing.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C_Project, C_ProjectPhase, C_ProjectTask, C_ProjectLine, C_ProjectIssue.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WBS Hierarchy: Project -&gt; Phases -&gt; Tasks.</w:t>
        <w:br/>
        <w:t>2. Real-time cost accumulation: Material issues from warehouse + employee labor rate matrix.</w:t>
        <w:br/>
        <w:t>3. Dual Billing Modes: Milestone invoice generation or automated Time &amp; Materials billing.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Gantt Timeline Container in Medusa UI. Budget vs Actual burn rate matrix with red/green variance indicators. Employee timesheet approval queue drawer.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Billable amount computation from unbilled timesheets and task hourly rates.</w:t>
        <w:br/>
        <w:t>Integration: Issuing warehouse materials to a project charges Project Work-in-Progress (WIP).</w:t>
        <w:br/>
        <w:t>E2E: Completing project Phase 1 automatically drafts a customer invoice for the milestone fee.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3.12 Returns, Reverse Logistics &amp; RMA (Customer &amp; Vendor)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Business Problem &amp; Context: </w:t>
      </w:r>
      <w:r>
        <w:rPr>
          <w:rFonts w:ascii="Arial" w:hAnsi="Arial"/>
          <w:color w:val="334155"/>
          <w:sz w:val="20"/>
        </w:rPr>
        <w:t>Accepting customer returns without authorization or physical inspection leads to inventory fraud, defective restock leakage, and erroneous refund payouts.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iDempiere Technical Foundation: </w:t>
      </w:r>
      <w:r>
        <w:rPr>
          <w:rFonts w:ascii="Arial" w:hAnsi="Arial"/>
          <w:color w:val="334155"/>
          <w:sz w:val="20"/>
        </w:rPr>
        <w:t>M_RMA, M_RMALine, M_RMAType.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Core Business Rules &amp; Invariants: </w:t>
      </w:r>
      <w:r>
        <w:rPr>
          <w:rFonts w:ascii="Arial" w:hAnsi="Arial"/>
          <w:color w:val="334155"/>
          <w:sz w:val="20"/>
        </w:rPr>
        <w:t>1. Return Material Authorization strictly linked to original Sales Order or Invoice.</w:t>
        <w:br/>
        <w:t>2. Disposition Routing: Inspected items route to Restock (Sellable), Quarantine, or Scrap.</w:t>
        <w:br/>
        <w:t>3. Anti-Fraud Lock: Returned quantity cannot exceed originally invoiced quantity.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Medusa UI UX Pattern: </w:t>
      </w:r>
      <w:r>
        <w:rPr>
          <w:rFonts w:ascii="Arial" w:hAnsi="Arial"/>
          <w:color w:val="334155"/>
          <w:sz w:val="20"/>
        </w:rPr>
        <w:t>RMA Processing Checklist in Medusa UI. RadioGroup disposition selector (Restock, Quarantine, Scrap). One-click Credit Memo generation modal.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Testing &amp; Quality Verification: </w:t>
      </w:r>
      <w:r>
        <w:rPr>
          <w:rFonts w:ascii="Arial" w:hAnsi="Arial"/>
          <w:color w:val="334155"/>
          <w:sz w:val="20"/>
        </w:rPr>
        <w:t>Unit: Validation preventing RMA creation for quantities greater than shipped.</w:t>
        <w:br/>
        <w:t>Integration: Returned restocked item increases sellable ATP and credits customer account.</w:t>
        <w:br/>
        <w:t>E2E: Receiving damaged return routes goods to scrap expense and generates partial credit memo.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Production Verification &amp; Testing Strategy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Every modernized module must achieve 100% compliance across three automated test tiers before deployment to staging or production: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Testing Tier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Target Framework &amp; Scope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  <w:sz w:val="19"/>
              </w:rPr>
              <w:t>Pass Criteria / Gate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Tier 1: Unit Tests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Vitest</w:t>
              <w:br/>
              <w:t>Pure domain functions (tax math, credit exposure, ATP, depreciation formulas, 3-way matching).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100% test coverage on financial calculation engines; zero floating-point math errors.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Tier 2: Integration Tests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Vitest + Testcontainers (PostgreSQL 16)</w:t>
              <w:br/>
              <w:t>ACID transactions, Prisma Client Extensions, RLS policies, DocAction state transitions.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Strict transactional rollback verified; no partial GL entries or unreserved stock leaks.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Tier 3: E2E Tests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Playwright</w:t>
              <w:br/>
              <w:t>Full user browser journeys across Next.js 15 and @medusajs/ui components.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Multi-tenant boundary verification; sub-millisecond keyboard navigation; error toaster validation.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5. Phased Execution Roadmap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1: Foundation &amp; Infrastructure (Weeks 1-2) — </w:t>
      </w:r>
      <w:r>
        <w:rPr>
          <w:rFonts w:ascii="Arial" w:hAnsi="Arial"/>
          <w:color w:val="334155"/>
          <w:sz w:val="20"/>
        </w:rPr>
        <w:t>Establish Turborepo workspace, PostgreSQL 16 RLS policies, TenantOrgContext, and @gigalibs/auth-core Ed25519 JWT auth.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2: Master Data &amp; Material Ledger (Weeks 3-4) — </w:t>
      </w:r>
      <w:r>
        <w:rPr>
          <w:rFonts w:ascii="Arial" w:hAnsi="Arial"/>
          <w:color w:val="334155"/>
          <w:sz w:val="20"/>
        </w:rPr>
        <w:t>Implement Universal Business Partner, Warehouse Locators, and StorageOnHand ATP calculation.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3: Core Transaction Pipeline (Weeks 5-7) — </w:t>
      </w:r>
      <w:r>
        <w:rPr>
          <w:rFonts w:ascii="Arial" w:hAnsi="Arial"/>
          <w:color w:val="334155"/>
          <w:sz w:val="20"/>
        </w:rPr>
        <w:t>Deliver Order-to-Cash (DocAction state machine) and Procure-to-Pay (3-Way Matching engine).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4: Financial Accounting &amp; Ledger (Weeks 8-10) — </w:t>
      </w:r>
      <w:r>
        <w:rPr>
          <w:rFonts w:ascii="Arial" w:hAnsi="Arial"/>
          <w:color w:val="334155"/>
          <w:sz w:val="20"/>
        </w:rPr>
        <w:t>Deploy automated General Ledger posting engine (Fact_Acct), Multi-Currency, and Fiscal Period controls.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5: Advanced Supply Chain &amp; Operations (Weeks 11-14) — </w:t>
      </w:r>
      <w:r>
        <w:rPr>
          <w:rFonts w:ascii="Arial" w:hAnsi="Arial"/>
          <w:color w:val="334155"/>
          <w:sz w:val="20"/>
        </w:rPr>
        <w:t>Roll out Advanced SCM, Landed Costs, Treasury Reconciliation, Fixed Assets, Projects, and RMA.</w:t>
      </w:r>
    </w:p>
    <w:p>
      <w:pPr>
        <w:pStyle w:val="ListBullet"/>
        <w:spacing w:after="40" w:line="276" w:lineRule="auto"/>
      </w:pPr>
      <w:r>
        <w:rPr>
          <w:rFonts w:ascii="Arial" w:hAnsi="Arial"/>
          <w:b/>
          <w:color w:val="0F172A"/>
          <w:sz w:val="20"/>
        </w:rPr>
        <w:t xml:space="preserve">Phase 6: Dynamic Studio &amp; Universal Forms (Weeks 15-16) — </w:t>
      </w:r>
      <w:r>
        <w:rPr>
          <w:rFonts w:ascii="Arial" w:hAnsi="Arial"/>
          <w:color w:val="334155"/>
          <w:sz w:val="20"/>
        </w:rPr>
        <w:t>Deploy Medusa UI Dynamic Studio for visual drag-and-drop form editing and custom field publishing.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