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28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LTVIP2025TMID60708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Sustainable Smart City Assistant Using IBM Granite LLM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 Registration through Form - Registration through Gmail - Registration through LinkedIn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User Confirmation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 Confirmation via Email - Confirmation via OTP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 Login via Email &amp; Password - Login via Gmail - Forgot Password / Reset Option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Dashboard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 View Eco Tips - View Sustainability Score - Submit Feedback or Complaints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system should be easy to use and understand for all types of users.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User data must be protected using authentication, encryption, and secure access.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system should work correctly without failures or crashes during use.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app should respond quickly (e.g., within 3 seconds for most actions).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system should be available to users 99% of the time, with minimal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system should handle more users and data as the project grows.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