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04/06/2023  to  22/06/2023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18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22/06/2023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