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2"/>
          <w:szCs w:val="52"/>
        </w:rPr>
        <w:t xml:space="preserve">DIGITAL SKILL WALLET</w:t>
      </w:r>
    </w:p>
    <w:p>
      <w:pPr>
        <w:spacing w:after="120"/>
        <w:jc w:val="center"/>
      </w:pPr>
      <w:r>
        <w:rPr>
          <w:rFonts w:ascii="Arial" w:cs="Arial" w:eastAsia="Arial" w:hAnsi="Arial"/>
          <w:color w:val="2E75B6"/>
          <w:sz w:val="32"/>
          <w:szCs w:val="32"/>
        </w:rPr>
        <w:t xml:space="preserve">Technical Architecture &amp; Implementation Guide</w:t>
      </w:r>
    </w:p>
    <w:p>
      <w:pPr>
        <w:pBdr>
          <w:bottom w:val="single" w:color="2E75B6" w:sz="4" w:space="8"/>
        </w:pBdr>
        <w:spacing w:after="400"/>
        <w:jc w:val="center"/>
      </w:pPr>
      <w:r>
        <w:rPr>
          <w:rFonts w:ascii="Arial" w:cs="Arial" w:eastAsia="Arial" w:hAnsi="Arial"/>
          <w:i/>
          <w:iCs/>
          <w:color w:val="666666"/>
          <w:sz w:val="26"/>
          <w:szCs w:val="26"/>
        </w:rPr>
        <w:t xml:space="preserve">For MPOnline Limited — Technology Development Partner</w:t>
      </w:r>
    </w:p>
    <w:p>
      <w:pPr>
        <w:spacing w:after="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0C4DE" w:sz="1"/>
              <w:left w:val="single" w:color="B0C4DE" w:sz="1"/>
              <w:bottom w:val="single" w:color="B0C4DE" w:sz="1"/>
              <w:right w:val="single" w:color="2E75B6" w:sz="1"/>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Programme</w:t>
            </w:r>
          </w:p>
        </w:tc>
        <w:tc>
          <w:tcPr>
            <w:tcW w:type="dxa" w:w="3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Digital Skill Wallet × SewaYojan</w:t>
            </w:r>
          </w:p>
        </w:tc>
      </w:tr>
      <w:tr>
        <w:tc>
          <w:tcPr>
            <w:tcW w:type="dxa" w:w="2400"/>
            <w:tcBorders>
              <w:top w:val="single" w:color="B0C4DE" w:sz="1"/>
              <w:left w:val="single" w:color="B0C4DE" w:sz="1"/>
              <w:bottom w:val="single" w:color="B0C4DE" w:sz="1"/>
              <w:right w:val="single" w:color="2E75B6" w:sz="1"/>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Department</w:t>
            </w:r>
          </w:p>
        </w:tc>
        <w:tc>
          <w:tcPr>
            <w:tcW w:type="dxa" w:w="3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Labour &amp; Employment, Government of Uttar Pradesh</w:t>
            </w:r>
          </w:p>
        </w:tc>
      </w:tr>
      <w:tr>
        <w:tc>
          <w:tcPr>
            <w:tcW w:type="dxa" w:w="2400"/>
            <w:tcBorders>
              <w:top w:val="single" w:color="B0C4DE" w:sz="1"/>
              <w:left w:val="single" w:color="B0C4DE" w:sz="1"/>
              <w:bottom w:val="single" w:color="B0C4DE" w:sz="1"/>
              <w:right w:val="single" w:color="2E75B6" w:sz="1"/>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Programme Owner</w:t>
            </w:r>
          </w:p>
        </w:tc>
        <w:tc>
          <w:tcPr>
            <w:tcW w:type="dxa" w:w="3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BVG India Pvt Ltd</w:t>
            </w:r>
          </w:p>
        </w:tc>
      </w:tr>
      <w:tr>
        <w:tc>
          <w:tcPr>
            <w:tcW w:type="dxa" w:w="2400"/>
            <w:tcBorders>
              <w:top w:val="single" w:color="B0C4DE" w:sz="1"/>
              <w:left w:val="single" w:color="B0C4DE" w:sz="1"/>
              <w:bottom w:val="single" w:color="B0C4DE" w:sz="1"/>
              <w:right w:val="single" w:color="2E75B6" w:sz="1"/>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Technology Partner</w:t>
            </w:r>
          </w:p>
        </w:tc>
        <w:tc>
          <w:tcPr>
            <w:tcW w:type="dxa" w:w="3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MPOnline Limited</w:t>
            </w:r>
          </w:p>
        </w:tc>
      </w:tr>
      <w:tr>
        <w:tc>
          <w:tcPr>
            <w:tcW w:type="dxa" w:w="2400"/>
            <w:tcBorders>
              <w:top w:val="single" w:color="B0C4DE" w:sz="1"/>
              <w:left w:val="single" w:color="B0C4DE" w:sz="1"/>
              <w:bottom w:val="single" w:color="B0C4DE" w:sz="1"/>
              <w:right w:val="single" w:color="2E75B6" w:sz="1"/>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Document Type</w:t>
            </w:r>
          </w:p>
        </w:tc>
        <w:tc>
          <w:tcPr>
            <w:tcW w:type="dxa" w:w="3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Technical Architecture &amp; Implementation Brief</w:t>
            </w:r>
          </w:p>
        </w:tc>
      </w:tr>
      <w:tr>
        <w:tc>
          <w:tcPr>
            <w:tcW w:type="dxa" w:w="2400"/>
            <w:tcBorders>
              <w:top w:val="single" w:color="B0C4DE" w:sz="1"/>
              <w:left w:val="single" w:color="B0C4DE" w:sz="1"/>
              <w:bottom w:val="single" w:color="B0C4DE" w:sz="1"/>
              <w:right w:val="single" w:color="2E75B6" w:sz="1"/>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Classification</w:t>
            </w:r>
          </w:p>
        </w:tc>
        <w:tc>
          <w:tcPr>
            <w:tcW w:type="dxa" w:w="3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CONFIDENTIAL — For MPOnline Internal Use</w:t>
            </w:r>
          </w:p>
        </w:tc>
      </w:tr>
      <w:tr>
        <w:tc>
          <w:tcPr>
            <w:tcW w:type="dxa" w:w="2400"/>
            <w:tcBorders>
              <w:top w:val="single" w:color="B0C4DE" w:sz="1"/>
              <w:left w:val="single" w:color="B0C4DE" w:sz="1"/>
              <w:bottom w:val="single" w:color="B0C4DE" w:sz="1"/>
              <w:right w:val="single" w:color="2E75B6" w:sz="1"/>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Date</w:t>
            </w:r>
          </w:p>
        </w:tc>
        <w:tc>
          <w:tcPr>
            <w:tcW w:type="dxa" w:w="3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April 2026</w:t>
            </w:r>
          </w:p>
        </w:tc>
      </w:tr>
      <w:tr>
        <w:tc>
          <w:tcPr>
            <w:tcW w:type="dxa" w:w="2400"/>
            <w:tcBorders>
              <w:top w:val="single" w:color="B0C4DE" w:sz="1"/>
              <w:left w:val="single" w:color="B0C4DE" w:sz="1"/>
              <w:bottom w:val="single" w:color="B0C4DE" w:sz="1"/>
              <w:right w:val="single" w:color="2E75B6" w:sz="1"/>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Version</w:t>
            </w:r>
          </w:p>
        </w:tc>
        <w:tc>
          <w:tcPr>
            <w:tcW w:type="dxa" w:w="3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1.0</w:t>
            </w:r>
          </w:p>
        </w:tc>
      </w:tr>
    </w:tbl>
    <w:p>
      <w:pPr>
        <w:spacing w:before="800"/>
      </w:pPr>
    </w:p>
    <w:p>
      <w:pPr>
        <w:jc w:val="center"/>
      </w:pPr>
      <w:r>
        <w:rPr>
          <w:rFonts w:ascii="Arial" w:cs="Arial" w:eastAsia="Arial" w:hAnsi="Arial"/>
          <w:i/>
          <w:iCs/>
          <w:color w:val="666666"/>
          <w:sz w:val="18"/>
          <w:szCs w:val="18"/>
        </w:rPr>
        <w:t xml:space="preserve">This document is prepared by BVG India Pvt Ltd for the exclusive use of MPOnline Limited as the technology development partner for the Digital Skill Wallet programme. All information herein is confidential.</w:t>
      </w:r>
    </w:p>
    <w:p>
      <w:pPr>
        <w:sectPr>
          <w:pgSz w:w="12240" w:h="15840" w:orient="portrait"/>
          <w:pgMar w:top="1440" w:right="1440" w:bottom="1440" w:left="1440" w:header="708" w:footer="708" w:gutter="0"/>
          <w:pgNumType/>
          <w:docGrid w:linePitch="360"/>
        </w:sectPr>
      </w:pPr>
    </w:p>
    <w:p>
      <w:r>
        <w:br w:type="page"/>
      </w:r>
    </w:p>
    <w:p>
      <w:pPr>
        <w:spacing w:after="300"/>
        <w:jc w:val="left"/>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5B6" w:sz="3" w:space="4"/>
        </w:pBdr>
        <w:spacing w:after="200" w:before="360"/>
      </w:pPr>
      <w:r>
        <w:rPr>
          <w:rFonts w:ascii="Arial" w:cs="Arial" w:eastAsia="Arial" w:hAnsi="Arial"/>
          <w:b/>
          <w:bCs/>
          <w:color w:val="1B3A5C"/>
          <w:sz w:val="32"/>
          <w:szCs w:val="32"/>
        </w:rPr>
        <w:t xml:space="preserve">1. Programme Context &amp; Why MPOnline</w:t>
      </w:r>
    </w:p>
    <w:p>
      <w:pPr>
        <w:pStyle w:val="Heading2"/>
        <w:spacing w:after="160" w:before="280"/>
      </w:pPr>
      <w:r>
        <w:rPr>
          <w:rFonts w:ascii="Arial" w:cs="Arial" w:eastAsia="Arial" w:hAnsi="Arial"/>
          <w:b/>
          <w:bCs/>
          <w:color w:val="2E75B6"/>
          <w:sz w:val="26"/>
          <w:szCs w:val="26"/>
        </w:rPr>
        <w:t xml:space="preserve">1.1 The Problem</w:t>
      </w:r>
    </w:p>
    <w:p>
      <w:pPr>
        <w:spacing w:after="120" w:line="276"/>
        <w:jc w:val="both"/>
      </w:pPr>
      <w:r>
        <w:rPr>
          <w:rFonts w:ascii="Arial" w:cs="Arial" w:eastAsia="Arial" w:hAnsi="Arial"/>
          <w:color w:val="333333"/>
          <w:sz w:val="22"/>
          <w:szCs w:val="22"/>
        </w:rPr>
        <w:t xml:space="preserve">Uttar Pradesh has the largest workforce in India, with over 40 lakh registered job seekers on the Sewayojan portal alone. Despite this massive supply base, the state faces a persistent gap between skills available and skills demanded by employers. The core issues are:</w:t>
      </w:r>
    </w:p>
    <w:p>
      <w:pPr>
        <w:spacing w:after="120" w:line="276"/>
        <w:jc w:val="both"/>
      </w:pPr>
      <w:r>
        <w:rPr>
          <w:rFonts w:ascii="Arial" w:cs="Arial" w:eastAsia="Arial" w:hAnsi="Arial"/>
          <w:b/>
          <w:bCs/>
          <w:color w:val="333333"/>
          <w:sz w:val="22"/>
          <w:szCs w:val="22"/>
        </w:rPr>
        <w:t xml:space="preserve">Fragmented credentials: </w:t>
      </w:r>
      <w:r>
        <w:rPr>
          <w:rFonts w:ascii="Arial" w:cs="Arial" w:eastAsia="Arial" w:hAnsi="Arial"/>
          <w:color w:val="333333"/>
          <w:sz w:val="22"/>
          <w:szCs w:val="22"/>
        </w:rPr>
        <w:t xml:space="preserve">Workers carry paper certificates from ITIs, SSCs, polytechnics, and short-term training programmes. No single system verifies, aggregates, or makes these credentials portable.</w:t>
      </w:r>
    </w:p>
    <w:p>
      <w:pPr>
        <w:spacing w:after="120" w:line="276"/>
        <w:jc w:val="both"/>
      </w:pPr>
      <w:r>
        <w:rPr>
          <w:rFonts w:ascii="Arial" w:cs="Arial" w:eastAsia="Arial" w:hAnsi="Arial"/>
          <w:b/>
          <w:bCs/>
          <w:color w:val="333333"/>
          <w:sz w:val="22"/>
          <w:szCs w:val="22"/>
        </w:rPr>
        <w:t xml:space="preserve">Slow verification: </w:t>
      </w:r>
      <w:r>
        <w:rPr>
          <w:rFonts w:ascii="Arial" w:cs="Arial" w:eastAsia="Arial" w:hAnsi="Arial"/>
          <w:color w:val="333333"/>
          <w:sz w:val="22"/>
          <w:szCs w:val="22"/>
        </w:rPr>
        <w:t xml:space="preserve">Employers take days or weeks to verify a worker’s qualifications. This creates friction in hiring, especially for construction, manufacturing, and infrastructure projects where demand is time-bound.</w:t>
      </w:r>
    </w:p>
    <w:p>
      <w:pPr>
        <w:spacing w:after="120" w:line="276"/>
        <w:jc w:val="both"/>
      </w:pPr>
      <w:r>
        <w:rPr>
          <w:rFonts w:ascii="Arial" w:cs="Arial" w:eastAsia="Arial" w:hAnsi="Arial"/>
          <w:b/>
          <w:bCs/>
          <w:color w:val="333333"/>
          <w:sz w:val="22"/>
          <w:szCs w:val="22"/>
        </w:rPr>
        <w:t xml:space="preserve">No supply-demand intelligence: </w:t>
      </w:r>
      <w:r>
        <w:rPr>
          <w:rFonts w:ascii="Arial" w:cs="Arial" w:eastAsia="Arial" w:hAnsi="Arial"/>
          <w:color w:val="333333"/>
          <w:sz w:val="22"/>
          <w:szCs w:val="22"/>
        </w:rPr>
        <w:t xml:space="preserve">The state has no unified system to answer the question: “What skills do we need, where, when, and how many?” Training seats are allocated based on targets, not evidence.</w:t>
      </w:r>
    </w:p>
    <w:p>
      <w:pPr>
        <w:spacing w:after="120" w:line="276"/>
        <w:jc w:val="both"/>
      </w:pPr>
      <w:r>
        <w:rPr>
          <w:rFonts w:ascii="Arial" w:cs="Arial" w:eastAsia="Arial" w:hAnsi="Arial"/>
          <w:b/>
          <w:bCs/>
          <w:color w:val="333333"/>
          <w:sz w:val="22"/>
          <w:szCs w:val="22"/>
        </w:rPr>
        <w:t xml:space="preserve">Weak placement linkage: </w:t>
      </w:r>
      <w:r>
        <w:rPr>
          <w:rFonts w:ascii="Arial" w:cs="Arial" w:eastAsia="Arial" w:hAnsi="Arial"/>
          <w:color w:val="333333"/>
          <w:sz w:val="22"/>
          <w:szCs w:val="22"/>
        </w:rPr>
        <w:t xml:space="preserve">Training completion does not automatically lead to job matching. Post-placement tracking is manual and unreliable.</w:t>
      </w:r>
    </w:p>
    <w:p>
      <w:pPr>
        <w:pStyle w:val="Heading2"/>
        <w:spacing w:after="160" w:before="280"/>
      </w:pPr>
      <w:r>
        <w:rPr>
          <w:rFonts w:ascii="Arial" w:cs="Arial" w:eastAsia="Arial" w:hAnsi="Arial"/>
          <w:b/>
          <w:bCs/>
          <w:color w:val="2E75B6"/>
          <w:sz w:val="26"/>
          <w:szCs w:val="26"/>
        </w:rPr>
        <w:t xml:space="preserve">1.2 What is the Digital Skill Wallet</w:t>
      </w:r>
    </w:p>
    <w:p>
      <w:pPr>
        <w:spacing w:after="120" w:line="276"/>
        <w:jc w:val="both"/>
      </w:pPr>
      <w:r>
        <w:rPr>
          <w:rFonts w:ascii="Arial" w:cs="Arial" w:eastAsia="Arial" w:hAnsi="Arial"/>
          <w:color w:val="333333"/>
          <w:sz w:val="22"/>
          <w:szCs w:val="22"/>
        </w:rPr>
        <w:t xml:space="preserve">The Digital Skill Wallet is not a portal or a mobile app. It is a five-layer cloud-native employment infrastructure designed to solve the four problems described above. It creates a verifiable, portable, consent-based digital identity for every worker in the state, backed by a trust layer and an AI intelligence engine.</w:t>
      </w:r>
    </w:p>
    <w:p>
      <w:pPr>
        <w:spacing w:after="120" w:line="276"/>
        <w:jc w:val="both"/>
      </w:pPr>
      <w:r>
        <w:rPr>
          <w:rFonts w:ascii="Arial" w:cs="Arial" w:eastAsia="Arial" w:hAnsi="Arial"/>
          <w:color w:val="333333"/>
          <w:sz w:val="22"/>
          <w:szCs w:val="22"/>
        </w:rPr>
        <w:t xml:space="preserve">Think of it as two components working together:</w:t>
      </w:r>
    </w:p>
    <w:p>
      <w:pPr>
        <w:spacing w:after="120" w:line="276"/>
        <w:jc w:val="both"/>
      </w:pPr>
      <w:r>
        <w:rPr>
          <w:rFonts w:ascii="Arial" w:cs="Arial" w:eastAsia="Arial" w:hAnsi="Arial"/>
          <w:b/>
          <w:bCs/>
          <w:color w:val="333333"/>
          <w:sz w:val="22"/>
          <w:szCs w:val="22"/>
        </w:rPr>
        <w:t xml:space="preserve">Skill Wallet (Worker-Side): </w:t>
      </w:r>
      <w:r>
        <w:rPr>
          <w:rFonts w:ascii="Arial" w:cs="Arial" w:eastAsia="Arial" w:hAnsi="Arial"/>
          <w:color w:val="333333"/>
          <w:sz w:val="22"/>
          <w:szCs w:val="22"/>
        </w:rPr>
        <w:t xml:space="preserve">A portable digital identity that stores verifiable credentials (NSQF certificates, RPL results, work proofs, employer endorsements). The worker controls sharing via consent, QR codes, and selective disclosure. Works in assisted mode at kiosks for digitally excluded populations.</w:t>
      </w:r>
    </w:p>
    <w:p>
      <w:pPr>
        <w:spacing w:after="120" w:line="276"/>
        <w:jc w:val="both"/>
      </w:pPr>
      <w:r>
        <w:rPr>
          <w:rFonts w:ascii="Arial" w:cs="Arial" w:eastAsia="Arial" w:hAnsi="Arial"/>
          <w:b/>
          <w:bCs/>
          <w:color w:val="333333"/>
          <w:sz w:val="22"/>
          <w:szCs w:val="22"/>
        </w:rPr>
        <w:t xml:space="preserve">Skill Bank (System-Side): </w:t>
      </w:r>
      <w:r>
        <w:rPr>
          <w:rFonts w:ascii="Arial" w:cs="Arial" w:eastAsia="Arial" w:hAnsi="Arial"/>
          <w:color w:val="333333"/>
          <w:sz w:val="22"/>
          <w:szCs w:val="22"/>
        </w:rPr>
        <w:t xml:space="preserve">A shared trust and intelligence layer comprising an issuer registry, credential schemas, status and revocation management, audit logs, and an AI unification engine that normalizes fragmented demand signals (from tenders, DPRs, private hiring) and supply signals (from credentials, assessments, training records) into a single decision model.</w:t>
      </w:r>
    </w:p>
    <w:p>
      <w:pPr>
        <w:pStyle w:val="Heading2"/>
        <w:spacing w:after="160" w:before="280"/>
      </w:pPr>
      <w:r>
        <w:rPr>
          <w:rFonts w:ascii="Arial" w:cs="Arial" w:eastAsia="Arial" w:hAnsi="Arial"/>
          <w:b/>
          <w:bCs/>
          <w:color w:val="2E75B6"/>
          <w:sz w:val="26"/>
          <w:szCs w:val="26"/>
        </w:rPr>
        <w:t xml:space="preserve">1.3 Why MPOnline is the Right Technology Partner</w:t>
      </w:r>
    </w:p>
    <w:p>
      <w:pPr>
        <w:spacing w:after="120" w:line="276"/>
        <w:jc w:val="both"/>
      </w:pPr>
      <w:r>
        <w:rPr>
          <w:rFonts w:ascii="Arial" w:cs="Arial" w:eastAsia="Arial" w:hAnsi="Arial"/>
          <w:color w:val="333333"/>
          <w:sz w:val="22"/>
          <w:szCs w:val="22"/>
        </w:rPr>
        <w:t xml:space="preserve">MPOnline Limited, a joint venture between the Government of Madhya Pradesh and Tata Consultancy Services, has built and operated India’s most successful state-level e-governance platform for nearly two decades. The capabilities that make MPOnline the natural technology development partner for this programme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MPOnline Capability</w:t>
            </w:r>
          </w:p>
        </w:tc>
        <w:tc>
          <w:tcPr>
            <w:tcW w:type="dxa" w:w="3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Means</w:t>
            </w:r>
          </w:p>
        </w:tc>
        <w:tc>
          <w:tcPr>
            <w:tcW w:type="dxa" w:w="33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Skill Wallet Relevance</w:t>
            </w:r>
          </w:p>
        </w:tc>
      </w:tr>
      <w:tr>
        <w:tc>
          <w:tcPr>
            <w:tcW w:type="dxa" w:w="2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G2C Platform at Scale</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53,000+ kiosks, 55 districts, 428+ tehsils in MP. Proven citizen-facing digital service delivery.</w:t>
            </w:r>
          </w:p>
        </w:tc>
        <w:tc>
          <w:tcPr>
            <w:tcW w:type="dxa" w:w="33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Worker registration, assisted wallet creation, credential verification at grassroots. Direct replication of the kiosk-assisted model for UP’s semi-urban and rural workers.</w:t>
            </w:r>
          </w:p>
        </w:tc>
      </w:tr>
      <w:tr>
        <w:tc>
          <w:tcPr>
            <w:tcW w:type="dxa" w:w="2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Examination &amp; Assessment Engine</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End-to-end online assessment: form management, candidate identity verification, tamper-proof testing, automated scoring.</w:t>
            </w:r>
          </w:p>
        </w:tc>
        <w:tc>
          <w:tcPr>
            <w:tcW w:type="dxa" w:w="33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RPL assessments, NSQF certification exams, bridge course evaluations. MPOnline’s assessment engine can be adapted for skill testing at scale.</w:t>
            </w:r>
          </w:p>
        </w:tc>
      </w:tr>
      <w:tr>
        <w:tc>
          <w:tcPr>
            <w:tcW w:type="dxa" w:w="2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TCS Technology Backbone</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Access to TCS iON, enterprise-grade cloud infrastructure, ISO 27001 / CMMI Level 5 processes.</w:t>
            </w:r>
          </w:p>
        </w:tc>
        <w:tc>
          <w:tcPr>
            <w:tcW w:type="dxa" w:w="33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Enterprise security, DevSecOps, VAPT readiness, NIC/MeitY compliance. TCS’s standards directly satisfy the government’s security and audit requirements.</w:t>
            </w:r>
          </w:p>
        </w:tc>
      </w:tr>
      <w:tr>
        <w:tc>
          <w:tcPr>
            <w:tcW w:type="dxa" w:w="2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Government Integration Experience</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Connected to 40+ MP government departments. Proven API integration, payment gateway, and scheme delivery.</w:t>
            </w:r>
          </w:p>
        </w:tc>
        <w:tc>
          <w:tcPr>
            <w:tcW w:type="dxa" w:w="33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Integration with Sewayojan, Rojgar Sangam, UPSDM, DigiLocker, PFMS, Aadhaar. MPOnline understands government API constraints.</w:t>
            </w:r>
          </w:p>
        </w:tc>
      </w:tr>
      <w:tr>
        <w:tc>
          <w:tcPr>
            <w:tcW w:type="dxa" w:w="2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AI &amp; Authentication</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AI chatbots, facial recognition, multi-channel citizen support already deployed.</w:t>
            </w:r>
          </w:p>
        </w:tc>
        <w:tc>
          <w:tcPr>
            <w:tcW w:type="dxa" w:w="33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AI matching engine, multi-model architecture for demand-supply intelligence, WhatsApp/IVRS support channels.</w:t>
            </w:r>
          </w:p>
        </w:tc>
      </w:tr>
    </w:tbl>
    <w:p>
      <w:pPr>
        <w:spacing w:after="60"/>
      </w:pPr>
    </w:p>
    <w:p>
      <w:pPr>
        <w:pStyle w:val="Heading2"/>
        <w:spacing w:after="160" w:before="280"/>
      </w:pPr>
      <w:r>
        <w:rPr>
          <w:rFonts w:ascii="Arial" w:cs="Arial" w:eastAsia="Arial" w:hAnsi="Arial"/>
          <w:b/>
          <w:bCs/>
          <w:color w:val="2E75B6"/>
          <w:sz w:val="26"/>
          <w:szCs w:val="26"/>
        </w:rPr>
        <w:t xml:space="preserve">1.4 Pilot Context: Gorakhpur and Hardoi</w:t>
      </w:r>
    </w:p>
    <w:p>
      <w:pPr>
        <w:spacing w:after="120" w:line="276"/>
        <w:jc w:val="both"/>
      </w:pPr>
      <w:r>
        <w:rPr>
          <w:rFonts w:ascii="Arial" w:cs="Arial" w:eastAsia="Arial" w:hAnsi="Arial"/>
          <w:color w:val="333333"/>
          <w:sz w:val="22"/>
          <w:szCs w:val="22"/>
        </w:rPr>
        <w:t xml:space="preserve">The pilot phase will deploy the Digital Skill Wallet in two districts of Uttar Pradesh: Gorakhpur and Hardoi. These districts have been selected based on specific conditions:</w:t>
      </w:r>
    </w:p>
    <w:p>
      <w:pPr>
        <w:spacing w:after="120" w:line="276"/>
        <w:jc w:val="both"/>
      </w:pPr>
      <w:r>
        <w:rPr>
          <w:rFonts w:ascii="Arial" w:cs="Arial" w:eastAsia="Arial" w:hAnsi="Arial"/>
          <w:b/>
          <w:bCs/>
          <w:color w:val="333333"/>
          <w:sz w:val="22"/>
          <w:szCs w:val="22"/>
        </w:rPr>
        <w:t xml:space="preserve">Gorakhpur: </w:t>
      </w:r>
      <w:r>
        <w:rPr>
          <w:rFonts w:ascii="Arial" w:cs="Arial" w:eastAsia="Arial" w:hAnsi="Arial"/>
          <w:color w:val="333333"/>
          <w:sz w:val="22"/>
          <w:szCs w:val="22"/>
        </w:rPr>
        <w:t xml:space="preserve">The TCS Centre of Excellence being established in Gorakhpur provides a natural institutional anchor. The District Magistrate has signalled significant workforce demand in the district itself — across construction, healthcare, logistics, and services sectors. Gorakhpur also has a large migrant worker population that returns seasonally, creating a natural use case for portable skill credentials. The TCS CoE gives us a technology-enabled ground station for pilot operations, training, and quality assurance.</w:t>
      </w:r>
    </w:p>
    <w:p>
      <w:pPr>
        <w:spacing w:after="120" w:line="276"/>
        <w:jc w:val="both"/>
      </w:pPr>
      <w:r>
        <w:rPr>
          <w:rFonts w:ascii="Arial" w:cs="Arial" w:eastAsia="Arial" w:hAnsi="Arial"/>
          <w:b/>
          <w:bCs/>
          <w:color w:val="333333"/>
          <w:sz w:val="22"/>
          <w:szCs w:val="22"/>
        </w:rPr>
        <w:t xml:space="preserve">Hardoi: </w:t>
      </w:r>
      <w:r>
        <w:rPr>
          <w:rFonts w:ascii="Arial" w:cs="Arial" w:eastAsia="Arial" w:hAnsi="Arial"/>
          <w:color w:val="333333"/>
          <w:sz w:val="22"/>
          <w:szCs w:val="22"/>
        </w:rPr>
        <w:t xml:space="preserve">A predominantly rural district with a large agricultural workforce transitioning into construction and manufacturing. Hardoi represents the assisted-access, low-bandwidth, vernacular-first user segment that the platform must serve at scale.</w:t>
      </w:r>
    </w:p>
    <w:p>
      <w:pPr>
        <w:spacing w:after="120" w:line="276"/>
        <w:jc w:val="both"/>
      </w:pPr>
      <w:r>
        <w:rPr>
          <w:rFonts w:ascii="Arial" w:cs="Arial" w:eastAsia="Arial" w:hAnsi="Arial"/>
          <w:color w:val="333333"/>
          <w:sz w:val="22"/>
          <w:szCs w:val="22"/>
        </w:rPr>
        <w:t xml:space="preserve">The pilot targets 10,000 candidates across these two districts, with the objective of building a production-grade platform that can scale to 75 districts and 15 lakh candidates over five years without re-platforming.</w:t>
      </w:r>
    </w:p>
    <w:p>
      <w:r>
        <w:br w:type="page"/>
      </w:r>
    </w:p>
    <w:p>
      <w:pPr>
        <w:pStyle w:val="Heading1"/>
        <w:pBdr>
          <w:bottom w:val="single" w:color="2E75B6" w:sz="3" w:space="4"/>
        </w:pBdr>
        <w:spacing w:after="200" w:before="360"/>
      </w:pPr>
      <w:r>
        <w:rPr>
          <w:rFonts w:ascii="Arial" w:cs="Arial" w:eastAsia="Arial" w:hAnsi="Arial"/>
          <w:b/>
          <w:bCs/>
          <w:color w:val="1B3A5C"/>
          <w:sz w:val="32"/>
          <w:szCs w:val="32"/>
        </w:rPr>
        <w:t xml:space="preserve">2. Five-Layer Technical Architecture</w:t>
      </w:r>
    </w:p>
    <w:p>
      <w:pPr>
        <w:spacing w:after="120" w:line="276"/>
        <w:jc w:val="both"/>
      </w:pPr>
      <w:r>
        <w:rPr>
          <w:rFonts w:ascii="Arial" w:cs="Arial" w:eastAsia="Arial" w:hAnsi="Arial"/>
          <w:color w:val="333333"/>
          <w:sz w:val="22"/>
          <w:szCs w:val="22"/>
        </w:rPr>
        <w:t xml:space="preserve">The platform is designed as a cloud-native, API-first, microservices-based infrastructure. Every layer has been designed for horizontal scalability, so the same architecture that serves 10,000 candidates in two districts can serve 15 lakh candidates across 75 districts without a rebuild.</w:t>
      </w:r>
    </w:p>
    <w:p>
      <w:pPr>
        <w:spacing w:after="120" w:line="276"/>
        <w:jc w:val="both"/>
      </w:pPr>
      <w:r>
        <w:rPr>
          <w:rFonts w:ascii="Arial" w:cs="Arial" w:eastAsia="Arial" w:hAnsi="Arial"/>
          <w:color w:val="333333"/>
          <w:sz w:val="22"/>
          <w:szCs w:val="22"/>
        </w:rPr>
        <w:t xml:space="preserve">The following table provides the complete architecture overview. MPOnline’s development team should use this as the primary reference for system design.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160"/>
        <w:gridCol w:w="3200"/>
      </w:tblGrid>
      <w:tr>
        <w:tc>
          <w:tcPr>
            <w:tcW w:type="dxa" w:w="1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1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Components &amp; Technologies</w:t>
            </w:r>
          </w:p>
        </w:tc>
        <w:tc>
          <w:tcPr>
            <w:tcW w:type="dxa" w:w="3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1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Experience Layer</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Front End</w:t>
            </w:r>
          </w:p>
        </w:tc>
        <w:tc>
          <w:tcPr>
            <w:tcW w:type="dxa" w:w="31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Mobile App (Android/iOS PWA), Web Portal, Department Dashboards (Role-based), Employer Interface, IVRS/WhatsApp (Hindi + English)</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Candidate registration, wallet access, job matching, status tracking. Employers and department officials access real-time data through role-specific dashboards.</w:t>
            </w:r>
          </w:p>
        </w:tc>
      </w:tr>
      <w:tr>
        <w:tc>
          <w:tcPr>
            <w:tcW w:type="dxa" w:w="1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Application Layer</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Business Logic</w:t>
            </w:r>
          </w:p>
        </w:tc>
        <w:tc>
          <w:tcPr>
            <w:tcW w:type="dxa" w:w="31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User &amp; Identity Management, Digital Credential Engine, Job Matching &amp; Allocation, Scheme Integration, Grievance Redressal, Attendance &amp; Muster (QR + Geo), Notification Engine</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Full candidate lifecycle from registration through placement to retention tracking. All SLAs and KPIs enforced here.</w:t>
            </w:r>
          </w:p>
        </w:tc>
      </w:tr>
      <w:tr>
        <w:tc>
          <w:tcPr>
            <w:tcW w:type="dxa" w:w="1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 Layer</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Repositories</w:t>
            </w:r>
          </w:p>
        </w:tc>
        <w:tc>
          <w:tcPr>
            <w:tcW w:type="dxa" w:w="31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Worker Profile DB, Skill &amp; Certification Registry, Project/Demand Repository, Placement &amp; Employment Records, Audit Log Store, Analytics Data Warehouse</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Single source of truth for all candidate, employer, and programme data. Real-time MIS and CAG-audit-ready data trails.</w:t>
            </w:r>
          </w:p>
        </w:tc>
      </w:tr>
      <w:tr>
        <w:tc>
          <w:tcPr>
            <w:tcW w:type="dxa" w:w="1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Integration Layer</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External APIs</w:t>
            </w:r>
          </w:p>
        </w:tc>
        <w:tc>
          <w:tcPr>
            <w:tcW w:type="dxa" w:w="31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API Gateway (throttling + rate limiting), Middleware for Data Transformation, Event Bus (real-time + batch sync), Webhook Manager</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Secure data exchange with Sewayojan, Rojgar Sangam, UPSDM, NSDC SIDH, DigiLocker, DBT/PFMS, Aadhaar eKYC.</w:t>
            </w:r>
          </w:p>
        </w:tc>
      </w:tr>
      <w:tr>
        <w:tc>
          <w:tcPr>
            <w:tcW w:type="dxa" w:w="1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Security Layer</w:t>
            </w:r>
          </w:p>
        </w:tc>
        <w:tc>
          <w:tcPr>
            <w:tcW w:type="dxa" w:w="14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Compliance</w:t>
            </w:r>
          </w:p>
        </w:tc>
        <w:tc>
          <w:tcPr>
            <w:tcW w:type="dxa" w:w="31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Aadhaar eKYC / DigiLocker Auth, RBAC, AES-256 (at rest) + TLS 1.2+ (in transit), Quarterly VAPT, SIEM, Firewall + IDS/IPS</w:t>
            </w:r>
          </w:p>
        </w:tc>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DPDP Act 2023 compliance, zero-trust security model, continuous monitoring. Protects beneficiary PII and audit integrity.</w:t>
            </w:r>
          </w:p>
        </w:tc>
      </w:tr>
    </w:tbl>
    <w:p>
      <w:pPr>
        <w:spacing w:after="60"/>
      </w:pPr>
    </w:p>
    <w:p>
      <w:pPr>
        <w:spacing w:after="120" w:line="276"/>
        <w:jc w:val="both"/>
      </w:pPr>
      <w:r>
        <w:rPr>
          <w:rFonts w:ascii="Arial" w:cs="Arial" w:eastAsia="Arial" w:hAnsi="Arial"/>
          <w:i/>
          <w:iCs/>
          <w:color w:val="333333"/>
          <w:sz w:val="22"/>
          <w:szCs w:val="22"/>
        </w:rPr>
        <w:t xml:space="preserve">Deployment standard: MeitY/NIC-compliant cloud. SLA target: 99.5% uptime, sub-2-second response. Containerized using Docker/Kubernetes with multi-region redundancy and horizontal scalability.</w:t>
      </w:r>
    </w:p>
    <w:p>
      <w:r>
        <w:br w:type="page"/>
      </w:r>
    </w:p>
    <w:p>
      <w:pPr>
        <w:pStyle w:val="Heading1"/>
        <w:pBdr>
          <w:bottom w:val="single" w:color="2E75B6" w:sz="3" w:space="4"/>
        </w:pBdr>
        <w:spacing w:after="200" w:before="360"/>
      </w:pPr>
      <w:r>
        <w:rPr>
          <w:rFonts w:ascii="Arial" w:cs="Arial" w:eastAsia="Arial" w:hAnsi="Arial"/>
          <w:b/>
          <w:bCs/>
          <w:color w:val="1B3A5C"/>
          <w:sz w:val="32"/>
          <w:szCs w:val="32"/>
        </w:rPr>
        <w:t xml:space="preserve">3. Nine System Modules — Functional Specification</w:t>
      </w:r>
    </w:p>
    <w:p>
      <w:pPr>
        <w:spacing w:after="120" w:line="276"/>
        <w:jc w:val="both"/>
      </w:pPr>
      <w:r>
        <w:rPr>
          <w:rFonts w:ascii="Arial" w:cs="Arial" w:eastAsia="Arial" w:hAnsi="Arial"/>
          <w:color w:val="333333"/>
          <w:sz w:val="22"/>
          <w:szCs w:val="22"/>
        </w:rPr>
        <w:t xml:space="preserve">Each module below is a distinct microservice with its own API contract, data model, and integration surface. MPOnline’s development team should treat each module as an independent workstream with clear interfaces to the others.</w:t>
      </w:r>
    </w:p>
    <w:p>
      <w:pPr>
        <w:spacing w:after="60"/>
      </w:pPr>
    </w:p>
    <w:p>
      <w:pPr>
        <w:pStyle w:val="Heading2"/>
        <w:spacing w:after="160" w:before="280"/>
      </w:pPr>
      <w:r>
        <w:rPr>
          <w:rFonts w:ascii="Arial" w:cs="Arial" w:eastAsia="Arial" w:hAnsi="Arial"/>
          <w:b/>
          <w:bCs/>
          <w:color w:val="2E75B6"/>
          <w:sz w:val="26"/>
          <w:szCs w:val="26"/>
        </w:rPr>
        <w:t xml:space="preserve">3.1 User &amp; Identity Management</w:t>
      </w:r>
    </w:p>
    <w:p>
      <w:pPr>
        <w:spacing w:after="120" w:line="276"/>
        <w:jc w:val="both"/>
      </w:pPr>
      <w:r>
        <w:rPr>
          <w:rFonts w:ascii="Arial" w:cs="Arial" w:eastAsia="Arial" w:hAnsi="Arial"/>
          <w:b/>
          <w:bCs/>
          <w:color w:val="333333"/>
          <w:sz w:val="22"/>
          <w:szCs w:val="22"/>
        </w:rPr>
        <w:t xml:space="preserve">Core Functions: </w:t>
      </w:r>
      <w:r>
        <w:rPr>
          <w:rFonts w:ascii="Arial" w:cs="Arial" w:eastAsia="Arial" w:hAnsi="Arial"/>
          <w:color w:val="333333"/>
          <w:sz w:val="22"/>
          <w:szCs w:val="22"/>
        </w:rPr>
        <w:t xml:space="preserve">Aadhaar-based eKYC onboarding, DigiLocker document verification, role-based access (candidate / employer / department / PMU), de-duplication check via NSDC SIDH.</w:t>
      </w:r>
    </w:p>
    <w:p>
      <w:pPr>
        <w:spacing w:after="120" w:line="276"/>
        <w:jc w:val="both"/>
      </w:pPr>
      <w:r>
        <w:rPr>
          <w:rFonts w:ascii="Arial" w:cs="Arial" w:eastAsia="Arial" w:hAnsi="Arial"/>
          <w:b/>
          <w:bCs/>
          <w:color w:val="333333"/>
          <w:sz w:val="22"/>
          <w:szCs w:val="22"/>
        </w:rPr>
        <w:t xml:space="preserve">Technology Stack: </w:t>
      </w:r>
      <w:r>
        <w:rPr>
          <w:rFonts w:ascii="Arial" w:cs="Arial" w:eastAsia="Arial" w:hAnsi="Arial"/>
          <w:color w:val="333333"/>
          <w:sz w:val="22"/>
          <w:szCs w:val="22"/>
        </w:rPr>
        <w:t xml:space="preserve">Aadhaar API (UIDAI), DigiLocker API (MeitY), OAuth 2.0 / OpenID Connect for session management.</w:t>
      </w:r>
    </w:p>
    <w:p>
      <w:pPr>
        <w:spacing w:after="120" w:line="276"/>
        <w:jc w:val="both"/>
      </w:pPr>
      <w:r>
        <w:rPr>
          <w:rFonts w:ascii="Arial" w:cs="Arial" w:eastAsia="Arial" w:hAnsi="Arial"/>
          <w:b/>
          <w:bCs/>
          <w:color w:val="333333"/>
          <w:sz w:val="22"/>
          <w:szCs w:val="22"/>
        </w:rPr>
        <w:t xml:space="preserve">Integration Points: </w:t>
      </w:r>
      <w:r>
        <w:rPr>
          <w:rFonts w:ascii="Arial" w:cs="Arial" w:eastAsia="Arial" w:hAnsi="Arial"/>
          <w:color w:val="333333"/>
          <w:sz w:val="22"/>
          <w:szCs w:val="22"/>
        </w:rPr>
        <w:t xml:space="preserve">Sewayojan candidate ID sync to eliminate ghost beneficiaries. Single sign-on for department officials. 100% verified candidates with zero duplicate enrollments.</w:t>
      </w:r>
    </w:p>
    <w:p>
      <w:pPr>
        <w:spacing w:after="120" w:line="276"/>
        <w:jc w:val="both"/>
      </w:pPr>
      <w:r>
        <w:rPr>
          <w:rFonts w:ascii="Arial" w:cs="Arial" w:eastAsia="Arial" w:hAnsi="Arial"/>
          <w:b/>
          <w:bCs/>
          <w:color w:val="333333"/>
          <w:sz w:val="22"/>
          <w:szCs w:val="22"/>
        </w:rPr>
        <w:t xml:space="preserve">MPOnline Relevance: </w:t>
      </w:r>
      <w:r>
        <w:rPr>
          <w:rFonts w:ascii="Arial" w:cs="Arial" w:eastAsia="Arial" w:hAnsi="Arial"/>
          <w:color w:val="333333"/>
          <w:sz w:val="22"/>
          <w:szCs w:val="22"/>
        </w:rPr>
        <w:t xml:space="preserve">MPOnline already operates identity verification and form management at scale. The candidate onboarding flow is architecturally similar to MPOnline’s examination registration pipeline — capture identity, verify documents, issue a unique credential, and track lifecycle.</w:t>
      </w:r>
    </w:p>
    <w:p>
      <w:pPr>
        <w:pStyle w:val="Heading2"/>
        <w:spacing w:after="160" w:before="280"/>
      </w:pPr>
      <w:r>
        <w:rPr>
          <w:rFonts w:ascii="Arial" w:cs="Arial" w:eastAsia="Arial" w:hAnsi="Arial"/>
          <w:b/>
          <w:bCs/>
          <w:color w:val="2E75B6"/>
          <w:sz w:val="26"/>
          <w:szCs w:val="26"/>
        </w:rPr>
        <w:t xml:space="preserve">3.2 Digital Skill Wallet (Credential Engine)</w:t>
      </w:r>
    </w:p>
    <w:p>
      <w:pPr>
        <w:spacing w:after="120" w:line="276"/>
        <w:jc w:val="both"/>
      </w:pPr>
      <w:r>
        <w:rPr>
          <w:rFonts w:ascii="Arial" w:cs="Arial" w:eastAsia="Arial" w:hAnsi="Arial"/>
          <w:b/>
          <w:bCs/>
          <w:color w:val="333333"/>
          <w:sz w:val="22"/>
          <w:szCs w:val="22"/>
        </w:rPr>
        <w:t xml:space="preserve">Core Functions: </w:t>
      </w:r>
      <w:r>
        <w:rPr>
          <w:rFonts w:ascii="Arial" w:cs="Arial" w:eastAsia="Arial" w:hAnsi="Arial"/>
          <w:color w:val="333333"/>
          <w:sz w:val="22"/>
          <w:szCs w:val="22"/>
        </w:rPr>
        <w:t xml:space="preserve">Tamper-proof verifiable credential storage, QR code-based certificate display, NSQF-aligned skill level auto-tagging, employer-facing credential verification.</w:t>
      </w:r>
    </w:p>
    <w:p>
      <w:pPr>
        <w:spacing w:after="120" w:line="276"/>
        <w:jc w:val="both"/>
      </w:pPr>
      <w:r>
        <w:rPr>
          <w:rFonts w:ascii="Arial" w:cs="Arial" w:eastAsia="Arial" w:hAnsi="Arial"/>
          <w:b/>
          <w:bCs/>
          <w:color w:val="333333"/>
          <w:sz w:val="22"/>
          <w:szCs w:val="22"/>
        </w:rPr>
        <w:t xml:space="preserve">Technology Stack: </w:t>
      </w:r>
      <w:r>
        <w:rPr>
          <w:rFonts w:ascii="Arial" w:cs="Arial" w:eastAsia="Arial" w:hAnsi="Arial"/>
          <w:color w:val="333333"/>
          <w:sz w:val="22"/>
          <w:szCs w:val="22"/>
        </w:rPr>
        <w:t xml:space="preserve">Cryptographic signing for credential integrity, QR/NFC verification, NSQF code mapping engine, W3C Verifiable Credentials standard alignment.</w:t>
      </w:r>
    </w:p>
    <w:p>
      <w:pPr>
        <w:spacing w:after="120" w:line="276"/>
        <w:jc w:val="both"/>
      </w:pPr>
      <w:r>
        <w:rPr>
          <w:rFonts w:ascii="Arial" w:cs="Arial" w:eastAsia="Arial" w:hAnsi="Arial"/>
          <w:b/>
          <w:bCs/>
          <w:color w:val="333333"/>
          <w:sz w:val="22"/>
          <w:szCs w:val="22"/>
        </w:rPr>
        <w:t xml:space="preserve">Design Principle: </w:t>
      </w:r>
      <w:r>
        <w:rPr>
          <w:rFonts w:ascii="Arial" w:cs="Arial" w:eastAsia="Arial" w:hAnsi="Arial"/>
          <w:color w:val="333333"/>
          <w:sz w:val="22"/>
          <w:szCs w:val="22"/>
        </w:rPr>
        <w:t xml:space="preserve">Each candidate carries a portable, verifiable employment passport recognised nationally. The wallet supports selective disclosure (share only relevant credentials with a specific employer), consent-based sharing, and assisted mode for digitally excluded workers at kiosk centres.</w:t>
      </w:r>
    </w:p>
    <w:p>
      <w:pPr>
        <w:pStyle w:val="Heading2"/>
        <w:spacing w:after="160" w:before="280"/>
      </w:pPr>
      <w:r>
        <w:rPr>
          <w:rFonts w:ascii="Arial" w:cs="Arial" w:eastAsia="Arial" w:hAnsi="Arial"/>
          <w:b/>
          <w:bCs/>
          <w:color w:val="2E75B6"/>
          <w:sz w:val="26"/>
          <w:szCs w:val="26"/>
        </w:rPr>
        <w:t xml:space="preserve">3.3 Skill Registry</w:t>
      </w:r>
    </w:p>
    <w:p>
      <w:pPr>
        <w:spacing w:after="120" w:line="276"/>
        <w:jc w:val="both"/>
      </w:pPr>
      <w:r>
        <w:rPr>
          <w:rFonts w:ascii="Arial" w:cs="Arial" w:eastAsia="Arial" w:hAnsi="Arial"/>
          <w:b/>
          <w:bCs/>
          <w:color w:val="333333"/>
          <w:sz w:val="22"/>
          <w:szCs w:val="22"/>
        </w:rPr>
        <w:t xml:space="preserve">Core Functions: </w:t>
      </w:r>
      <w:r>
        <w:rPr>
          <w:rFonts w:ascii="Arial" w:cs="Arial" w:eastAsia="Arial" w:hAnsi="Arial"/>
          <w:color w:val="333333"/>
          <w:sz w:val="22"/>
          <w:szCs w:val="22"/>
        </w:rPr>
        <w:t xml:space="preserve">Structured database of worker skills, certifications, trades, and employment history. NSQF level tagging. RPL (Recognition of Prior Learning) and bridge course records.</w:t>
      </w:r>
    </w:p>
    <w:p>
      <w:pPr>
        <w:spacing w:after="120" w:line="276"/>
        <w:jc w:val="both"/>
      </w:pPr>
      <w:r>
        <w:rPr>
          <w:rFonts w:ascii="Arial" w:cs="Arial" w:eastAsia="Arial" w:hAnsi="Arial"/>
          <w:b/>
          <w:bCs/>
          <w:color w:val="333333"/>
          <w:sz w:val="22"/>
          <w:szCs w:val="22"/>
        </w:rPr>
        <w:t xml:space="preserve">Technology Stack: </w:t>
      </w:r>
      <w:r>
        <w:rPr>
          <w:rFonts w:ascii="Arial" w:cs="Arial" w:eastAsia="Arial" w:hAnsi="Arial"/>
          <w:color w:val="333333"/>
          <w:sz w:val="22"/>
          <w:szCs w:val="22"/>
        </w:rPr>
        <w:t xml:space="preserve">Relational DB + search index, NSQF taxonomy alignment, SSC certification API integration.</w:t>
      </w:r>
    </w:p>
    <w:p>
      <w:pPr>
        <w:spacing w:after="120" w:line="276"/>
        <w:jc w:val="both"/>
      </w:pPr>
      <w:r>
        <w:rPr>
          <w:rFonts w:ascii="Arial" w:cs="Arial" w:eastAsia="Arial" w:hAnsi="Arial"/>
          <w:b/>
          <w:bCs/>
          <w:color w:val="333333"/>
          <w:sz w:val="22"/>
          <w:szCs w:val="22"/>
        </w:rPr>
        <w:t xml:space="preserve">Output: </w:t>
      </w:r>
      <w:r>
        <w:rPr>
          <w:rFonts w:ascii="Arial" w:cs="Arial" w:eastAsia="Arial" w:hAnsi="Arial"/>
          <w:color w:val="333333"/>
          <w:sz w:val="22"/>
          <w:szCs w:val="22"/>
        </w:rPr>
        <w:t xml:space="preserve">First-ever structured skill inventory for UP workforce. Enables demand-supply gap analysis by district and sector. Feeds into UPSDM skill demand planning and links to PMKVY / DDU-GKY certification records.</w:t>
      </w:r>
    </w:p>
    <w:p>
      <w:pPr>
        <w:pStyle w:val="Heading2"/>
        <w:spacing w:after="160" w:before="280"/>
      </w:pPr>
      <w:r>
        <w:rPr>
          <w:rFonts w:ascii="Arial" w:cs="Arial" w:eastAsia="Arial" w:hAnsi="Arial"/>
          <w:b/>
          <w:bCs/>
          <w:color w:val="2E75B6"/>
          <w:sz w:val="26"/>
          <w:szCs w:val="26"/>
        </w:rPr>
        <w:t xml:space="preserve">3.4 Project &amp; Job Management</w:t>
      </w:r>
    </w:p>
    <w:p>
      <w:pPr>
        <w:spacing w:after="120" w:line="276"/>
        <w:jc w:val="both"/>
      </w:pPr>
      <w:r>
        <w:rPr>
          <w:rFonts w:ascii="Arial" w:cs="Arial" w:eastAsia="Arial" w:hAnsi="Arial"/>
          <w:b/>
          <w:bCs/>
          <w:color w:val="333333"/>
          <w:sz w:val="22"/>
          <w:szCs w:val="22"/>
        </w:rPr>
        <w:t xml:space="preserve">Core Functions: </w:t>
      </w:r>
      <w:r>
        <w:rPr>
          <w:rFonts w:ascii="Arial" w:cs="Arial" w:eastAsia="Arial" w:hAnsi="Arial"/>
          <w:color w:val="333333"/>
          <w:sz w:val="22"/>
          <w:szCs w:val="22"/>
        </w:rPr>
        <w:t xml:space="preserve">Government project demand entry (DPR-based), private employer job posting, manpower requirement definition by trade/location/NSQF level, job lifecycle management.</w:t>
      </w:r>
    </w:p>
    <w:p>
      <w:pPr>
        <w:spacing w:after="120" w:line="276"/>
        <w:jc w:val="both"/>
      </w:pPr>
      <w:r>
        <w:rPr>
          <w:rFonts w:ascii="Arial" w:cs="Arial" w:eastAsia="Arial" w:hAnsi="Arial"/>
          <w:b/>
          <w:bCs/>
          <w:color w:val="333333"/>
          <w:sz w:val="22"/>
          <w:szCs w:val="22"/>
        </w:rPr>
        <w:t xml:space="preserve">Demand Scoping Unit: </w:t>
      </w:r>
      <w:r>
        <w:rPr>
          <w:rFonts w:ascii="Arial" w:cs="Arial" w:eastAsia="Arial" w:hAnsi="Arial"/>
          <w:color w:val="333333"/>
          <w:sz w:val="22"/>
          <w:szCs w:val="22"/>
        </w:rPr>
        <w:t xml:space="preserve">Every demand source (public capex, tender/DPR, private HR, cluster demand) is captured using a standardized template: source type, geography (district/block/cluster), time window, roles mapped to canonical NSQF-aligned roles, skill proficiency levels, headcount by role by month, and constraints (certification, safety, tools, wage bands, mobility).</w:t>
      </w:r>
    </w:p>
    <w:p>
      <w:pPr>
        <w:spacing w:after="120" w:line="276"/>
        <w:jc w:val="both"/>
      </w:pPr>
      <w:r>
        <w:rPr>
          <w:rFonts w:ascii="Arial" w:cs="Arial" w:eastAsia="Arial" w:hAnsi="Arial"/>
          <w:b/>
          <w:bCs/>
          <w:color w:val="333333"/>
          <w:sz w:val="22"/>
          <w:szCs w:val="22"/>
        </w:rPr>
        <w:t xml:space="preserve">Integration: </w:t>
      </w:r>
      <w:r>
        <w:rPr>
          <w:rFonts w:ascii="Arial" w:cs="Arial" w:eastAsia="Arial" w:hAnsi="Arial"/>
          <w:color w:val="333333"/>
          <w:sz w:val="22"/>
          <w:szCs w:val="22"/>
        </w:rPr>
        <w:t xml:space="preserve">Pulls Sewayojan job listings, syncs with Rojgar Sangam placement tracking, integrates with department project DPR data.</w:t>
      </w:r>
    </w:p>
    <w:p>
      <w:pPr>
        <w:pStyle w:val="Heading2"/>
        <w:spacing w:after="160" w:before="280"/>
      </w:pPr>
      <w:r>
        <w:rPr>
          <w:rFonts w:ascii="Arial" w:cs="Arial" w:eastAsia="Arial" w:hAnsi="Arial"/>
          <w:b/>
          <w:bCs/>
          <w:color w:val="2E75B6"/>
          <w:sz w:val="26"/>
          <w:szCs w:val="26"/>
        </w:rPr>
        <w:t xml:space="preserve">3.5 AI Matching &amp; Allocation Engine</w:t>
      </w:r>
    </w:p>
    <w:p>
      <w:pPr>
        <w:spacing w:after="120" w:line="276"/>
        <w:jc w:val="both"/>
      </w:pPr>
      <w:r>
        <w:rPr>
          <w:rFonts w:ascii="Arial" w:cs="Arial" w:eastAsia="Arial" w:hAnsi="Arial"/>
          <w:b/>
          <w:bCs/>
          <w:color w:val="333333"/>
          <w:sz w:val="22"/>
          <w:szCs w:val="22"/>
        </w:rPr>
        <w:t xml:space="preserve">Core Functions: </w:t>
      </w:r>
      <w:r>
        <w:rPr>
          <w:rFonts w:ascii="Arial" w:cs="Arial" w:eastAsia="Arial" w:hAnsi="Arial"/>
          <w:color w:val="333333"/>
          <w:sz w:val="22"/>
          <w:szCs w:val="22"/>
        </w:rPr>
        <w:t xml:space="preserve">Automated candidate-to-job matching based on NSQF level, trade, location proximity, availability, and past experience. Ranked recommendations. Bulk allocation for large infrastructure projects.</w:t>
      </w:r>
    </w:p>
    <w:p>
      <w:pPr>
        <w:spacing w:after="120" w:line="276"/>
        <w:jc w:val="both"/>
      </w:pPr>
      <w:r>
        <w:rPr>
          <w:rFonts w:ascii="Arial" w:cs="Arial" w:eastAsia="Arial" w:hAnsi="Arial"/>
          <w:b/>
          <w:bCs/>
          <w:color w:val="333333"/>
          <w:sz w:val="22"/>
          <w:szCs w:val="22"/>
        </w:rPr>
        <w:t xml:space="preserve">Architecture: </w:t>
      </w:r>
      <w:r>
        <w:rPr>
          <w:rFonts w:ascii="Arial" w:cs="Arial" w:eastAsia="Arial" w:hAnsi="Arial"/>
          <w:color w:val="333333"/>
          <w:sz w:val="22"/>
          <w:szCs w:val="22"/>
        </w:rPr>
        <w:t xml:space="preserve">Multi-model design (not single-vendor locked). Rules-based layer for high-stakes decisions (consent, eligibility, DBT triggers, audit proofs). ML scoring model for ranking and matching. Geo-proximity algorithm. NSQF code matching. AASEEM-compatible API design.</w:t>
      </w:r>
    </w:p>
    <w:p>
      <w:pPr>
        <w:spacing w:after="120" w:line="276"/>
        <w:jc w:val="both"/>
      </w:pPr>
      <w:r>
        <w:rPr>
          <w:rFonts w:ascii="Arial" w:cs="Arial" w:eastAsia="Arial" w:hAnsi="Arial"/>
          <w:b/>
          <w:bCs/>
          <w:color w:val="333333"/>
          <w:sz w:val="22"/>
          <w:szCs w:val="22"/>
        </w:rPr>
        <w:t xml:space="preserve">AI Unification Layer: </w:t>
      </w:r>
      <w:r>
        <w:rPr>
          <w:rFonts w:ascii="Arial" w:cs="Arial" w:eastAsia="Arial" w:hAnsi="Arial"/>
          <w:color w:val="333333"/>
          <w:sz w:val="22"/>
          <w:szCs w:val="22"/>
        </w:rPr>
        <w:t xml:space="preserve">This is the differentiator. The AI layer standardizes and connects supply signals (credentials, assessments, apprenticeships, work proofs) and demand signals (tenders, DPRs, contractor mobilization, HR requisitions, job posts) into one common language. Outputs include seat planning, bridge training recommendations for near-ready candidates, employer activation lists, and outcome dashboards.</w:t>
      </w:r>
    </w:p>
    <w:p>
      <w:pPr>
        <w:spacing w:after="120" w:line="276"/>
        <w:jc w:val="both"/>
      </w:pPr>
      <w:r>
        <w:rPr>
          <w:rFonts w:ascii="Arial" w:cs="Arial" w:eastAsia="Arial" w:hAnsi="Arial"/>
          <w:b/>
          <w:bCs/>
          <w:color w:val="333333"/>
          <w:sz w:val="22"/>
          <w:szCs w:val="22"/>
        </w:rPr>
        <w:t xml:space="preserve">Critical Design Rule: </w:t>
      </w:r>
      <w:r>
        <w:rPr>
          <w:rFonts w:ascii="Arial" w:cs="Arial" w:eastAsia="Arial" w:hAnsi="Arial"/>
          <w:color w:val="333333"/>
          <w:sz w:val="22"/>
          <w:szCs w:val="22"/>
        </w:rPr>
        <w:t xml:space="preserve">The system must recommend bridge modules and not only jobs. This is explicitly required in the programme design. If a candidate is 70% matched to a role but lacks one specific certification, the system must recommend the bridge course, not reject the candidate.</w:t>
      </w:r>
    </w:p>
    <w:p>
      <w:pPr>
        <w:pStyle w:val="Heading2"/>
        <w:spacing w:after="160" w:before="280"/>
      </w:pPr>
      <w:r>
        <w:rPr>
          <w:rFonts w:ascii="Arial" w:cs="Arial" w:eastAsia="Arial" w:hAnsi="Arial"/>
          <w:b/>
          <w:bCs/>
          <w:color w:val="2E75B6"/>
          <w:sz w:val="26"/>
          <w:szCs w:val="26"/>
        </w:rPr>
        <w:t xml:space="preserve">3.6 Scheme Integration Module</w:t>
      </w:r>
    </w:p>
    <w:p>
      <w:pPr>
        <w:spacing w:after="120" w:line="276"/>
        <w:jc w:val="both"/>
      </w:pPr>
      <w:r>
        <w:rPr>
          <w:rFonts w:ascii="Arial" w:cs="Arial" w:eastAsia="Arial" w:hAnsi="Arial"/>
          <w:b/>
          <w:bCs/>
          <w:color w:val="333333"/>
          <w:sz w:val="22"/>
          <w:szCs w:val="22"/>
        </w:rPr>
        <w:t xml:space="preserve">Core Functions: </w:t>
      </w:r>
      <w:r>
        <w:rPr>
          <w:rFonts w:ascii="Arial" w:cs="Arial" w:eastAsia="Arial" w:hAnsi="Arial"/>
          <w:color w:val="333333"/>
          <w:sz w:val="22"/>
          <w:szCs w:val="22"/>
        </w:rPr>
        <w:t xml:space="preserve">Maps each candidate to eligible government schemes: PMKVY, DDU-GKY, UPSDM, PM Vishwakarma, Sewayojan, DBT entitlements. Auto-populates eligible benefits. Prevents duplicate scheme enrolment.</w:t>
      </w:r>
    </w:p>
    <w:p>
      <w:pPr>
        <w:spacing w:after="120" w:line="276"/>
        <w:jc w:val="both"/>
      </w:pPr>
      <w:r>
        <w:rPr>
          <w:rFonts w:ascii="Arial" w:cs="Arial" w:eastAsia="Arial" w:hAnsi="Arial"/>
          <w:b/>
          <w:bCs/>
          <w:color w:val="333333"/>
          <w:sz w:val="22"/>
          <w:szCs w:val="22"/>
        </w:rPr>
        <w:t xml:space="preserve">Technology: </w:t>
      </w:r>
      <w:r>
        <w:rPr>
          <w:rFonts w:ascii="Arial" w:cs="Arial" w:eastAsia="Arial" w:hAnsi="Arial"/>
          <w:color w:val="333333"/>
          <w:sz w:val="22"/>
          <w:szCs w:val="22"/>
        </w:rPr>
        <w:t xml:space="preserve">Rules engine for scheme eligibility, API connectors per scheme, scheme ID cross-referencing. The system assumes convergence — each candidate is mapped to the schemes they are eligible for, not enrolled into every scheme.</w:t>
      </w:r>
    </w:p>
    <w:p>
      <w:pPr>
        <w:pStyle w:val="Heading2"/>
        <w:spacing w:after="160" w:before="280"/>
      </w:pPr>
      <w:r>
        <w:rPr>
          <w:rFonts w:ascii="Arial" w:cs="Arial" w:eastAsia="Arial" w:hAnsi="Arial"/>
          <w:b/>
          <w:bCs/>
          <w:color w:val="2E75B6"/>
          <w:sz w:val="26"/>
          <w:szCs w:val="26"/>
        </w:rPr>
        <w:t xml:space="preserve">3.7 Attendance &amp; Muster System</w:t>
      </w:r>
    </w:p>
    <w:p>
      <w:pPr>
        <w:spacing w:after="120" w:line="276"/>
        <w:jc w:val="both"/>
      </w:pPr>
      <w:r>
        <w:rPr>
          <w:rFonts w:ascii="Arial" w:cs="Arial" w:eastAsia="Arial" w:hAnsi="Arial"/>
          <w:b/>
          <w:bCs/>
          <w:color w:val="333333"/>
          <w:sz w:val="22"/>
          <w:szCs w:val="22"/>
        </w:rPr>
        <w:t xml:space="preserve">Core Functions: </w:t>
      </w:r>
      <w:r>
        <w:rPr>
          <w:rFonts w:ascii="Arial" w:cs="Arial" w:eastAsia="Arial" w:hAnsi="Arial"/>
          <w:color w:val="333333"/>
          <w:sz w:val="22"/>
          <w:szCs w:val="22"/>
        </w:rPr>
        <w:t xml:space="preserve">QR-code-based attendance at training centres, geo-tagged time-stamped check-in, AEBAS-compatible biometric integration, self-reporting via app for field workers.</w:t>
      </w:r>
    </w:p>
    <w:p>
      <w:pPr>
        <w:spacing w:after="120" w:line="276"/>
        <w:jc w:val="both"/>
      </w:pPr>
      <w:r>
        <w:rPr>
          <w:rFonts w:ascii="Arial" w:cs="Arial" w:eastAsia="Arial" w:hAnsi="Arial"/>
          <w:b/>
          <w:bCs/>
          <w:color w:val="333333"/>
          <w:sz w:val="22"/>
          <w:szCs w:val="22"/>
        </w:rPr>
        <w:t xml:space="preserve">Technology: </w:t>
      </w:r>
      <w:r>
        <w:rPr>
          <w:rFonts w:ascii="Arial" w:cs="Arial" w:eastAsia="Arial" w:hAnsi="Arial"/>
          <w:color w:val="333333"/>
          <w:sz w:val="22"/>
          <w:szCs w:val="22"/>
        </w:rPr>
        <w:t xml:space="preserve">QR generation + scanner, GPS tagging (±50m accuracy), Aadhaar-based biometric (AEBAS-compatible), offline sync for low-connectivity areas.</w:t>
      </w:r>
    </w:p>
    <w:p>
      <w:pPr>
        <w:spacing w:after="120" w:line="276"/>
        <w:jc w:val="both"/>
      </w:pPr>
      <w:r>
        <w:rPr>
          <w:rFonts w:ascii="Arial" w:cs="Arial" w:eastAsia="Arial" w:hAnsi="Arial"/>
          <w:b/>
          <w:bCs/>
          <w:color w:val="333333"/>
          <w:sz w:val="22"/>
          <w:szCs w:val="22"/>
        </w:rPr>
        <w:t xml:space="preserve">Compliance: </w:t>
      </w:r>
      <w:r>
        <w:rPr>
          <w:rFonts w:ascii="Arial" w:cs="Arial" w:eastAsia="Arial" w:hAnsi="Arial"/>
          <w:color w:val="333333"/>
          <w:sz w:val="22"/>
          <w:szCs w:val="22"/>
        </w:rPr>
        <w:t xml:space="preserve">Training attendance feeds UPSDM MIS. Compliant with PMKVY 4.0 AEBAS mandate. Government project muster roll integration.</w:t>
      </w:r>
    </w:p>
    <w:p>
      <w:pPr>
        <w:pStyle w:val="Heading2"/>
        <w:spacing w:after="160" w:before="280"/>
      </w:pPr>
      <w:r>
        <w:rPr>
          <w:rFonts w:ascii="Arial" w:cs="Arial" w:eastAsia="Arial" w:hAnsi="Arial"/>
          <w:b/>
          <w:bCs/>
          <w:color w:val="2E75B6"/>
          <w:sz w:val="26"/>
          <w:szCs w:val="26"/>
        </w:rPr>
        <w:t xml:space="preserve">3.8 Grievance Redressal System</w:t>
      </w:r>
    </w:p>
    <w:p>
      <w:pPr>
        <w:spacing w:after="120" w:line="276"/>
        <w:jc w:val="both"/>
      </w:pPr>
      <w:r>
        <w:rPr>
          <w:rFonts w:ascii="Arial" w:cs="Arial" w:eastAsia="Arial" w:hAnsi="Arial"/>
          <w:b/>
          <w:bCs/>
          <w:color w:val="333333"/>
          <w:sz w:val="22"/>
          <w:szCs w:val="22"/>
        </w:rPr>
        <w:t xml:space="preserve">Core Functions: </w:t>
      </w:r>
      <w:r>
        <w:rPr>
          <w:rFonts w:ascii="Arial" w:cs="Arial" w:eastAsia="Arial" w:hAnsi="Arial"/>
          <w:color w:val="333333"/>
          <w:sz w:val="22"/>
          <w:szCs w:val="22"/>
        </w:rPr>
        <w:t xml:space="preserve">Multi-channel complaint submission (app / WhatsApp / IVRS / counter), auto-routing to responsible PMU/district, SLA-based escalation (48-hour target), status tracking by complainant.</w:t>
      </w:r>
    </w:p>
    <w:p>
      <w:pPr>
        <w:spacing w:after="120" w:line="276"/>
        <w:jc w:val="both"/>
      </w:pPr>
      <w:r>
        <w:rPr>
          <w:rFonts w:ascii="Arial" w:cs="Arial" w:eastAsia="Arial" w:hAnsi="Arial"/>
          <w:b/>
          <w:bCs/>
          <w:color w:val="333333"/>
          <w:sz w:val="22"/>
          <w:szCs w:val="22"/>
        </w:rPr>
        <w:t xml:space="preserve">Integration: </w:t>
      </w:r>
      <w:r>
        <w:rPr>
          <w:rFonts w:ascii="Arial" w:cs="Arial" w:eastAsia="Arial" w:hAnsi="Arial"/>
          <w:color w:val="333333"/>
          <w:sz w:val="22"/>
          <w:szCs w:val="22"/>
        </w:rPr>
        <w:t xml:space="preserve">Grievances visible to Labour Department dashboard. Escalation to Additional Director level. Connects to CM Helpline 1076 if needed.</w:t>
      </w:r>
    </w:p>
    <w:p>
      <w:pPr>
        <w:pStyle w:val="Heading2"/>
        <w:spacing w:after="160" w:before="280"/>
      </w:pPr>
      <w:r>
        <w:rPr>
          <w:rFonts w:ascii="Arial" w:cs="Arial" w:eastAsia="Arial" w:hAnsi="Arial"/>
          <w:b/>
          <w:bCs/>
          <w:color w:val="2E75B6"/>
          <w:sz w:val="26"/>
          <w:szCs w:val="26"/>
        </w:rPr>
        <w:t xml:space="preserve">3.9 Analytics &amp; Command Centre</w:t>
      </w:r>
    </w:p>
    <w:p>
      <w:pPr>
        <w:spacing w:after="120" w:line="276"/>
        <w:jc w:val="both"/>
      </w:pPr>
      <w:r>
        <w:rPr>
          <w:rFonts w:ascii="Arial" w:cs="Arial" w:eastAsia="Arial" w:hAnsi="Arial"/>
          <w:b/>
          <w:bCs/>
          <w:color w:val="333333"/>
          <w:sz w:val="22"/>
          <w:szCs w:val="22"/>
        </w:rPr>
        <w:t xml:space="preserve">Core Functions: </w:t>
      </w:r>
      <w:r>
        <w:rPr>
          <w:rFonts w:ascii="Arial" w:cs="Arial" w:eastAsia="Arial" w:hAnsi="Arial"/>
          <w:color w:val="333333"/>
          <w:sz w:val="22"/>
          <w:szCs w:val="22"/>
        </w:rPr>
        <w:t xml:space="preserve">Real-time KPI dashboards (placement rate, attendance, retention, certification), district/sector drill-down, predictive analytics for demand planning, audit-trail reporting for CAG/UC submission.</w:t>
      </w:r>
    </w:p>
    <w:p>
      <w:pPr>
        <w:spacing w:after="120" w:line="276"/>
        <w:jc w:val="both"/>
      </w:pPr>
      <w:r>
        <w:rPr>
          <w:rFonts w:ascii="Arial" w:cs="Arial" w:eastAsia="Arial" w:hAnsi="Arial"/>
          <w:b/>
          <w:bCs/>
          <w:color w:val="333333"/>
          <w:sz w:val="22"/>
          <w:szCs w:val="22"/>
        </w:rPr>
        <w:t xml:space="preserve">Technology: </w:t>
      </w:r>
      <w:r>
        <w:rPr>
          <w:rFonts w:ascii="Arial" w:cs="Arial" w:eastAsia="Arial" w:hAnsi="Arial"/>
          <w:color w:val="333333"/>
          <w:sz w:val="22"/>
          <w:szCs w:val="22"/>
        </w:rPr>
        <w:t xml:space="preserve">BI dashboard with role-specific views, data warehouse + OLAP, scheduled report generation, PDF/Excel export for department submission.</w:t>
      </w:r>
    </w:p>
    <w:p>
      <w:pPr>
        <w:spacing w:after="120" w:line="276"/>
        <w:jc w:val="both"/>
      </w:pPr>
      <w:r>
        <w:rPr>
          <w:rFonts w:ascii="Arial" w:cs="Arial" w:eastAsia="Arial" w:hAnsi="Arial"/>
          <w:b/>
          <w:bCs/>
          <w:color w:val="333333"/>
          <w:sz w:val="22"/>
          <w:szCs w:val="22"/>
        </w:rPr>
        <w:t xml:space="preserve">SLA: </w:t>
      </w:r>
      <w:r>
        <w:rPr>
          <w:rFonts w:ascii="Arial" w:cs="Arial" w:eastAsia="Arial" w:hAnsi="Arial"/>
          <w:color w:val="333333"/>
          <w:sz w:val="22"/>
          <w:szCs w:val="22"/>
        </w:rPr>
        <w:t xml:space="preserve">Department dashboard for Labour Secretary / Director. Monthly MIS auto-generated by 5th of each month. PFMS UC data auto-populated. CAG-ready audit trail from Day 1.</w:t>
      </w:r>
    </w:p>
    <w:p>
      <w:r>
        <w:br w:type="page"/>
      </w:r>
    </w:p>
    <w:p>
      <w:pPr>
        <w:pStyle w:val="Heading1"/>
        <w:pBdr>
          <w:bottom w:val="single" w:color="2E75B6" w:sz="3" w:space="4"/>
        </w:pBdr>
        <w:spacing w:after="200" w:before="360"/>
      </w:pPr>
      <w:r>
        <w:rPr>
          <w:rFonts w:ascii="Arial" w:cs="Arial" w:eastAsia="Arial" w:hAnsi="Arial"/>
          <w:b/>
          <w:bCs/>
          <w:color w:val="1B3A5C"/>
          <w:sz w:val="32"/>
          <w:szCs w:val="32"/>
        </w:rPr>
        <w:t xml:space="preserve">4. Data Flow Architecture — Worker &amp; Project Lifecycle</w:t>
      </w:r>
    </w:p>
    <w:p>
      <w:pPr>
        <w:spacing w:after="120" w:line="276"/>
        <w:jc w:val="both"/>
      </w:pPr>
      <w:r>
        <w:rPr>
          <w:rFonts w:ascii="Arial" w:cs="Arial" w:eastAsia="Arial" w:hAnsi="Arial"/>
          <w:color w:val="333333"/>
          <w:sz w:val="22"/>
          <w:szCs w:val="22"/>
        </w:rPr>
        <w:t xml:space="preserve">The following eight-stage flow describes how a candidate moves through the system from first contact to auditable outcome. Every stage produces system evidence. MPOnline should build each stage as a discrete workflow with event triggers connecting them.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2200"/>
        <w:gridCol w:w="2360"/>
      </w:tblGrid>
      <w:tr>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W w:type="dxa" w:w="2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Created</w:t>
            </w:r>
          </w:p>
        </w:tc>
        <w:tc>
          <w:tcPr>
            <w:tcW w:type="dxa" w:w="23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System Triggered</w:t>
            </w:r>
          </w:p>
        </w:tc>
      </w:tr>
      <w:tr>
        <w:tc>
          <w:tcPr>
            <w:tcW w:type="dxa" w:w="1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 Registration</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Candidate + PMU</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Aadhaar eKYC → Sewayojan sync → Wallet ID issued</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Profile, Aadhaar hash, consent, Wallet ID</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Identity → Wallet → Sewayojan API</w:t>
            </w:r>
          </w:p>
        </w:tc>
      </w:tr>
      <w:tr>
        <w:tc>
          <w:tcPr>
            <w:tcW w:type="dxa" w:w="1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 RPL Assessment</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SSC Assessor</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12-hr orientation → Skill assessment → NOS score</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RPL score, NSQF level, gap report, SSC cert</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Registry → Wallet → SIDH sync</w:t>
            </w:r>
          </w:p>
        </w:tc>
      </w:tr>
      <w:tr>
        <w:tc>
          <w:tcPr>
            <w:tcW w:type="dxa" w:w="1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3. Bridge Training</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Training Partner</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Batch formed → AEBAS attendance → Module completion</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Attendance (geo+time), module status, trainer logs</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Attendance → Registry → UPSDM MIS</w:t>
            </w:r>
          </w:p>
        </w:tc>
      </w:tr>
      <w:tr>
        <w:tc>
          <w:tcPr>
            <w:tcW w:type="dxa" w:w="1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4. Certification</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SSC / Awarding Body</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Assessment exam → Result upload → NSQF cert → DBT</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Certificate (signed), NSQF level, DBT txn ID</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Wallet → SIDH → DBT API</w:t>
            </w:r>
          </w:p>
        </w:tc>
      </w:tr>
      <w:tr>
        <w:tc>
          <w:tcPr>
            <w:tcW w:type="dxa" w:w="1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5. Job Matching</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AI Engine</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Profile matched to demand → Ranked shortlist to employer</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Match score, employer notification</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Matching → Sewayojan → Rojgar Sangam</w:t>
            </w:r>
          </w:p>
        </w:tc>
      </w:tr>
      <w:tr>
        <w:tc>
          <w:tcPr>
            <w:tcW w:type="dxa" w:w="1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6. Verified Joining</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Candidate + Employer</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Offer letter → Geo-tagged joining → Employer confirm</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Offer letter, joining date, placement record</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Placement → Rojgar Sangam sync</w:t>
            </w:r>
          </w:p>
        </w:tc>
      </w:tr>
      <w:tr>
        <w:tc>
          <w:tcPr>
            <w:tcW w:type="dxa" w:w="1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7. Post-Placement</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M&amp;E + Candidate</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30/60/90-day check-in → Salary confirm → Retention DBT</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Retention status, salary level, continuity</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M&amp;E → DBT API → Analytics</w:t>
            </w:r>
          </w:p>
        </w:tc>
      </w:tr>
      <w:tr>
        <w:tc>
          <w:tcPr>
            <w:tcW w:type="dxa" w:w="1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8. Reporting &amp; Audit</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Dept / CAG</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Auto MIS → UC extract → Audit trail → CAG-ready docs</w:t>
            </w:r>
          </w:p>
        </w:tc>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MIS, UC data, audit logs, outcome reports</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Analytics → Dashboard → PFMS</w:t>
            </w:r>
          </w:p>
        </w:tc>
      </w:tr>
    </w:tbl>
    <w:p>
      <w:pPr>
        <w:spacing w:after="60"/>
      </w:pPr>
    </w:p>
    <w:p>
      <w:pPr>
        <w:spacing w:after="120" w:line="276"/>
        <w:jc w:val="both"/>
      </w:pPr>
      <w:r>
        <w:rPr>
          <w:rFonts w:ascii="Arial" w:cs="Arial" w:eastAsia="Arial" w:hAnsi="Arial"/>
          <w:b/>
          <w:bCs/>
          <w:color w:val="333333"/>
          <w:sz w:val="22"/>
          <w:szCs w:val="22"/>
        </w:rPr>
        <w:t xml:space="preserve">Key design rule: No credential is issued without evidence. No placement is recorded without proof. No payment is triggered without a verified event. This is the “no-evidence-no-credential” principle that the entire audit trail depends on.</w:t>
      </w:r>
    </w:p>
    <w:p>
      <w:r>
        <w:br w:type="page"/>
      </w:r>
    </w:p>
    <w:p>
      <w:pPr>
        <w:pStyle w:val="Heading1"/>
        <w:pBdr>
          <w:bottom w:val="single" w:color="2E75B6" w:sz="3" w:space="4"/>
        </w:pBdr>
        <w:spacing w:after="200" w:before="360"/>
      </w:pPr>
      <w:r>
        <w:rPr>
          <w:rFonts w:ascii="Arial" w:cs="Arial" w:eastAsia="Arial" w:hAnsi="Arial"/>
          <w:b/>
          <w:bCs/>
          <w:color w:val="1B3A5C"/>
          <w:sz w:val="32"/>
          <w:szCs w:val="32"/>
        </w:rPr>
        <w:t xml:space="preserve">5. System Integrations — External Platforms</w:t>
      </w:r>
    </w:p>
    <w:p>
      <w:pPr>
        <w:spacing w:after="120" w:line="276"/>
        <w:jc w:val="both"/>
      </w:pPr>
      <w:r>
        <w:rPr>
          <w:rFonts w:ascii="Arial" w:cs="Arial" w:eastAsia="Arial" w:hAnsi="Arial"/>
          <w:color w:val="333333"/>
          <w:sz w:val="22"/>
          <w:szCs w:val="22"/>
        </w:rPr>
        <w:t xml:space="preserve">The platform must integrate with eight government systems. MPOnline’s integration team should plan API adapters, batch sync mechanisms, and fallback strategies for each. Where real-time APIs are not yet available from the source system, the pilot phase will use secure file exchange (SFTP) or batch adapters as interim solutions.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500"/>
        <w:gridCol w:w="2500"/>
        <w:gridCol w:w="2560"/>
      </w:tblGrid>
      <w:tr>
        <w:tc>
          <w:tcPr>
            <w:tcW w:type="dxa" w:w="1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System</w:t>
            </w:r>
          </w:p>
        </w:tc>
        <w:tc>
          <w:tcPr>
            <w:tcW w:type="dxa" w:w="13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Protocol</w:t>
            </w:r>
          </w:p>
        </w:tc>
        <w:tc>
          <w:tcPr>
            <w:tcW w:type="dxa" w:w="2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Exchanged</w:t>
            </w:r>
          </w:p>
        </w:tc>
        <w:tc>
          <w:tcPr>
            <w:tcW w:type="dxa" w:w="25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15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Sewayojan Portal</w:t>
            </w:r>
          </w:p>
        </w:tc>
        <w:tc>
          <w:tcPr>
            <w:tcW w:type="dxa" w:w="13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Bi-directional (Primary)</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REST API, Real-time + Batch</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Candidate profile, job listings, placement status, employer details</w:t>
            </w:r>
          </w:p>
        </w:tc>
        <w:tc>
          <w:tcPr>
            <w:tcW w:type="dxa" w:w="25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Primary sync. Sewayojan remains official portal. Skill Wallet adds verified credentials and AI matching on top.</w:t>
            </w:r>
          </w:p>
        </w:tc>
      </w:tr>
      <w:tr>
        <w:tc>
          <w:tcPr>
            <w:tcW w:type="dxa" w:w="15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Rojgar Sangam</w:t>
            </w:r>
          </w:p>
        </w:tc>
        <w:tc>
          <w:tcPr>
            <w:tcW w:type="dxa" w:w="13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Bi-directional</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REST API, Batch (nightly)</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Placement records, employer demand, district employment data</w:t>
            </w:r>
          </w:p>
        </w:tc>
        <w:tc>
          <w:tcPr>
            <w:tcW w:type="dxa" w:w="25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Employment exchange records auto-updated. National reporting compliance.</w:t>
            </w:r>
          </w:p>
        </w:tc>
      </w:tr>
      <w:tr>
        <w:tc>
          <w:tcPr>
            <w:tcW w:type="dxa" w:w="15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NSDC SIDH</w:t>
            </w:r>
          </w:p>
        </w:tc>
        <w:tc>
          <w:tcPr>
            <w:tcW w:type="dxa" w:w="13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Outbound</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SIDH Open API, Real-time</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NSQF credentials, RPL certifications, training completion</w:t>
            </w:r>
          </w:p>
        </w:tc>
        <w:tc>
          <w:tcPr>
            <w:tcW w:type="dxa" w:w="25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National skill credential sync. Candidate credentials verifiable nationwide.</w:t>
            </w:r>
          </w:p>
        </w:tc>
      </w:tr>
      <w:tr>
        <w:tc>
          <w:tcPr>
            <w:tcW w:type="dxa" w:w="15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UPSDM MIS</w:t>
            </w:r>
          </w:p>
        </w:tc>
        <w:tc>
          <w:tcPr>
            <w:tcW w:type="dxa" w:w="13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Bi-directional</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REST API, Batch sync</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Training targets, batch data, trainer records, scheme enrolment</w:t>
            </w:r>
          </w:p>
        </w:tc>
        <w:tc>
          <w:tcPr>
            <w:tcW w:type="dxa" w:w="25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Avoids duplicate training. UPSDM gets real-time training progress.</w:t>
            </w:r>
          </w:p>
        </w:tc>
      </w:tr>
      <w:tr>
        <w:tc>
          <w:tcPr>
            <w:tcW w:type="dxa" w:w="15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DigiLocker (MeitY)</w:t>
            </w:r>
          </w:p>
        </w:tc>
        <w:tc>
          <w:tcPr>
            <w:tcW w:type="dxa" w:w="13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Outbound</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DigiLocker API, Real-time</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Educational certificates, identity documents, issued credentials</w:t>
            </w:r>
          </w:p>
        </w:tc>
        <w:tc>
          <w:tcPr>
            <w:tcW w:type="dxa" w:w="25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Secure document storage. Verified documents reduce fraud.</w:t>
            </w:r>
          </w:p>
        </w:tc>
      </w:tr>
      <w:tr>
        <w:tc>
          <w:tcPr>
            <w:tcW w:type="dxa" w:w="15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DBT / PFMS</w:t>
            </w:r>
          </w:p>
        </w:tc>
        <w:tc>
          <w:tcPr>
            <w:tcW w:type="dxa" w:w="13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Outbound</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PFMS API + NACH, Real-time trigger</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Bank details, payment trigger events, UC data</w:t>
            </w:r>
          </w:p>
        </w:tc>
        <w:tc>
          <w:tcPr>
            <w:tcW w:type="dxa" w:w="25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All payments through PFMS. GFR 2017 Rule 230 compliance. Full fund traceability.</w:t>
            </w:r>
          </w:p>
        </w:tc>
      </w:tr>
      <w:tr>
        <w:tc>
          <w:tcPr>
            <w:tcW w:type="dxa" w:w="15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Aadhaar / UIDAI</w:t>
            </w:r>
          </w:p>
        </w:tc>
        <w:tc>
          <w:tcPr>
            <w:tcW w:type="dxa" w:w="13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Inbound</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Aadhaar eKYC API, Real-time</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Identity verification, biometric authentication</w:t>
            </w:r>
          </w:p>
        </w:tc>
        <w:tc>
          <w:tcPr>
            <w:tcW w:type="dxa" w:w="25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Zero ghost candidates. AEBAS compliance with PMKVY 4.0.</w:t>
            </w:r>
          </w:p>
        </w:tc>
      </w:tr>
      <w:tr>
        <w:tc>
          <w:tcPr>
            <w:tcW w:type="dxa" w:w="15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PMKVY / DDU-GKY</w:t>
            </w:r>
          </w:p>
        </w:tc>
        <w:tc>
          <w:tcPr>
            <w:tcW w:type="dxa" w:w="13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Inbound/Outbound</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NSDC SDMS API, Batch sync</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RPL certification status, scheme targets, PIA performance</w:t>
            </w:r>
          </w:p>
        </w:tc>
        <w:tc>
          <w:tcPr>
            <w:tcW w:type="dxa" w:w="25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Cross-scheme deduplication. Audit-proof cross-scheme data.</w:t>
            </w:r>
          </w:p>
        </w:tc>
      </w:tr>
    </w:tbl>
    <w:p>
      <w:r>
        <w:br w:type="page"/>
      </w:r>
    </w:p>
    <w:p>
      <w:pPr>
        <w:pStyle w:val="Heading1"/>
        <w:pBdr>
          <w:bottom w:val="single" w:color="2E75B6" w:sz="3" w:space="4"/>
        </w:pBdr>
        <w:spacing w:after="200" w:before="360"/>
      </w:pPr>
      <w:r>
        <w:rPr>
          <w:rFonts w:ascii="Arial" w:cs="Arial" w:eastAsia="Arial" w:hAnsi="Arial"/>
          <w:b/>
          <w:bCs/>
          <w:color w:val="1B3A5C"/>
          <w:sz w:val="32"/>
          <w:szCs w:val="32"/>
        </w:rPr>
        <w:t xml:space="preserve">6. Interoperability Standards &amp; Compliance</w:t>
      </w:r>
    </w:p>
    <w:p>
      <w:pPr>
        <w:spacing w:after="120" w:line="276"/>
        <w:jc w:val="both"/>
      </w:pPr>
      <w:r>
        <w:rPr>
          <w:rFonts w:ascii="Arial" w:cs="Arial" w:eastAsia="Arial" w:hAnsi="Arial"/>
          <w:color w:val="333333"/>
          <w:sz w:val="22"/>
          <w:szCs w:val="22"/>
        </w:rPr>
        <w:t xml:space="preserve">All components must conform to the following standards. MPOnline’s architects should treat these as non-negotiable design constraints.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Standard</w:t>
            </w:r>
          </w:p>
        </w:tc>
        <w:tc>
          <w:tcPr>
            <w:tcW w:type="dxa" w:w="2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c>
          <w:tcPr>
            <w:tcW w:type="dxa" w:w="27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 Standards</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RESTful APIs (OpenAPI 3.0)</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JSON/XML payloads, HTTPS mandatory, all endpoints documented</w:t>
            </w:r>
          </w:p>
        </w:tc>
        <w:tc>
          <w:tcPr>
            <w:tcW w:type="dxa" w:w="27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Third-party systems can integrate using published specs. Dept technical team can audit any API call.</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Authentication</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OAuth 2.0 / OpenID Connect + Aadhaar eKYC</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Token-based auth, JWT sessions, Aadhaar OTP + biometric for candidates</w:t>
            </w:r>
          </w:p>
        </w:tc>
        <w:tc>
          <w:tcPr>
            <w:tcW w:type="dxa" w:w="27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 username/password for candidates. Dept staff use OAuth 2.0 with MFA. All sessions time-bound and logged.</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 Schema</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JSON / NSQF Taxonomy / SIDH Schemas</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Standardized JSON schemas, NSQF code alignment for all skill records</w:t>
            </w:r>
          </w:p>
        </w:tc>
        <w:tc>
          <w:tcPr>
            <w:tcW w:type="dxa" w:w="27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All records follow NSQF codes. Directly compatible with NSDC SIDH and national registries.</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 Exchange</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REST APIs + Middleware + Event-driven</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Real-time for time-sensitive data, batch nightly for aggregates, webhooks for events</w:t>
            </w:r>
          </w:p>
        </w:tc>
        <w:tc>
          <w:tcPr>
            <w:tcW w:type="dxa" w:w="27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Sewayojan gets real-time placement updates. Dashboard refreshes every 15 minutes.</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Compliance</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DPDP Act 2023, GoI Cybersecurity, NIC Cloud, ISO 27001-aligned</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Data minimisation, consent logging, retention/deletion schedule, quarterly VAPT</w:t>
            </w:r>
          </w:p>
        </w:tc>
        <w:tc>
          <w:tcPr>
            <w:tcW w:type="dxa" w:w="27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All PII is consent-gated. Deletion request within 72 hours. Monthly breach count reported.</w:t>
            </w:r>
          </w:p>
        </w:tc>
      </w:tr>
    </w:tbl>
    <w:p>
      <w:r>
        <w:br w:type="page"/>
      </w:r>
    </w:p>
    <w:p>
      <w:pPr>
        <w:pStyle w:val="Heading1"/>
        <w:pBdr>
          <w:bottom w:val="single" w:color="2E75B6" w:sz="3" w:space="4"/>
        </w:pBdr>
        <w:spacing w:after="200" w:before="360"/>
      </w:pPr>
      <w:r>
        <w:rPr>
          <w:rFonts w:ascii="Arial" w:cs="Arial" w:eastAsia="Arial" w:hAnsi="Arial"/>
          <w:b/>
          <w:bCs/>
          <w:color w:val="1B3A5C"/>
          <w:sz w:val="32"/>
          <w:szCs w:val="32"/>
        </w:rPr>
        <w:t xml:space="preserve">7. Data Security &amp; Privacy Architecture</w:t>
      </w:r>
    </w:p>
    <w:p>
      <w:pPr>
        <w:spacing w:after="120" w:line="276"/>
        <w:jc w:val="both"/>
      </w:pPr>
      <w:r>
        <w:rPr>
          <w:rFonts w:ascii="Arial" w:cs="Arial" w:eastAsia="Arial" w:hAnsi="Arial"/>
          <w:color w:val="333333"/>
          <w:sz w:val="22"/>
          <w:szCs w:val="22"/>
        </w:rPr>
        <w:t xml:space="preserve">Given that the system handles beneficiary PII (Aadhaar data, employment records, financial information), security is not an add-on. MPOnline must build security into the platform foundation from sprint one.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w:t>
            </w:r>
          </w:p>
        </w:tc>
        <w:tc>
          <w:tcPr>
            <w:tcW w:type="dxa" w:w="368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368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MPOnline Action</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Encryption</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AES-256 at rest, TLS 1.2+ in transit for all data flows</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Configure encryption at database, storage, and API gateway layers. No plaintext PII in logs.</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Access Control</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Role-Based Access Control (RBAC) with field-level permissions</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Design role matrix: Candidate, Employer, District PMU, State Dashboard, System Admin, Auditor. Each sees only what they need.</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Multi-Factor Auth</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MFA mandatory for all non-candidate users</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TOTP or SMS-based MFA for department users, employers, and admin accounts.</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Audit Trail</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Immutable, timestamped log of every data access, change, and API call</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Deploy centralized logging. No log deletion. 7-year retention for CAG compliance.</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VAPT</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Quarterly penetration testing by CERT-In empanelled agency</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Schedule quarterly VAPT cycles. Certificate submitted to programme governance within 7 days of completion.</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DPDP Compliance</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Digital Personal Data Protection Act 2023 full compliance</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consent management, purpose limitation, data minimisation, breach notification within 72 hours.</w:t>
            </w:r>
          </w:p>
        </w:tc>
      </w:tr>
      <w:tr>
        <w:tc>
          <w:tcPr>
            <w:tcW w:type="dxa" w:w="20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Infrastructure</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Firewall, IDS/IPS, SIEM, DR with RPO &lt; 4 hours and RTO &lt; 8 hours</w:t>
            </w:r>
          </w:p>
        </w:tc>
        <w:tc>
          <w:tcPr>
            <w:tcW w:type="dxa" w:w="3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Deploy WAF at ingress. SIEM for real-time threat detection. DR site on standby with automated failover.</w:t>
            </w:r>
          </w:p>
        </w:tc>
      </w:tr>
    </w:tbl>
    <w:p>
      <w:r>
        <w:br w:type="page"/>
      </w:r>
    </w:p>
    <w:p>
      <w:pPr>
        <w:pStyle w:val="Heading1"/>
        <w:pBdr>
          <w:bottom w:val="single" w:color="2E75B6" w:sz="3" w:space="4"/>
        </w:pBdr>
        <w:spacing w:after="200" w:before="360"/>
      </w:pPr>
      <w:r>
        <w:rPr>
          <w:rFonts w:ascii="Arial" w:cs="Arial" w:eastAsia="Arial" w:hAnsi="Arial"/>
          <w:b/>
          <w:bCs/>
          <w:color w:val="1B3A5C"/>
          <w:sz w:val="32"/>
          <w:szCs w:val="32"/>
        </w:rPr>
        <w:t xml:space="preserve">8. Service Level Agreements &amp; Performance Benchmarks</w:t>
      </w:r>
    </w:p>
    <w:p>
      <w:pPr>
        <w:spacing w:after="120" w:line="276"/>
        <w:jc w:val="both"/>
      </w:pPr>
      <w:r>
        <w:rPr>
          <w:rFonts w:ascii="Arial" w:cs="Arial" w:eastAsia="Arial" w:hAnsi="Arial"/>
          <w:color w:val="333333"/>
          <w:sz w:val="22"/>
          <w:szCs w:val="22"/>
        </w:rPr>
        <w:t xml:space="preserve">These SLAs are contractual commitments to the Labour Department. MPOnline’s engineering team must design for these from the architecture stage, not bolt them on later.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80"/>
        <w:gridCol w:w="2880"/>
      </w:tblGrid>
      <w:tr>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288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w:t>
            </w:r>
          </w:p>
        </w:tc>
        <w:tc>
          <w:tcPr>
            <w:tcW w:type="dxa" w:w="288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Breach Consequence</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Platform Uptime</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≥99.5%</w:t>
            </w:r>
          </w:p>
        </w:tc>
        <w:tc>
          <w:tcPr>
            <w:tcW w:type="dxa" w:w="28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Monthly uptime calculation excluding scheduled maintenance windows</w:t>
            </w:r>
          </w:p>
        </w:tc>
        <w:tc>
          <w:tcPr>
            <w:tcW w:type="dxa" w:w="28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Downtime beyond SLA triggers escalation to programme governance and penalty provisions</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 Response Time</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&lt;2 seconds</w:t>
            </w:r>
          </w:p>
        </w:tc>
        <w:tc>
          <w:tcPr>
            <w:tcW w:type="dxa" w:w="28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95th percentile response time across all APIs, measured from API gateway</w:t>
            </w:r>
          </w:p>
        </w:tc>
        <w:tc>
          <w:tcPr>
            <w:tcW w:type="dxa" w:w="28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Sustained breaches trigger performance remediation sprint</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Credential Verification</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&lt;10 seconds</w:t>
            </w:r>
          </w:p>
        </w:tc>
        <w:tc>
          <w:tcPr>
            <w:tcW w:type="dxa" w:w="28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End-to-end from QR scan to verification result display</w:t>
            </w:r>
          </w:p>
        </w:tc>
        <w:tc>
          <w:tcPr>
            <w:tcW w:type="dxa" w:w="28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Verification delays above 10 seconds degrade employer trust</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 Accuracy (MIS)</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≥99%</w:t>
            </w:r>
          </w:p>
        </w:tc>
        <w:tc>
          <w:tcPr>
            <w:tcW w:type="dxa" w:w="28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Monthly reconciliation between platform data and third-party M&amp;E sample</w:t>
            </w:r>
          </w:p>
        </w:tc>
        <w:tc>
          <w:tcPr>
            <w:tcW w:type="dxa" w:w="28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Accuracy below 99% triggers root cause analysis within 15 days</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VAPT Certificate</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Every 90 days</w:t>
            </w:r>
          </w:p>
        </w:tc>
        <w:tc>
          <w:tcPr>
            <w:tcW w:type="dxa" w:w="28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CERT-In empanelled agency. Certificate within 7 days of completion</w:t>
            </w:r>
          </w:p>
        </w:tc>
        <w:tc>
          <w:tcPr>
            <w:tcW w:type="dxa" w:w="28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Missing quarterly VAPT restricts platform access until certified</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Grievance Resolution</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48-hour SLA</w:t>
            </w:r>
          </w:p>
        </w:tc>
        <w:tc>
          <w:tcPr>
            <w:tcW w:type="dxa" w:w="28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From ticket creation to first meaningful response</w:t>
            </w:r>
          </w:p>
        </w:tc>
        <w:tc>
          <w:tcPr>
            <w:tcW w:type="dxa" w:w="28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Weekly breach count reported to Department</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MIS Report Generation</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By 5th of month</w:t>
            </w:r>
          </w:p>
        </w:tc>
        <w:tc>
          <w:tcPr>
            <w:tcW w:type="dxa" w:w="28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Auto-generated monthly MIS with district/trade/employer breakdowns</w:t>
            </w:r>
          </w:p>
        </w:tc>
        <w:tc>
          <w:tcPr>
            <w:tcW w:type="dxa" w:w="28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Delayed MIS impacts fund release and programme credibility</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Disaster Recovery</w:t>
            </w:r>
          </w:p>
        </w:tc>
        <w:tc>
          <w:tcPr>
            <w:tcW w:type="dxa" w:w="14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RPO &lt;4 hrs, RTO &lt;8 hrs</w:t>
            </w:r>
          </w:p>
        </w:tc>
        <w:tc>
          <w:tcPr>
            <w:tcW w:type="dxa" w:w="28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DR drill every quarter with documented results</w:t>
            </w:r>
          </w:p>
        </w:tc>
        <w:tc>
          <w:tcPr>
            <w:tcW w:type="dxa" w:w="28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Failed DR drill triggers remediation and re-drill within 30 days</w:t>
            </w:r>
          </w:p>
        </w:tc>
      </w:tr>
    </w:tbl>
    <w:p>
      <w:r>
        <w:br w:type="page"/>
      </w:r>
    </w:p>
    <w:p>
      <w:pPr>
        <w:pStyle w:val="Heading1"/>
        <w:pBdr>
          <w:bottom w:val="single" w:color="2E75B6" w:sz="3" w:space="4"/>
        </w:pBdr>
        <w:spacing w:after="200" w:before="360"/>
      </w:pPr>
      <w:r>
        <w:rPr>
          <w:rFonts w:ascii="Arial" w:cs="Arial" w:eastAsia="Arial" w:hAnsi="Arial"/>
          <w:b/>
          <w:bCs/>
          <w:color w:val="1B3A5C"/>
          <w:sz w:val="32"/>
          <w:szCs w:val="32"/>
        </w:rPr>
        <w:t xml:space="preserve">9. MPOnline Workstream Mapping</w:t>
      </w:r>
    </w:p>
    <w:p>
      <w:pPr>
        <w:spacing w:after="120" w:line="276"/>
        <w:jc w:val="both"/>
      </w:pPr>
      <w:r>
        <w:rPr>
          <w:rFonts w:ascii="Arial" w:cs="Arial" w:eastAsia="Arial" w:hAnsi="Arial"/>
          <w:color w:val="333333"/>
          <w:sz w:val="22"/>
          <w:szCs w:val="22"/>
        </w:rPr>
        <w:t xml:space="preserve">This section maps the Skill Wallet programme workstreams to MPOnline’s existing capabilities, clearly indicating where MPOnline can leverage its current platforms and where new development is required.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Workstream</w:t>
            </w:r>
          </w:p>
        </w:tc>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MPOnline Leverage</w:t>
            </w:r>
          </w:p>
        </w:tc>
        <w:tc>
          <w:tcPr>
            <w:tcW w:type="dxa" w:w="2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New Build Required</w:t>
            </w:r>
          </w:p>
        </w:tc>
        <w:tc>
          <w:tcPr>
            <w:tcW w:type="dxa" w:w="27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 Indicator</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Citizen / Worker Portal (Wallet App)</w:t>
            </w:r>
          </w:p>
        </w:tc>
        <w:tc>
          <w:tcPr>
            <w:tcW w:type="dxa" w:w="20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Kiosk-assisted access model, form management, payment gateway</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PWA with offline capability, QR wallet, credential viewer, vernacular UI, WhatsApp integration</w:t>
            </w:r>
          </w:p>
        </w:tc>
        <w:tc>
          <w:tcPr>
            <w:tcW w:type="dxa" w:w="27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 — core product surface</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eKYC &amp; Onboarding</w:t>
            </w:r>
          </w:p>
        </w:tc>
        <w:tc>
          <w:tcPr>
            <w:tcW w:type="dxa" w:w="20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Identity verification, face detection, document management</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Aadhaar eKYC API adapter, DigiLocker connector, assisted-mode flow, de-duplication engine</w:t>
            </w:r>
          </w:p>
        </w:tc>
        <w:tc>
          <w:tcPr>
            <w:tcW w:type="dxa" w:w="27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Medium — extends existing auth</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Employer / Contractor Portal</w:t>
            </w:r>
          </w:p>
        </w:tc>
        <w:tc>
          <w:tcPr>
            <w:tcW w:type="dxa" w:w="20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B2G/G2B service delivery, employer registration</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Demand posting with DPR templates, worker allocation workflow, evidence capture, OJT tracking</w:t>
            </w:r>
          </w:p>
        </w:tc>
        <w:tc>
          <w:tcPr>
            <w:tcW w:type="dxa" w:w="27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 — new functional domain</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Assessment &amp; Certification</w:t>
            </w:r>
          </w:p>
        </w:tc>
        <w:tc>
          <w:tcPr>
            <w:tcW w:type="dxa" w:w="20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End-to-end online examination engine, anti-fraud controls, automated scoring</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RPL assessment workflow, NSQF mapping, SSC integration, bridge course recommendation engine</w:t>
            </w:r>
          </w:p>
        </w:tc>
        <w:tc>
          <w:tcPr>
            <w:tcW w:type="dxa" w:w="27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Medium — adapts exam platform</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AI Matching &amp; Intelligence</w:t>
            </w:r>
          </w:p>
        </w:tc>
        <w:tc>
          <w:tcPr>
            <w:tcW w:type="dxa" w:w="20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AI chatbot, facial recognition (deployed)</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Multi-model matching engine, skill graph, demand normalization, forecasting, explainability layer</w:t>
            </w:r>
          </w:p>
        </w:tc>
        <w:tc>
          <w:tcPr>
            <w:tcW w:type="dxa" w:w="27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 — new AI subsystem</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Government Integrations</w:t>
            </w:r>
          </w:p>
        </w:tc>
        <w:tc>
          <w:tcPr>
            <w:tcW w:type="dxa" w:w="20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40+ department integrations in MP, API experience</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Sewayojan, SIDH, UPSDM, DigiLocker, PFMS/DBT, Aadhaar API adapters for UP ecosystem</w:t>
            </w:r>
          </w:p>
        </w:tc>
        <w:tc>
          <w:tcPr>
            <w:tcW w:type="dxa" w:w="27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High — new state context</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Dashboards &amp; Command Centre</w:t>
            </w:r>
          </w:p>
        </w:tc>
        <w:tc>
          <w:tcPr>
            <w:tcW w:type="dxa" w:w="20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Reporting and MIS for government departments</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Role-specific KPI dashboards, drill-down analytics, audit trail export, PFMS UC population</w:t>
            </w:r>
          </w:p>
        </w:tc>
        <w:tc>
          <w:tcPr>
            <w:tcW w:type="dxa" w:w="27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Medium — extends BI capability</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DevSecOps &amp; Security</w:t>
            </w:r>
          </w:p>
        </w:tc>
        <w:tc>
          <w:tcPr>
            <w:tcW w:type="dxa" w:w="20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ISO 27001, CMMI L5 certified processes</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DPDP compliance layer, VAPT pipeline, SIEM setup, DR automation for UP deployment</w:t>
            </w:r>
          </w:p>
        </w:tc>
        <w:tc>
          <w:tcPr>
            <w:tcW w:type="dxa" w:w="27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Medium — applies existing standards</w:t>
            </w:r>
          </w:p>
        </w:tc>
      </w:tr>
      <w:tr>
        <w:tc>
          <w:tcPr>
            <w:tcW w:type="dxa" w:w="18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 Activation &amp; Onboarding</w:t>
            </w:r>
          </w:p>
        </w:tc>
        <w:tc>
          <w:tcPr>
            <w:tcW w:type="dxa" w:w="20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Data management across 55 districts in MP</w:t>
            </w:r>
          </w:p>
        </w:tc>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Sewayojan data cleanup, canonical ID creation, taxonomy mapping, employer seeding for 2 districts</w:t>
            </w:r>
          </w:p>
        </w:tc>
        <w:tc>
          <w:tcPr>
            <w:tcW w:type="dxa" w:w="27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Medium — new dataset</w:t>
            </w:r>
          </w:p>
        </w:tc>
      </w:tr>
    </w:tbl>
    <w:p>
      <w:r>
        <w:br w:type="page"/>
      </w:r>
    </w:p>
    <w:p>
      <w:pPr>
        <w:pStyle w:val="Heading1"/>
        <w:pBdr>
          <w:bottom w:val="single" w:color="2E75B6" w:sz="3" w:space="4"/>
        </w:pBdr>
        <w:spacing w:after="200" w:before="360"/>
      </w:pPr>
      <w:r>
        <w:rPr>
          <w:rFonts w:ascii="Arial" w:cs="Arial" w:eastAsia="Arial" w:hAnsi="Arial"/>
          <w:b/>
          <w:bCs/>
          <w:color w:val="1B3A5C"/>
          <w:sz w:val="32"/>
          <w:szCs w:val="32"/>
        </w:rPr>
        <w:t xml:space="preserve">10. Pilot Implementation Plan — MVP for Gorakhpur &amp; Hardoi</w:t>
      </w:r>
    </w:p>
    <w:p>
      <w:pPr>
        <w:spacing w:after="120" w:line="276"/>
        <w:jc w:val="both"/>
      </w:pPr>
      <w:r>
        <w:rPr>
          <w:rFonts w:ascii="Arial" w:cs="Arial" w:eastAsia="Arial" w:hAnsi="Arial"/>
          <w:color w:val="333333"/>
          <w:sz w:val="22"/>
          <w:szCs w:val="22"/>
        </w:rPr>
        <w:t xml:space="preserve">The pilot is structured across seven phases. Each phase ends with a structured review, demo, and milestone certification before the next phase begins. The objective is to build a production-grade two-district platform, not a demo.</w:t>
      </w:r>
    </w:p>
    <w:p>
      <w:pPr>
        <w:pStyle w:val="Heading2"/>
        <w:spacing w:after="160" w:before="280"/>
      </w:pPr>
      <w:r>
        <w:rPr>
          <w:rFonts w:ascii="Arial" w:cs="Arial" w:eastAsia="Arial" w:hAnsi="Arial"/>
          <w:b/>
          <w:bCs/>
          <w:color w:val="2E75B6"/>
          <w:sz w:val="26"/>
          <w:szCs w:val="26"/>
        </w:rPr>
        <w:t xml:space="preserve">10.1 Phase Structure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380"/>
        <w:gridCol w:w="3380"/>
      </w:tblGrid>
      <w:tr>
        <w:tc>
          <w:tcPr>
            <w:tcW w:type="dxa" w:w="1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338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Output</w:t>
            </w:r>
          </w:p>
        </w:tc>
        <w:tc>
          <w:tcPr>
            <w:tcW w:type="dxa" w:w="338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Critical Dependency</w:t>
            </w:r>
          </w:p>
        </w:tc>
      </w:tr>
      <w:tr>
        <w:tc>
          <w:tcPr>
            <w:tcW w:type="dxa" w:w="14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0: Mobilisation</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2–3 weeks</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Project governance, decision-rights map, environment setup, source-system access list, RACI matrix</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Named SPOCs from BVG and MPOnline, approval workflow confirmed, hosting environment provisioned</w:t>
            </w:r>
          </w:p>
        </w:tc>
      </w:tr>
      <w:tr>
        <w:tc>
          <w:tcPr>
            <w:tcW w:type="dxa" w:w="14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1: Discovery &amp; Blueprint</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4–6 weeks</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Functional and technical blueprint, data contracts, KPI dictionary, security design, target operating model, detailed BRD/FRD</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Access to representative Sewayojan data, stakeholder workshops with Labour Dept and UPICON, DM office coordination in Gorakhpur and Hardoi</w:t>
            </w:r>
          </w:p>
        </w:tc>
      </w:tr>
      <w:tr>
        <w:tc>
          <w:tcPr>
            <w:tcW w:type="dxa" w:w="14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2: Platform Foundation</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8–12 weeks</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Backend spine, worker app (PWA), employer portal, trust rail basics, command views, initial observability, CI/CD pipeline</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Architecture sign-off from BVG, hosting infrastructure live, TCS CoE Gorakhpur operational readiness</w:t>
            </w:r>
          </w:p>
        </w:tc>
      </w:tr>
      <w:tr>
        <w:tc>
          <w:tcPr>
            <w:tcW w:type="dxa" w:w="14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3: Integrations &amp; Evidence Rails</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6–8 weeks</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Sewayojan/DigiLocker/Aadhaar adapters, credential lifecycle, grievance workflow, attendance module, proof workflows</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API cooperation from source systems, test credentials from UIDAI/DigiLocker sandbox, PFMS sandbox access</w:t>
            </w:r>
          </w:p>
        </w:tc>
      </w:tr>
      <w:tr>
        <w:tc>
          <w:tcPr>
            <w:tcW w:type="dxa" w:w="14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4: Data Activation &amp; Pilot Config</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4–6 weeks</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Canonical IDs from Sewayojan base, role graph mapping, seed demand from Gorakhpur/Hardoi employers, support scripts, district onboarding SOPs</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Data quality approvals, employer roster for both districts, DM office coordination for camp scheduling</w:t>
            </w:r>
          </w:p>
        </w:tc>
      </w:tr>
      <w:tr>
        <w:tc>
          <w:tcPr>
            <w:tcW w:type="dxa" w:w="14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5: UAT &amp; Security</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3–4 weeks</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User validation with real district staff, training for PMU operators, VAPT by CERT-In empanelled agency, incident playbooks, release-readiness pack</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User availability from district offices, remediation cycle for critical bugs, VAPT agency engagement</w:t>
            </w:r>
          </w:p>
        </w:tc>
      </w:tr>
      <w:tr>
        <w:tc>
          <w:tcPr>
            <w:tcW w:type="dxa" w:w="14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6: Live Pilot &amp; Stabilisation</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8–12 weeks</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Controlled go-live in Gorakhpur and Hardoi, support desk, monitored adoption, evidence capture, KPI validation, improvement backlog</w:t>
            </w:r>
          </w:p>
        </w:tc>
        <w:tc>
          <w:tcPr>
            <w:tcW w:type="dxa" w:w="33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Live demand from employers, candidate camps operational, TCS CoE support, feedback loop with Labour Dept</w:t>
            </w:r>
          </w:p>
        </w:tc>
      </w:tr>
    </w:tbl>
    <w:p>
      <w:pPr>
        <w:pStyle w:val="Heading2"/>
        <w:spacing w:after="160" w:before="280"/>
      </w:pPr>
      <w:r>
        <w:rPr>
          <w:rFonts w:ascii="Arial" w:cs="Arial" w:eastAsia="Arial" w:hAnsi="Arial"/>
          <w:b/>
          <w:bCs/>
          <w:color w:val="2E75B6"/>
          <w:sz w:val="26"/>
          <w:szCs w:val="26"/>
        </w:rPr>
        <w:t xml:space="preserve">10.2 MVP Feature Set for Pilot</w:t>
      </w:r>
    </w:p>
    <w:p>
      <w:pPr>
        <w:spacing w:after="120" w:line="276"/>
        <w:jc w:val="both"/>
      </w:pPr>
      <w:r>
        <w:rPr>
          <w:rFonts w:ascii="Arial" w:cs="Arial" w:eastAsia="Arial" w:hAnsi="Arial"/>
          <w:color w:val="333333"/>
          <w:sz w:val="22"/>
          <w:szCs w:val="22"/>
        </w:rPr>
        <w:t xml:space="preserve">The MVP for the two-district pilot must include the following functional scope. Features marked as “Phase 2+” are designed into the architecture but not built in the pilot.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Pilot?</w:t>
            </w:r>
          </w:p>
        </w:tc>
        <w:tc>
          <w:tcPr>
            <w:tcW w:type="dxa" w:w="51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 Notes</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Worker registration via Aadhaar eKYC</w:t>
            </w:r>
          </w:p>
        </w:tc>
        <w:tc>
          <w:tcPr>
            <w:tcW w:type="dxa" w:w="12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Yes</w:t>
            </w:r>
          </w:p>
        </w:tc>
        <w:tc>
          <w:tcPr>
            <w:tcW w:type="dxa" w:w="51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Full eKYC flow with DigiLocker document pull. Assisted mode at kiosk/camp.</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Skill Wallet with QR credential display</w:t>
            </w:r>
          </w:p>
        </w:tc>
        <w:tc>
          <w:tcPr>
            <w:tcW w:type="dxa" w:w="12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Yes</w:t>
            </w:r>
          </w:p>
        </w:tc>
        <w:tc>
          <w:tcPr>
            <w:tcW w:type="dxa" w:w="51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Issue wallet, store RPL/NSQF certs, QR-based sharing. Employer can scan and verify.</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RPL assessment workflow</w:t>
            </w:r>
          </w:p>
        </w:tc>
        <w:tc>
          <w:tcPr>
            <w:tcW w:type="dxa" w:w="12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Yes</w:t>
            </w:r>
          </w:p>
        </w:tc>
        <w:tc>
          <w:tcPr>
            <w:tcW w:type="dxa" w:w="51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12-hour orientation, NOS-based scoring, gap report generation, SSC cert issuance.</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Bridge course recommendation</w:t>
            </w:r>
          </w:p>
        </w:tc>
        <w:tc>
          <w:tcPr>
            <w:tcW w:type="dxa" w:w="12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Yes</w:t>
            </w:r>
          </w:p>
        </w:tc>
        <w:tc>
          <w:tcPr>
            <w:tcW w:type="dxa" w:w="51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AI recommends bridge modules for candidates who are near-ready but not fully matched.</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Employer demand posting</w:t>
            </w:r>
          </w:p>
        </w:tc>
        <w:tc>
          <w:tcPr>
            <w:tcW w:type="dxa" w:w="12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Yes</w:t>
            </w:r>
          </w:p>
        </w:tc>
        <w:tc>
          <w:tcPr>
            <w:tcW w:type="dxa" w:w="51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Standardized demand template. DPR-based for government projects, open posting for private.</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AI matching (rules-first)</w:t>
            </w:r>
          </w:p>
        </w:tc>
        <w:tc>
          <w:tcPr>
            <w:tcW w:type="dxa" w:w="12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Yes</w:t>
            </w:r>
          </w:p>
        </w:tc>
        <w:tc>
          <w:tcPr>
            <w:tcW w:type="dxa" w:w="51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Rules-based matching for pilot. ML scoring layer designed but trained during pilot data collection.</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QR + Geo attendance</w:t>
            </w:r>
          </w:p>
        </w:tc>
        <w:tc>
          <w:tcPr>
            <w:tcW w:type="dxa" w:w="12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Yes</w:t>
            </w:r>
          </w:p>
        </w:tc>
        <w:tc>
          <w:tcPr>
            <w:tcW w:type="dxa" w:w="51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For training centres in both districts. Geo-tagged, time-stamped. Offline sync.</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Grievance module</w:t>
            </w:r>
          </w:p>
        </w:tc>
        <w:tc>
          <w:tcPr>
            <w:tcW w:type="dxa" w:w="12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Yes</w:t>
            </w:r>
          </w:p>
        </w:tc>
        <w:tc>
          <w:tcPr>
            <w:tcW w:type="dxa" w:w="51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Multi-channel intake (app + WhatsApp). SLA tracking. Escalation ladder.</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Department dashboard</w:t>
            </w:r>
          </w:p>
        </w:tc>
        <w:tc>
          <w:tcPr>
            <w:tcW w:type="dxa" w:w="12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Yes</w:t>
            </w:r>
          </w:p>
        </w:tc>
        <w:tc>
          <w:tcPr>
            <w:tcW w:type="dxa" w:w="51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Role-based views for DM, Labour Dept, PMU. Real-time KPIs. Monthly MIS auto-generation.</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Sewayojan integration</w:t>
            </w:r>
          </w:p>
        </w:tc>
        <w:tc>
          <w:tcPr>
            <w:tcW w:type="dxa" w:w="12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Yes</w:t>
            </w:r>
          </w:p>
        </w:tc>
        <w:tc>
          <w:tcPr>
            <w:tcW w:type="dxa" w:w="51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Bi-directional sync for candidate profiles and job listings. Batch + real-time.</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PFMS/DBT integration</w:t>
            </w:r>
          </w:p>
        </w:tc>
        <w:tc>
          <w:tcPr>
            <w:tcW w:type="dxa" w:w="12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Yes</w:t>
            </w:r>
          </w:p>
        </w:tc>
        <w:tc>
          <w:tcPr>
            <w:tcW w:type="dxa" w:w="51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Payment trigger for candidate incentives. UC data auto-population.</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Full wallet inside DigiLocker</w:t>
            </w:r>
          </w:p>
        </w:tc>
        <w:tc>
          <w:tcPr>
            <w:tcW w:type="dxa" w:w="1200"/>
            <w:tcBorders>
              <w:top w:val="single" w:color="B0C4DE" w:sz="1"/>
              <w:left w:val="single" w:color="B0C4DE" w:sz="1"/>
              <w:bottom w:val="single" w:color="B0C4DE" w:sz="1"/>
              <w:right w:val="single" w:color="B0C4DE" w:sz="1"/>
            </w:tcBorders>
            <w:shd w:fill="FF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2+</w:t>
            </w:r>
          </w:p>
        </w:tc>
        <w:tc>
          <w:tcPr>
            <w:tcW w:type="dxa" w:w="51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Document pull confirmed for pilot. Full wallet card inside DigiLocker deferred.</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APAAR / ABC integration</w:t>
            </w:r>
          </w:p>
        </w:tc>
        <w:tc>
          <w:tcPr>
            <w:tcW w:type="dxa" w:w="1200"/>
            <w:tcBorders>
              <w:top w:val="single" w:color="B0C4DE" w:sz="1"/>
              <w:left w:val="single" w:color="B0C4DE" w:sz="1"/>
              <w:bottom w:val="single" w:color="B0C4DE" w:sz="1"/>
              <w:right w:val="single" w:color="B0C4DE" w:sz="1"/>
            </w:tcBorders>
            <w:shd w:fill="FF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2+</w:t>
            </w:r>
          </w:p>
        </w:tc>
        <w:tc>
          <w:tcPr>
            <w:tcW w:type="dxa" w:w="51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Architecture designed. Integration depends on Labour Dept sign-off on timing.</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Predictive demand forecasting</w:t>
            </w:r>
          </w:p>
        </w:tc>
        <w:tc>
          <w:tcPr>
            <w:tcW w:type="dxa" w:w="1200"/>
            <w:tcBorders>
              <w:top w:val="single" w:color="B0C4DE" w:sz="1"/>
              <w:left w:val="single" w:color="B0C4DE" w:sz="1"/>
              <w:bottom w:val="single" w:color="B0C4DE" w:sz="1"/>
              <w:right w:val="single" w:color="B0C4DE" w:sz="1"/>
            </w:tcBorders>
            <w:shd w:fill="FF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2+</w:t>
            </w:r>
          </w:p>
        </w:tc>
        <w:tc>
          <w:tcPr>
            <w:tcW w:type="dxa" w:w="51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ML forecasting requires 6+ months of operational data. Designed in, trained later.</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Multi-district auto-scaling</w:t>
            </w:r>
          </w:p>
        </w:tc>
        <w:tc>
          <w:tcPr>
            <w:tcW w:type="dxa" w:w="1200"/>
            <w:tcBorders>
              <w:top w:val="single" w:color="B0C4DE" w:sz="1"/>
              <w:left w:val="single" w:color="B0C4DE" w:sz="1"/>
              <w:bottom w:val="single" w:color="B0C4DE" w:sz="1"/>
              <w:right w:val="single" w:color="B0C4DE" w:sz="1"/>
            </w:tcBorders>
            <w:shd w:fill="FFF3CD"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2+</w:t>
            </w:r>
          </w:p>
        </w:tc>
        <w:tc>
          <w:tcPr>
            <w:tcW w:type="dxa" w:w="51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Architecture supports horizontal scaling. Triggered after pilot validation.</w:t>
            </w:r>
          </w:p>
        </w:tc>
      </w:tr>
    </w:tbl>
    <w:p>
      <w:pPr>
        <w:pStyle w:val="Heading2"/>
        <w:spacing w:after="160" w:before="280"/>
      </w:pPr>
      <w:r>
        <w:rPr>
          <w:rFonts w:ascii="Arial" w:cs="Arial" w:eastAsia="Arial" w:hAnsi="Arial"/>
          <w:b/>
          <w:bCs/>
          <w:color w:val="2E75B6"/>
          <w:sz w:val="26"/>
          <w:szCs w:val="26"/>
        </w:rPr>
        <w:t xml:space="preserve">10.3 TCS Centre of Excellence — Gorakhpur</w:t>
      </w:r>
    </w:p>
    <w:p>
      <w:pPr>
        <w:spacing w:after="120" w:line="276"/>
        <w:jc w:val="both"/>
      </w:pPr>
      <w:r>
        <w:rPr>
          <w:rFonts w:ascii="Arial" w:cs="Arial" w:eastAsia="Arial" w:hAnsi="Arial"/>
          <w:color w:val="333333"/>
          <w:sz w:val="22"/>
          <w:szCs w:val="22"/>
        </w:rPr>
        <w:t xml:space="preserve">The TCS Centre of Excellence being established in Gorakhpur serves as the technology anchor for the pilot. MPOnline’s on-ground team will operate from or in coordination with this CoE for:</w:t>
      </w:r>
    </w:p>
    <w:p>
      <w:pPr>
        <w:spacing w:after="120" w:line="276"/>
        <w:jc w:val="both"/>
      </w:pPr>
      <w:r>
        <w:rPr>
          <w:rFonts w:ascii="Arial" w:cs="Arial" w:eastAsia="Arial" w:hAnsi="Arial"/>
          <w:b/>
          <w:bCs/>
          <w:color w:val="333333"/>
          <w:sz w:val="22"/>
          <w:szCs w:val="22"/>
        </w:rPr>
        <w:t xml:space="preserve">Quality Assurance: </w:t>
      </w:r>
      <w:r>
        <w:rPr>
          <w:rFonts w:ascii="Arial" w:cs="Arial" w:eastAsia="Arial" w:hAnsi="Arial"/>
          <w:color w:val="333333"/>
          <w:sz w:val="22"/>
          <w:szCs w:val="22"/>
        </w:rPr>
        <w:t xml:space="preserve">UAT cycles, integration testing, and performance benchmarking can be conducted at the CoE with direct access to the pilot district’s operational reality.</w:t>
      </w:r>
    </w:p>
    <w:p>
      <w:pPr>
        <w:spacing w:after="120" w:line="276"/>
        <w:jc w:val="both"/>
      </w:pPr>
      <w:r>
        <w:rPr>
          <w:rFonts w:ascii="Arial" w:cs="Arial" w:eastAsia="Arial" w:hAnsi="Arial"/>
          <w:b/>
          <w:bCs/>
          <w:color w:val="333333"/>
          <w:sz w:val="22"/>
          <w:szCs w:val="22"/>
        </w:rPr>
        <w:t xml:space="preserve">Training &amp; Capacity Building: </w:t>
      </w:r>
      <w:r>
        <w:rPr>
          <w:rFonts w:ascii="Arial" w:cs="Arial" w:eastAsia="Arial" w:hAnsi="Arial"/>
          <w:color w:val="333333"/>
          <w:sz w:val="22"/>
          <w:szCs w:val="22"/>
        </w:rPr>
        <w:t xml:space="preserve">District PMU staff, kiosk operators, and employer-facing support teams can be trained at the CoE. MPOnline’s existing training methodology from the 53,000-kiosk network in MP is directly applicable.</w:t>
      </w:r>
    </w:p>
    <w:p>
      <w:pPr>
        <w:spacing w:after="120" w:line="276"/>
        <w:jc w:val="both"/>
      </w:pPr>
      <w:r>
        <w:rPr>
          <w:rFonts w:ascii="Arial" w:cs="Arial" w:eastAsia="Arial" w:hAnsi="Arial"/>
          <w:b/>
          <w:bCs/>
          <w:color w:val="333333"/>
          <w:sz w:val="22"/>
          <w:szCs w:val="22"/>
        </w:rPr>
        <w:t xml:space="preserve">Support Desk: </w:t>
      </w:r>
      <w:r>
        <w:rPr>
          <w:rFonts w:ascii="Arial" w:cs="Arial" w:eastAsia="Arial" w:hAnsi="Arial"/>
          <w:color w:val="333333"/>
          <w:sz w:val="22"/>
          <w:szCs w:val="22"/>
        </w:rPr>
        <w:t xml:space="preserve">First-line support during hypercare phase can be co-located at the CoE, with escalation to MPOnline’s central engineering team.</w:t>
      </w:r>
    </w:p>
    <w:p>
      <w:pPr>
        <w:spacing w:after="120" w:line="276"/>
        <w:jc w:val="both"/>
      </w:pPr>
      <w:r>
        <w:rPr>
          <w:rFonts w:ascii="Arial" w:cs="Arial" w:eastAsia="Arial" w:hAnsi="Arial"/>
          <w:b/>
          <w:bCs/>
          <w:color w:val="333333"/>
          <w:sz w:val="22"/>
          <w:szCs w:val="22"/>
        </w:rPr>
        <w:t xml:space="preserve">District Demand Activation: </w:t>
      </w:r>
      <w:r>
        <w:rPr>
          <w:rFonts w:ascii="Arial" w:cs="Arial" w:eastAsia="Arial" w:hAnsi="Arial"/>
          <w:color w:val="333333"/>
          <w:sz w:val="22"/>
          <w:szCs w:val="22"/>
        </w:rPr>
        <w:t xml:space="preserve">The DM’s signal about high workforce demand in Gorakhpur means the pilot has a real demand base from day one. Construction projects, healthcare facilities, logistics operations — these become the first employer entries in the demand repository.</w:t>
      </w:r>
    </w:p>
    <w:p>
      <w:r>
        <w:br w:type="page"/>
      </w:r>
    </w:p>
    <w:p>
      <w:pPr>
        <w:pStyle w:val="Heading1"/>
        <w:pBdr>
          <w:bottom w:val="single" w:color="2E75B6" w:sz="3" w:space="4"/>
        </w:pBdr>
        <w:spacing w:after="200" w:before="360"/>
      </w:pPr>
      <w:r>
        <w:rPr>
          <w:rFonts w:ascii="Arial" w:cs="Arial" w:eastAsia="Arial" w:hAnsi="Arial"/>
          <w:b/>
          <w:bCs/>
          <w:color w:val="1B3A5C"/>
          <w:sz w:val="32"/>
          <w:szCs w:val="32"/>
        </w:rPr>
        <w:t xml:space="preserve">11. Mandatory Deliverables from MPOnline</w:t>
      </w:r>
    </w:p>
    <w:p>
      <w:pPr>
        <w:spacing w:after="120" w:line="276"/>
        <w:jc w:val="both"/>
      </w:pPr>
      <w:r>
        <w:rPr>
          <w:rFonts w:ascii="Arial" w:cs="Arial" w:eastAsia="Arial" w:hAnsi="Arial"/>
          <w:color w:val="333333"/>
          <w:sz w:val="22"/>
          <w:szCs w:val="22"/>
        </w:rPr>
        <w:t xml:space="preserve">The following deliverables are required from MPOnline across the implementation lifecycle. Each deliverable has a defined output format and a review gate.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293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W w:type="dxa" w:w="293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Review Gate</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Functional &amp; Technical Design Documents (BRD/FRD)</w:t>
            </w:r>
          </w:p>
        </w:tc>
        <w:tc>
          <w:tcPr>
            <w:tcW w:type="dxa" w:w="293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Document + architecture diagrams</w:t>
            </w:r>
          </w:p>
        </w:tc>
        <w:tc>
          <w:tcPr>
            <w:tcW w:type="dxa" w:w="293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Phase 1 exit review with BVG</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UI/UX Flows &amp; Design System</w:t>
            </w:r>
          </w:p>
        </w:tc>
        <w:tc>
          <w:tcPr>
            <w:tcW w:type="dxa" w:w="293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Figma/XD + responsive design specs</w:t>
            </w:r>
          </w:p>
        </w:tc>
        <w:tc>
          <w:tcPr>
            <w:tcW w:type="dxa" w:w="293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Phase 1 exit, updated in Phase 2</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Source Code, Deployment Scripts, Config Docs</w:t>
            </w:r>
          </w:p>
        </w:tc>
        <w:tc>
          <w:tcPr>
            <w:tcW w:type="dxa" w:w="293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Git repository + environment runbooks</w:t>
            </w:r>
          </w:p>
        </w:tc>
        <w:tc>
          <w:tcPr>
            <w:tcW w:type="dxa" w:w="293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Continuous — reviewed at each phase gate</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 Model, Dictionaries, Mapping Packs</w:t>
            </w:r>
          </w:p>
        </w:tc>
        <w:tc>
          <w:tcPr>
            <w:tcW w:type="dxa" w:w="293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Database schema + data dictionary + adapter specs</w:t>
            </w:r>
          </w:p>
        </w:tc>
        <w:tc>
          <w:tcPr>
            <w:tcW w:type="dxa" w:w="293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Phase 1 blueprint, updated through Phase 4</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 Documentation (OpenAPI 3.0)</w:t>
            </w:r>
          </w:p>
        </w:tc>
        <w:tc>
          <w:tcPr>
            <w:tcW w:type="dxa" w:w="293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Swagger/OpenAPI spec for all endpoints</w:t>
            </w:r>
          </w:p>
        </w:tc>
        <w:tc>
          <w:tcPr>
            <w:tcW w:type="dxa" w:w="293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Phase 2 foundation review</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Security Controls, IAM Design, Logging Policy</w:t>
            </w:r>
          </w:p>
        </w:tc>
        <w:tc>
          <w:tcPr>
            <w:tcW w:type="dxa" w:w="293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 architecture document + DR approach</w:t>
            </w:r>
          </w:p>
        </w:tc>
        <w:tc>
          <w:tcPr>
            <w:tcW w:type="dxa" w:w="293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Phase 2 review, VAPT in Phase 5</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QA Suite, UAT Pack, Training Material</w:t>
            </w:r>
          </w:p>
        </w:tc>
        <w:tc>
          <w:tcPr>
            <w:tcW w:type="dxa" w:w="293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Test cases + training manuals + admin guides</w:t>
            </w:r>
          </w:p>
        </w:tc>
        <w:tc>
          <w:tcPr>
            <w:tcW w:type="dxa" w:w="293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Phase 5 UAT gate</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Evidence-Pack Design &amp; Audit Export Logic</w:t>
            </w:r>
          </w:p>
        </w:tc>
        <w:tc>
          <w:tcPr>
            <w:tcW w:type="dxa" w:w="293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Audit export format + evidence schemas</w:t>
            </w:r>
          </w:p>
        </w:tc>
        <w:tc>
          <w:tcPr>
            <w:tcW w:type="dxa" w:w="293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Phase 3 review with BVG governance</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Incident Response Playbooks</w:t>
            </w:r>
          </w:p>
        </w:tc>
        <w:tc>
          <w:tcPr>
            <w:tcW w:type="dxa" w:w="293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SOP document for P1/P2/P3 incidents</w:t>
            </w:r>
          </w:p>
        </w:tc>
        <w:tc>
          <w:tcPr>
            <w:tcW w:type="dxa" w:w="293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Phase 5 security review</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Hypercare Plan &amp; Support Model</w:t>
            </w:r>
          </w:p>
        </w:tc>
        <w:tc>
          <w:tcPr>
            <w:tcW w:type="dxa" w:w="293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Support desk SOP + escalation matrix</w:t>
            </w:r>
          </w:p>
        </w:tc>
        <w:tc>
          <w:tcPr>
            <w:tcW w:type="dxa" w:w="293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Phase 6 go-live gate</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VAPT Certificate</w:t>
            </w:r>
          </w:p>
        </w:tc>
        <w:tc>
          <w:tcPr>
            <w:tcW w:type="dxa" w:w="293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Report from CERT-In empanelled agency</w:t>
            </w:r>
          </w:p>
        </w:tc>
        <w:tc>
          <w:tcPr>
            <w:tcW w:type="dxa" w:w="293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Phase 5 — before go-live</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Scale Architecture &amp; Migration Plan</w:t>
            </w:r>
          </w:p>
        </w:tc>
        <w:tc>
          <w:tcPr>
            <w:tcW w:type="dxa" w:w="293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Scale-up readiness document</w:t>
            </w:r>
          </w:p>
        </w:tc>
        <w:tc>
          <w:tcPr>
            <w:tcW w:type="dxa" w:w="293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Phase 6 exit — post-pilot evidence</w:t>
            </w:r>
          </w:p>
        </w:tc>
      </w:tr>
    </w:tbl>
    <w:p>
      <w:r>
        <w:br w:type="page"/>
      </w:r>
    </w:p>
    <w:p>
      <w:pPr>
        <w:pStyle w:val="Heading1"/>
        <w:pBdr>
          <w:bottom w:val="single" w:color="2E75B6" w:sz="3" w:space="4"/>
        </w:pBdr>
        <w:spacing w:after="200" w:before="360"/>
      </w:pPr>
      <w:r>
        <w:rPr>
          <w:rFonts w:ascii="Arial" w:cs="Arial" w:eastAsia="Arial" w:hAnsi="Arial"/>
          <w:b/>
          <w:bCs/>
          <w:color w:val="1B3A5C"/>
          <w:sz w:val="32"/>
          <w:szCs w:val="32"/>
        </w:rPr>
        <w:t xml:space="preserve">12. Recommended Technology Stack</w:t>
      </w:r>
    </w:p>
    <w:p>
      <w:pPr>
        <w:spacing w:after="120" w:line="276"/>
        <w:jc w:val="both"/>
      </w:pPr>
      <w:r>
        <w:rPr>
          <w:rFonts w:ascii="Arial" w:cs="Arial" w:eastAsia="Arial" w:hAnsi="Arial"/>
          <w:color w:val="333333"/>
          <w:sz w:val="22"/>
          <w:szCs w:val="22"/>
        </w:rPr>
        <w:t xml:space="preserve">The following stack is recommended based on the architecture requirements, government compliance needs, and MPOnline’s existing technology capabilities. MPOnline may propose alternatives where justified, provided they meet the interoperability and security standards specified in Sections 6 and 7.</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58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Recommended</w:t>
            </w:r>
          </w:p>
        </w:tc>
        <w:tc>
          <w:tcPr>
            <w:tcW w:type="dxa" w:w="358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Frontend (Citizen App)</w:t>
            </w:r>
          </w:p>
        </w:tc>
        <w:tc>
          <w:tcPr>
            <w:tcW w:type="dxa" w:w="35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React / Next.js PWA with Tailwind CSS. Android wrapper for Play Store.</w:t>
            </w:r>
          </w:p>
        </w:tc>
        <w:tc>
          <w:tcPr>
            <w:tcW w:type="dxa" w:w="35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PWA provides offline capability and low-bandwidth resilience. React ecosystem ensures component reusability across citizen, employer, and dashboard surfaces.</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Frontend (Dashboards)</w:t>
            </w:r>
          </w:p>
        </w:tc>
        <w:tc>
          <w:tcPr>
            <w:tcW w:type="dxa" w:w="35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React with role-based routing. Recharts/D3 for data visualisation.</w:t>
            </w:r>
          </w:p>
        </w:tc>
        <w:tc>
          <w:tcPr>
            <w:tcW w:type="dxa" w:w="35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Role-specific views for DM, Labour Dept, PMU, employer. Drill-down analytics.</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Backend Services</w:t>
            </w:r>
          </w:p>
        </w:tc>
        <w:tc>
          <w:tcPr>
            <w:tcW w:type="dxa" w:w="35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Node.js or Java Spring Boot microservices. REST APIs with OpenAPI 3.0.</w:t>
            </w:r>
          </w:p>
        </w:tc>
        <w:tc>
          <w:tcPr>
            <w:tcW w:type="dxa" w:w="35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Microservice architecture allows independent scaling and deployment. OpenAPI ensures auditability.</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Database</w:t>
            </w:r>
          </w:p>
        </w:tc>
        <w:tc>
          <w:tcPr>
            <w:tcW w:type="dxa" w:w="35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PostgreSQL (primary), Redis (caching), Elasticsearch (search index)</w:t>
            </w:r>
          </w:p>
        </w:tc>
        <w:tc>
          <w:tcPr>
            <w:tcW w:type="dxa" w:w="35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PostgreSQL for ACID compliance and JSONB flexibility. Redis for session management and rate limiting. Elasticsearch for skill/job search.</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Message Queue</w:t>
            </w:r>
          </w:p>
        </w:tc>
        <w:tc>
          <w:tcPr>
            <w:tcW w:type="dxa" w:w="35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RabbitMQ or Apache Kafka for event bus</w:t>
            </w:r>
          </w:p>
        </w:tc>
        <w:tc>
          <w:tcPr>
            <w:tcW w:type="dxa" w:w="35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Event-driven architecture for real-time notifications, integration sync, and audit logging.</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AI/ML Layer</w:t>
            </w:r>
          </w:p>
        </w:tc>
        <w:tc>
          <w:tcPr>
            <w:tcW w:type="dxa" w:w="35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Multi-model: Rules engine (Drools or custom) + ML scoring (Python/FastAPI). Model-agnostic API layer.</w:t>
            </w:r>
          </w:p>
        </w:tc>
        <w:tc>
          <w:tcPr>
            <w:tcW w:type="dxa" w:w="35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Rules-first for high-stakes decisions (consent, DBT, eligibility). ML for matching and recommendations. No single-vendor lock.</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Identity &amp; Auth</w:t>
            </w:r>
          </w:p>
        </w:tc>
        <w:tc>
          <w:tcPr>
            <w:tcW w:type="dxa" w:w="35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Aadhaar eKYC API, DigiLocker API, OAuth 2.0 / OIDC, JWT</w:t>
            </w:r>
          </w:p>
        </w:tc>
        <w:tc>
          <w:tcPr>
            <w:tcW w:type="dxa" w:w="35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Government-mandated identity rails. OAuth for department staff access.</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DevOps &amp; CI/CD</w:t>
            </w:r>
          </w:p>
        </w:tc>
        <w:tc>
          <w:tcPr>
            <w:tcW w:type="dxa" w:w="35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Docker, Kubernetes (K8s), GitLab CI/CD or Jenkins, Terraform for IaC</w:t>
            </w:r>
          </w:p>
        </w:tc>
        <w:tc>
          <w:tcPr>
            <w:tcW w:type="dxa" w:w="35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Containerised deployment. Infrastructure as code. Automated testing pipeline.</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Monitoring &amp; Observability</w:t>
            </w:r>
          </w:p>
        </w:tc>
        <w:tc>
          <w:tcPr>
            <w:tcW w:type="dxa" w:w="35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Prometheus + Grafana (metrics), ELK Stack (logging), Jaeger (tracing)</w:t>
            </w:r>
          </w:p>
        </w:tc>
        <w:tc>
          <w:tcPr>
            <w:tcW w:type="dxa" w:w="35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Full observability stack. Real-time alerting. Distributed tracing across microservices.</w:t>
            </w:r>
          </w:p>
        </w:tc>
      </w:tr>
      <w:tr>
        <w:tc>
          <w:tcPr>
            <w:tcW w:type="dxa" w:w="22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Cloud Hosting</w:t>
            </w:r>
          </w:p>
        </w:tc>
        <w:tc>
          <w:tcPr>
            <w:tcW w:type="dxa" w:w="35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India-hosted cloud (AWS Mumbai / Azure India / approved NIC). NIC/state DC migration-ready.</w:t>
            </w:r>
          </w:p>
        </w:tc>
        <w:tc>
          <w:tcPr>
            <w:tcW w:type="dxa" w:w="35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Design NIC-ready from day one. Host on approved India cloud first. Migrate to NIC when hosting decision is formalised.</w:t>
            </w:r>
          </w:p>
        </w:tc>
      </w:tr>
    </w:tbl>
    <w:p>
      <w:r>
        <w:br w:type="page"/>
      </w:r>
    </w:p>
    <w:p>
      <w:pPr>
        <w:pStyle w:val="Heading1"/>
        <w:pBdr>
          <w:bottom w:val="single" w:color="2E75B6" w:sz="3" w:space="4"/>
        </w:pBdr>
        <w:spacing w:after="200" w:before="360"/>
      </w:pPr>
      <w:r>
        <w:rPr>
          <w:rFonts w:ascii="Arial" w:cs="Arial" w:eastAsia="Arial" w:hAnsi="Arial"/>
          <w:b/>
          <w:bCs/>
          <w:color w:val="1B3A5C"/>
          <w:sz w:val="32"/>
          <w:szCs w:val="32"/>
        </w:rPr>
        <w:t xml:space="preserve">13. Governance &amp; Coordination Model</w:t>
      </w:r>
    </w:p>
    <w:p>
      <w:pPr>
        <w:pStyle w:val="Heading2"/>
        <w:spacing w:after="160" w:before="280"/>
      </w:pPr>
      <w:r>
        <w:rPr>
          <w:rFonts w:ascii="Arial" w:cs="Arial" w:eastAsia="Arial" w:hAnsi="Arial"/>
          <w:b/>
          <w:bCs/>
          <w:color w:val="2E75B6"/>
          <w:sz w:val="26"/>
          <w:szCs w:val="26"/>
        </w:rPr>
        <w:t xml:space="preserve">13.1 RACI Between BVG and MPOnline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234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BVG India</w:t>
            </w:r>
          </w:p>
        </w:tc>
        <w:tc>
          <w:tcPr>
            <w:tcW w:type="dxa" w:w="234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MPOnline</w:t>
            </w:r>
          </w:p>
        </w:tc>
      </w:tr>
      <w:tr>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Programme governance, stakeholder management, department liaison</w:t>
            </w:r>
          </w:p>
        </w:tc>
        <w:tc>
          <w:tcPr>
            <w:tcW w:type="dxa" w:w="234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Responsible</w:t>
            </w:r>
          </w:p>
        </w:tc>
        <w:tc>
          <w:tcPr>
            <w:tcW w:type="dxa" w:w="234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Informed</w:t>
            </w:r>
          </w:p>
        </w:tc>
      </w:tr>
      <w:tr>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Technical architecture sign-off</w:t>
            </w:r>
          </w:p>
        </w:tc>
        <w:tc>
          <w:tcPr>
            <w:tcW w:type="dxa" w:w="234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Accountable</w:t>
            </w:r>
          </w:p>
        </w:tc>
        <w:tc>
          <w:tcPr>
            <w:tcW w:type="dxa" w:w="234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Responsible</w:t>
            </w:r>
          </w:p>
        </w:tc>
      </w:tr>
      <w:tr>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Platform development (all 9 modules)</w:t>
            </w:r>
          </w:p>
        </w:tc>
        <w:tc>
          <w:tcPr>
            <w:tcW w:type="dxa" w:w="234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Consulted</w:t>
            </w:r>
          </w:p>
        </w:tc>
        <w:tc>
          <w:tcPr>
            <w:tcW w:type="dxa" w:w="234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Responsible</w:t>
            </w:r>
          </w:p>
        </w:tc>
      </w:tr>
      <w:tr>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Government integration (API adapters)</w:t>
            </w:r>
          </w:p>
        </w:tc>
        <w:tc>
          <w:tcPr>
            <w:tcW w:type="dxa" w:w="234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Consulted</w:t>
            </w:r>
          </w:p>
        </w:tc>
        <w:tc>
          <w:tcPr>
            <w:tcW w:type="dxa" w:w="234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Responsible</w:t>
            </w:r>
          </w:p>
        </w:tc>
      </w:tr>
      <w:tr>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Data activation (Sewayojan cleanup, taxonomy, employer seeding)</w:t>
            </w:r>
          </w:p>
        </w:tc>
        <w:tc>
          <w:tcPr>
            <w:tcW w:type="dxa" w:w="234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Accountable</w:t>
            </w:r>
          </w:p>
        </w:tc>
        <w:tc>
          <w:tcPr>
            <w:tcW w:type="dxa" w:w="234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Responsible</w:t>
            </w:r>
          </w:p>
        </w:tc>
      </w:tr>
      <w:tr>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 VAPT, DPDP compliance</w:t>
            </w:r>
          </w:p>
        </w:tc>
        <w:tc>
          <w:tcPr>
            <w:tcW w:type="dxa" w:w="234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Accountable</w:t>
            </w:r>
          </w:p>
        </w:tc>
        <w:tc>
          <w:tcPr>
            <w:tcW w:type="dxa" w:w="234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Responsible</w:t>
            </w:r>
          </w:p>
        </w:tc>
      </w:tr>
      <w:tr>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District operations (camps, kiosks, training)</w:t>
            </w:r>
          </w:p>
        </w:tc>
        <w:tc>
          <w:tcPr>
            <w:tcW w:type="dxa" w:w="234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Responsible</w:t>
            </w:r>
          </w:p>
        </w:tc>
        <w:tc>
          <w:tcPr>
            <w:tcW w:type="dxa" w:w="234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Consulted</w:t>
            </w:r>
          </w:p>
        </w:tc>
      </w:tr>
      <w:tr>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Employer activation and demand seeding</w:t>
            </w:r>
          </w:p>
        </w:tc>
        <w:tc>
          <w:tcPr>
            <w:tcW w:type="dxa" w:w="234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Responsible</w:t>
            </w:r>
          </w:p>
        </w:tc>
        <w:tc>
          <w:tcPr>
            <w:tcW w:type="dxa" w:w="234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Informed</w:t>
            </w:r>
          </w:p>
        </w:tc>
      </w:tr>
      <w:tr>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UAT coordination and milestone certification</w:t>
            </w:r>
          </w:p>
        </w:tc>
        <w:tc>
          <w:tcPr>
            <w:tcW w:type="dxa" w:w="234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Accountable</w:t>
            </w:r>
          </w:p>
        </w:tc>
        <w:tc>
          <w:tcPr>
            <w:tcW w:type="dxa" w:w="234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Responsible</w:t>
            </w:r>
          </w:p>
        </w:tc>
      </w:tr>
      <w:tr>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Post-go-live support desk and hypercare</w:t>
            </w:r>
          </w:p>
        </w:tc>
        <w:tc>
          <w:tcPr>
            <w:tcW w:type="dxa" w:w="234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Consulted</w:t>
            </w:r>
          </w:p>
        </w:tc>
        <w:tc>
          <w:tcPr>
            <w:tcW w:type="dxa" w:w="234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Responsible</w:t>
            </w:r>
          </w:p>
        </w:tc>
      </w:tr>
      <w:tr>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Scale-up architecture and multi-district rollout plan</w:t>
            </w:r>
          </w:p>
        </w:tc>
        <w:tc>
          <w:tcPr>
            <w:tcW w:type="dxa" w:w="234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Accountable</w:t>
            </w:r>
          </w:p>
        </w:tc>
        <w:tc>
          <w:tcPr>
            <w:tcW w:type="dxa" w:w="234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Responsible</w:t>
            </w:r>
          </w:p>
        </w:tc>
      </w:tr>
    </w:tbl>
    <w:p>
      <w:pPr>
        <w:pStyle w:val="Heading2"/>
        <w:spacing w:after="160" w:before="280"/>
      </w:pPr>
      <w:r>
        <w:rPr>
          <w:rFonts w:ascii="Arial" w:cs="Arial" w:eastAsia="Arial" w:hAnsi="Arial"/>
          <w:b/>
          <w:bCs/>
          <w:color w:val="2E75B6"/>
          <w:sz w:val="26"/>
          <w:szCs w:val="26"/>
        </w:rPr>
        <w:t xml:space="preserve">13.2 Communication Cadence</w:t>
      </w:r>
    </w:p>
    <w:p>
      <w:pPr>
        <w:spacing w:after="120" w:line="276"/>
        <w:jc w:val="both"/>
      </w:pPr>
      <w:r>
        <w:rPr>
          <w:rFonts w:ascii="Arial" w:cs="Arial" w:eastAsia="Arial" w:hAnsi="Arial"/>
          <w:b/>
          <w:bCs/>
          <w:color w:val="333333"/>
          <w:sz w:val="22"/>
          <w:szCs w:val="22"/>
        </w:rPr>
        <w:t xml:space="preserve">Daily: </w:t>
      </w:r>
      <w:r>
        <w:rPr>
          <w:rFonts w:ascii="Arial" w:cs="Arial" w:eastAsia="Arial" w:hAnsi="Arial"/>
          <w:color w:val="333333"/>
          <w:sz w:val="22"/>
          <w:szCs w:val="22"/>
        </w:rPr>
        <w:t xml:space="preserve">Stand-up between MPOnline tech lead and BVG programme coordinator (15 min, async update acceptable).</w:t>
      </w:r>
    </w:p>
    <w:p>
      <w:pPr>
        <w:spacing w:after="120" w:line="276"/>
        <w:jc w:val="both"/>
      </w:pPr>
      <w:r>
        <w:rPr>
          <w:rFonts w:ascii="Arial" w:cs="Arial" w:eastAsia="Arial" w:hAnsi="Arial"/>
          <w:b/>
          <w:bCs/>
          <w:color w:val="333333"/>
          <w:sz w:val="22"/>
          <w:szCs w:val="22"/>
        </w:rPr>
        <w:t xml:space="preserve">Weekly: </w:t>
      </w:r>
      <w:r>
        <w:rPr>
          <w:rFonts w:ascii="Arial" w:cs="Arial" w:eastAsia="Arial" w:hAnsi="Arial"/>
          <w:color w:val="333333"/>
          <w:sz w:val="22"/>
          <w:szCs w:val="22"/>
        </w:rPr>
        <w:t xml:space="preserve">Sprint review / demo. RAID log update. Blocker escalation.</w:t>
      </w:r>
    </w:p>
    <w:p>
      <w:pPr>
        <w:spacing w:after="120" w:line="276"/>
        <w:jc w:val="both"/>
      </w:pPr>
      <w:r>
        <w:rPr>
          <w:rFonts w:ascii="Arial" w:cs="Arial" w:eastAsia="Arial" w:hAnsi="Arial"/>
          <w:b/>
          <w:bCs/>
          <w:color w:val="333333"/>
          <w:sz w:val="22"/>
          <w:szCs w:val="22"/>
        </w:rPr>
        <w:t xml:space="preserve">Bi-weekly: </w:t>
      </w:r>
      <w:r>
        <w:rPr>
          <w:rFonts w:ascii="Arial" w:cs="Arial" w:eastAsia="Arial" w:hAnsi="Arial"/>
          <w:color w:val="333333"/>
          <w:sz w:val="22"/>
          <w:szCs w:val="22"/>
        </w:rPr>
        <w:t xml:space="preserve">BVG leadership sync with MPOnline project manager. Progress against milestone plan.</w:t>
      </w:r>
    </w:p>
    <w:p>
      <w:pPr>
        <w:spacing w:after="120" w:line="276"/>
        <w:jc w:val="both"/>
      </w:pPr>
      <w:r>
        <w:rPr>
          <w:rFonts w:ascii="Arial" w:cs="Arial" w:eastAsia="Arial" w:hAnsi="Arial"/>
          <w:b/>
          <w:bCs/>
          <w:color w:val="333333"/>
          <w:sz w:val="22"/>
          <w:szCs w:val="22"/>
        </w:rPr>
        <w:t xml:space="preserve">Phase Gate: </w:t>
      </w:r>
      <w:r>
        <w:rPr>
          <w:rFonts w:ascii="Arial" w:cs="Arial" w:eastAsia="Arial" w:hAnsi="Arial"/>
          <w:color w:val="333333"/>
          <w:sz w:val="22"/>
          <w:szCs w:val="22"/>
        </w:rPr>
        <w:t xml:space="preserve">Formal review at each phase exit. Go/no-go decision. Milestone certification before next tranche.</w:t>
      </w:r>
    </w:p>
    <w:p>
      <w:r>
        <w:br w:type="page"/>
      </w:r>
    </w:p>
    <w:p>
      <w:pPr>
        <w:pStyle w:val="Heading1"/>
        <w:pBdr>
          <w:bottom w:val="single" w:color="2E75B6" w:sz="3" w:space="4"/>
        </w:pBdr>
        <w:spacing w:after="200" w:before="360"/>
      </w:pPr>
      <w:r>
        <w:rPr>
          <w:rFonts w:ascii="Arial" w:cs="Arial" w:eastAsia="Arial" w:hAnsi="Arial"/>
          <w:b/>
          <w:bCs/>
          <w:color w:val="1B3A5C"/>
          <w:sz w:val="32"/>
          <w:szCs w:val="32"/>
        </w:rPr>
        <w:t xml:space="preserve">14. What BVG Needs from MPOnline — Immediate Actions</w:t>
      </w:r>
    </w:p>
    <w:p>
      <w:pPr>
        <w:spacing w:after="120" w:line="276"/>
        <w:jc w:val="both"/>
      </w:pPr>
      <w:r>
        <w:rPr>
          <w:rFonts w:ascii="Arial" w:cs="Arial" w:eastAsia="Arial" w:hAnsi="Arial"/>
          <w:color w:val="333333"/>
          <w:sz w:val="22"/>
          <w:szCs w:val="22"/>
        </w:rPr>
        <w:t xml:space="preserve">The following actions are required from MPOnline to begin Phase 0 mobilisation: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2500"/>
        <w:gridCol w:w="2500"/>
      </w:tblGrid>
      <w:tr>
        <w:tc>
          <w:tcPr>
            <w:tcW w:type="dxa" w:w="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7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Item</w:t>
            </w:r>
          </w:p>
        </w:tc>
        <w:tc>
          <w:tcPr>
            <w:tcW w:type="dxa" w:w="2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r>
      <w:tr>
        <w:tc>
          <w:tcPr>
            <w:tcW w:type="dxa" w:w="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w:t>
            </w:r>
          </w:p>
        </w:tc>
        <w:tc>
          <w:tcPr>
            <w:tcW w:type="dxa" w:w="37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Nominate a Technical Lead (Solution Architect) and a Project Manager as primary SPOCs</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MPOnline</w:t>
            </w:r>
          </w:p>
        </w:tc>
        <w:tc>
          <w:tcPr>
            <w:tcW w:type="dxa" w:w="25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Week 1</w:t>
            </w:r>
          </w:p>
        </w:tc>
      </w:tr>
      <w:tr>
        <w:tc>
          <w:tcPr>
            <w:tcW w:type="dxa" w:w="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w:t>
            </w:r>
          </w:p>
        </w:tc>
        <w:tc>
          <w:tcPr>
            <w:tcW w:type="dxa" w:w="37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Share existing platform architecture documentation (tech stack, API patterns, deployment model)</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MPOnline</w:t>
            </w:r>
          </w:p>
        </w:tc>
        <w:tc>
          <w:tcPr>
            <w:tcW w:type="dxa" w:w="25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Week 1</w:t>
            </w:r>
          </w:p>
        </w:tc>
      </w:tr>
      <w:tr>
        <w:tc>
          <w:tcPr>
            <w:tcW w:type="dxa" w:w="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3</w:t>
            </w:r>
          </w:p>
        </w:tc>
        <w:tc>
          <w:tcPr>
            <w:tcW w:type="dxa" w:w="37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Confirm hosting environment preference and timeline for provisioning</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MPOnline + BVG</w:t>
            </w:r>
          </w:p>
        </w:tc>
        <w:tc>
          <w:tcPr>
            <w:tcW w:type="dxa" w:w="25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Week 2</w:t>
            </w:r>
          </w:p>
        </w:tc>
      </w:tr>
      <w:tr>
        <w:tc>
          <w:tcPr>
            <w:tcW w:type="dxa" w:w="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4</w:t>
            </w:r>
          </w:p>
        </w:tc>
        <w:tc>
          <w:tcPr>
            <w:tcW w:type="dxa" w:w="37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Review this document and submit technical queries / clarification requests</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MPOnline</w:t>
            </w:r>
          </w:p>
        </w:tc>
        <w:tc>
          <w:tcPr>
            <w:tcW w:type="dxa" w:w="25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Week 2</w:t>
            </w:r>
          </w:p>
        </w:tc>
      </w:tr>
      <w:tr>
        <w:tc>
          <w:tcPr>
            <w:tcW w:type="dxa" w:w="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5</w:t>
            </w:r>
          </w:p>
        </w:tc>
        <w:tc>
          <w:tcPr>
            <w:tcW w:type="dxa" w:w="37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Provide effort estimate for Phase 1 (Discovery &amp; Blueprint) based on this brief</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MPOnline</w:t>
            </w:r>
          </w:p>
        </w:tc>
        <w:tc>
          <w:tcPr>
            <w:tcW w:type="dxa" w:w="25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Week 3</w:t>
            </w:r>
          </w:p>
        </w:tc>
      </w:tr>
      <w:tr>
        <w:tc>
          <w:tcPr>
            <w:tcW w:type="dxa" w:w="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6</w:t>
            </w:r>
          </w:p>
        </w:tc>
        <w:tc>
          <w:tcPr>
            <w:tcW w:type="dxa" w:w="37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Identify reusable components from existing MPOnline platform (eKYC, exam engine, kiosk framework)</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MPOnline</w:t>
            </w:r>
          </w:p>
        </w:tc>
        <w:tc>
          <w:tcPr>
            <w:tcW w:type="dxa" w:w="25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Week 3</w:t>
            </w:r>
          </w:p>
        </w:tc>
      </w:tr>
      <w:tr>
        <w:tc>
          <w:tcPr>
            <w:tcW w:type="dxa" w:w="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7</w:t>
            </w:r>
          </w:p>
        </w:tc>
        <w:tc>
          <w:tcPr>
            <w:tcW w:type="dxa" w:w="37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Set up shared project workspace (Git, project board, documentation wiki)</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MPOnline</w:t>
            </w:r>
          </w:p>
        </w:tc>
        <w:tc>
          <w:tcPr>
            <w:tcW w:type="dxa" w:w="25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Week 2</w:t>
            </w:r>
          </w:p>
        </w:tc>
      </w:tr>
      <w:tr>
        <w:tc>
          <w:tcPr>
            <w:tcW w:type="dxa" w:w="600"/>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8</w:t>
            </w:r>
          </w:p>
        </w:tc>
        <w:tc>
          <w:tcPr>
            <w:tcW w:type="dxa" w:w="376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Schedule kickoff workshop with BVG architecture team</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MPOnline + BVG</w:t>
            </w:r>
          </w:p>
        </w:tc>
        <w:tc>
          <w:tcPr>
            <w:tcW w:type="dxa" w:w="2500"/>
            <w:tcBorders>
              <w:top w:val="single" w:color="B0C4DE" w:sz="1"/>
              <w:left w:val="single" w:color="B0C4DE" w:sz="1"/>
              <w:bottom w:val="single" w:color="B0C4DE" w:sz="1"/>
              <w:right w:val="single" w:color="B0C4DE" w:sz="1"/>
            </w:tcBorders>
            <w:shd w:fill="D4ED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Week 3</w:t>
            </w:r>
          </w:p>
        </w:tc>
      </w:tr>
    </w:tbl>
    <w:p>
      <w:pPr>
        <w:spacing w:after="60"/>
      </w:pPr>
    </w:p>
    <w:p>
      <w:pPr>
        <w:spacing w:after="60"/>
      </w:pPr>
    </w:p>
    <w:p>
      <w:pPr>
        <w:pBdr>
          <w:top w:val="single" w:color="2E75B6" w:sz="3" w:space="8"/>
        </w:pBdr>
        <w:spacing w:after="200" w:before="400"/>
        <w:jc w:val="center"/>
      </w:pPr>
      <w:r>
        <w:rPr>
          <w:rFonts w:ascii="Arial" w:cs="Arial" w:eastAsia="Arial" w:hAnsi="Arial"/>
          <w:i/>
          <w:iCs/>
          <w:color w:val="666666"/>
          <w:sz w:val="24"/>
          <w:szCs w:val="24"/>
        </w:rPr>
        <w:t xml:space="preserve">— End of Document —</w:t>
      </w:r>
    </w:p>
    <w:p>
      <w:pPr>
        <w:spacing w:after="120"/>
        <w:jc w:val="center"/>
      </w:pPr>
      <w:r>
        <w:rPr>
          <w:rFonts w:ascii="Arial" w:cs="Arial" w:eastAsia="Arial" w:hAnsi="Arial"/>
          <w:color w:val="666666"/>
          <w:sz w:val="20"/>
          <w:szCs w:val="20"/>
        </w:rPr>
        <w:t xml:space="preserve">Prepared by BVG India Pvt Ltd for MPOnline Limited</w:t>
      </w:r>
    </w:p>
    <w:p>
      <w:pPr>
        <w:jc w:val="center"/>
      </w:pPr>
      <w:r>
        <w:rPr>
          <w:rFonts w:ascii="Arial" w:cs="Arial" w:eastAsia="Arial" w:hAnsi="Arial"/>
          <w:b/>
          <w:bCs/>
          <w:color w:val="2E75B6"/>
          <w:sz w:val="20"/>
          <w:szCs w:val="20"/>
        </w:rPr>
        <w:t xml:space="preserve">Classification: CONFIDENTIAL — For MPOnline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1" w:space="4"/>
      </w:pBdr>
      <w:tabs>
        <w:tab w:val="right" w:pos="9026"/>
      </w:tabs>
    </w:pPr>
    <w:r>
      <w:rPr>
        <w:rFonts w:ascii="Arial" w:cs="Arial" w:eastAsia="Arial" w:hAnsi="Arial"/>
        <w:b/>
        <w:bCs/>
        <w:color w:val="2E75B6"/>
        <w:sz w:val="16"/>
        <w:szCs w:val="16"/>
      </w:rPr>
      <w:t xml:space="preserve">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C4DE" w:sz="1" w:space="4"/>
      </w:pBdr>
      <w:tabs>
        <w:tab w:val="right" w:pos="9026"/>
      </w:tabs>
    </w:pPr>
    <w:r>
      <w:rPr>
        <w:rFonts w:ascii="Arial" w:cs="Arial" w:eastAsia="Arial" w:hAnsi="Arial"/>
        <w:i/>
        <w:iCs/>
        <w:color w:val="666666"/>
        <w:sz w:val="16"/>
        <w:szCs w:val="16"/>
      </w:rPr>
      <w:t xml:space="preserve">Digital Skill Wallet — Technical Architecture &amp; Implementation Guide</w:t>
    </w:r>
    <w:r>
      <w:rPr>
        <w:rFonts w:ascii="Arial" w:cs="Arial" w:eastAsia="Arial" w:hAnsi="Arial"/>
        <w:color w:val="666666"/>
        <w:sz w:val="16"/>
        <w:szCs w:val="16"/>
      </w:rPr>
      <w:t xml:space="preserve">	BVG India × MPOnline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2026-04-27T19:15:18.052Z</dcterms:created>
  <dcterms:modified xsi:type="dcterms:W3CDTF">2026-04-27T19:15:18.053Z</dcterms:modified>
</cp:coreProperties>
</file>

<file path=docProps/custom.xml><?xml version="1.0" encoding="utf-8"?>
<Properties xmlns="http://schemas.openxmlformats.org/officeDocument/2006/custom-properties" xmlns:vt="http://schemas.openxmlformats.org/officeDocument/2006/docPropsVTypes"/>
</file>