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c2e44c9e0724f96d82de3217e0b550dd2a1d92"/>
    <w:p>
      <w:pPr>
        <w:pStyle w:val="Heading1"/>
      </w:pPr>
      <w:r>
        <w:t xml:space="preserve">Exercise 1 (30–35 min): Design a Retry-Safe “Create Order” API - Model Answer</w:t>
      </w:r>
    </w:p>
    <w:bookmarkStart w:id="14" w:name="model-answer-reference-solution"/>
    <w:p>
      <w:pPr>
        <w:pStyle w:val="Heading2"/>
      </w:pPr>
      <w:r>
        <w:t xml:space="preserve">Model Answer (reference solution)</w:t>
      </w:r>
    </w:p>
    <w:bookmarkStart w:id="9" w:name="api-contract"/>
    <w:p>
      <w:pPr>
        <w:pStyle w:val="Heading3"/>
      </w:pPr>
      <w:r>
        <w:t xml:space="preserve">1) API contract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/orders</w:t>
      </w:r>
    </w:p>
    <w:p>
      <w:pPr>
        <w:pStyle w:val="Compact"/>
        <w:numPr>
          <w:ilvl w:val="0"/>
          <w:numId w:val="1001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Idempotency-Key: &lt;uuid&gt;</w:t>
      </w:r>
    </w:p>
    <w:p>
      <w:pPr>
        <w:pStyle w:val="Compact"/>
        <w:numPr>
          <w:ilvl w:val="0"/>
          <w:numId w:val="1001"/>
        </w:numPr>
      </w:pPr>
      <w:r>
        <w:t xml:space="preserve">Body includes: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 shipping details</w:t>
      </w:r>
    </w:p>
    <w:p>
      <w:pPr>
        <w:pStyle w:val="FirstParagraph"/>
      </w:pPr>
      <w:r>
        <w:rPr>
          <w:b/>
          <w:bCs/>
        </w:rPr>
        <w:t xml:space="preserve">Responses</w:t>
      </w:r>
    </w:p>
    <w:p>
      <w:pPr>
        <w:numPr>
          <w:ilvl w:val="0"/>
          <w:numId w:val="1002"/>
        </w:numPr>
      </w:pPr>
      <w:r>
        <w:t xml:space="preserve">First success: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order_id, status, created_at }</w:t>
      </w:r>
    </w:p>
    <w:p>
      <w:pPr>
        <w:numPr>
          <w:ilvl w:val="0"/>
          <w:numId w:val="1002"/>
        </w:numPr>
      </w:pPr>
      <w:r>
        <w:t xml:space="preserve">Replay after success: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201</w:t>
      </w:r>
      <w:r>
        <w:t xml:space="preserve">—pick one) returning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order_id</w:t>
      </w:r>
    </w:p>
    <w:p>
      <w:pPr>
        <w:numPr>
          <w:ilvl w:val="0"/>
          <w:numId w:val="1002"/>
        </w:numPr>
      </w:pPr>
      <w:r>
        <w:t xml:space="preserve">Replay while processing:</w:t>
      </w:r>
    </w:p>
    <w:p>
      <w:pPr>
        <w:pStyle w:val="Compact"/>
        <w:numPr>
          <w:ilvl w:val="1"/>
          <w:numId w:val="1003"/>
        </w:numPr>
      </w:pPr>
      <w:r>
        <w:t xml:space="preserve">Option A (sync create): block briefly then return final</w:t>
      </w:r>
    </w:p>
    <w:p>
      <w:pPr>
        <w:pStyle w:val="Compact"/>
        <w:numPr>
          <w:ilvl w:val="1"/>
          <w:numId w:val="1003"/>
        </w:numPr>
      </w:pPr>
      <w:r>
        <w:t xml:space="preserve">Option B (async-friendly):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order_id, status_url }</w:t>
      </w:r>
    </w:p>
    <w:p>
      <w:pPr>
        <w:pStyle w:val="FirstParagraph"/>
      </w:pPr>
      <w:r>
        <w:t xml:space="preserve">Key property:</w:t>
      </w:r>
      <w:r>
        <w:t xml:space="preserve"> </w:t>
      </w:r>
      <w:r>
        <w:rPr>
          <w:b/>
          <w:bCs/>
        </w:rPr>
        <w:t xml:space="preserve">same key → same order_id</w:t>
      </w:r>
      <w:r>
        <w:t xml:space="preserve"> </w:t>
      </w:r>
      <w:r>
        <w:t xml:space="preserve">(replay is boring).</w:t>
      </w:r>
    </w:p>
    <w:p>
      <w:r>
        <w:pict>
          <v:rect style="width:0;height:1.5pt" o:hralign="center" o:hrstd="t" o:hr="t"/>
        </w:pict>
      </w:r>
    </w:p>
    <w:bookmarkEnd w:id="9"/>
    <w:bookmarkStart w:id="10" w:name="storage-design"/>
    <w:p>
      <w:pPr>
        <w:pStyle w:val="Heading3"/>
      </w:pPr>
      <w:r>
        <w:t xml:space="preserve">2) Storage design</w:t>
      </w:r>
    </w:p>
    <w:p>
      <w:pPr>
        <w:pStyle w:val="FirstParagraph"/>
      </w:pPr>
      <w:r>
        <w:t xml:space="preserve">Add an</w:t>
      </w:r>
      <w:r>
        <w:t xml:space="preserve"> </w:t>
      </w:r>
      <w:r>
        <w:rPr>
          <w:b/>
          <w:bCs/>
        </w:rPr>
        <w:t xml:space="preserve">idempotency table</w:t>
      </w:r>
      <w:r>
        <w:t xml:space="preserve"> </w:t>
      </w:r>
      <w:r>
        <w:t xml:space="preserve">(or “request journal”) plus your orders table.</w:t>
      </w:r>
    </w:p>
    <w:p>
      <w:pPr>
        <w:pStyle w:val="BodyText"/>
      </w:pPr>
      <w:r>
        <w:rPr>
          <w:b/>
          <w:bCs/>
        </w:rPr>
        <w:t xml:space="preserve">Table: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idempotency_records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(or tenant/customer)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endpoint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POST:/orders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idempotency_key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request_hash</w:t>
      </w:r>
      <w:r>
        <w:t xml:space="preserve"> </w:t>
      </w:r>
      <w:r>
        <w:t xml:space="preserve">(hash of canonical request payload)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(reference)</w:t>
      </w:r>
      <w:r>
        <w:t xml:space="preserve"> </w:t>
      </w:r>
      <w:r>
        <w:rPr>
          <w:i/>
          <w:iCs/>
        </w:rPr>
        <w:t xml:space="preserve">and/or</w:t>
      </w:r>
      <w:r>
        <w:t xml:space="preserve"> </w:t>
      </w:r>
      <w:r>
        <w:rPr>
          <w:rStyle w:val="VerbatimChar"/>
        </w:rPr>
        <w:t xml:space="preserve">stored_response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</w:p>
    <w:p>
      <w:pPr>
        <w:pStyle w:val="FirstParagraph"/>
      </w:pPr>
      <w:r>
        <w:rPr>
          <w:b/>
          <w:bCs/>
        </w:rPr>
        <w:t xml:space="preserve">Uniqueness constraint</w:t>
      </w:r>
    </w:p>
    <w:p>
      <w:pPr>
        <w:pStyle w:val="Compact"/>
        <w:numPr>
          <w:ilvl w:val="0"/>
          <w:numId w:val="1005"/>
        </w:numPr>
      </w:pPr>
      <w:r>
        <w:t xml:space="preserve">Unique index on</w:t>
      </w:r>
      <w:r>
        <w:t xml:space="preserve"> </w:t>
      </w:r>
      <w:r>
        <w:rPr>
          <w:rStyle w:val="VerbatimChar"/>
        </w:rPr>
        <w:t xml:space="preserve">(user_id, endpoint, idempotency_key)</w:t>
      </w:r>
    </w:p>
    <w:p>
      <w:pPr>
        <w:pStyle w:val="FirstParagraph"/>
      </w:pPr>
      <w:r>
        <w:rPr>
          <w:b/>
          <w:bCs/>
        </w:rPr>
        <w:t xml:space="preserve">Why store request_hash</w:t>
      </w:r>
    </w:p>
    <w:p>
      <w:pPr>
        <w:pStyle w:val="Compact"/>
        <w:numPr>
          <w:ilvl w:val="0"/>
          <w:numId w:val="1006"/>
        </w:numPr>
      </w:pPr>
      <w:r>
        <w:t xml:space="preserve">If same key is reused with a different body, return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422</w:t>
      </w:r>
      <w:r>
        <w:t xml:space="preserve">) because the key must represent one logical action.</w:t>
      </w:r>
    </w:p>
    <w:p>
      <w:pPr>
        <w:pStyle w:val="FirstParagraph"/>
      </w:pPr>
      <w:r>
        <w:rPr>
          <w:b/>
          <w:bCs/>
        </w:rPr>
        <w:t xml:space="preserve">TTL</w:t>
      </w:r>
    </w:p>
    <w:p>
      <w:pPr>
        <w:pStyle w:val="Compact"/>
        <w:numPr>
          <w:ilvl w:val="0"/>
          <w:numId w:val="1007"/>
        </w:numPr>
      </w:pPr>
      <w:r>
        <w:t xml:space="preserve">Typical: 24 hours to 7 days depending on client retry behavior and business risk.</w:t>
      </w:r>
    </w:p>
    <w:p>
      <w:pPr>
        <w:pStyle w:val="Compact"/>
        <w:numPr>
          <w:ilvl w:val="0"/>
          <w:numId w:val="1007"/>
        </w:numPr>
      </w:pPr>
      <w:r>
        <w:t xml:space="preserve">Rationale: don’t keep forever (storage), but don’t keep too short (late retries happen).</w:t>
      </w:r>
    </w:p>
    <w:p>
      <w:r>
        <w:pict>
          <v:rect style="width:0;height:1.5pt" o:hralign="center" o:hrstd="t" o:hr="t"/>
        </w:pict>
      </w:r>
    </w:p>
    <w:bookmarkEnd w:id="10"/>
    <w:bookmarkStart w:id="11" w:name="concurrency-handling"/>
    <w:p>
      <w:pPr>
        <w:pStyle w:val="Heading3"/>
      </w:pPr>
      <w:r>
        <w:t xml:space="preserve">3) Concurrency handling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two requests arrive concurrently with same key.</w:t>
      </w:r>
    </w:p>
    <w:p>
      <w:pPr>
        <w:pStyle w:val="BodyText"/>
      </w:pPr>
      <w:r>
        <w:rPr>
          <w:b/>
          <w:bCs/>
        </w:rPr>
        <w:t xml:space="preserve">Solution</w:t>
      </w:r>
    </w:p>
    <w:p>
      <w:pPr>
        <w:numPr>
          <w:ilvl w:val="0"/>
          <w:numId w:val="1008"/>
        </w:numPr>
      </w:pPr>
      <w:r>
        <w:t xml:space="preserve">Use the unique constraint + transactional insert:</w:t>
      </w:r>
    </w:p>
    <w:p>
      <w:pPr>
        <w:numPr>
          <w:ilvl w:val="1"/>
          <w:numId w:val="1009"/>
        </w:numPr>
      </w:pPr>
      <w:r>
        <w:t xml:space="preserve">Attempt to insert a new</w:t>
      </w:r>
      <w:r>
        <w:t xml:space="preserve"> </w:t>
      </w:r>
      <w:r>
        <w:rPr>
          <w:rStyle w:val="VerbatimChar"/>
        </w:rPr>
        <w:t xml:space="preserve">idempotency_record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numPr>
          <w:ilvl w:val="1"/>
          <w:numId w:val="1009"/>
        </w:numPr>
      </w:pPr>
      <w:r>
        <w:t xml:space="preserve">If insert succeeds: you own the work; create the order; update record to</w:t>
      </w:r>
      <w:r>
        <w:t xml:space="preserve"> </w:t>
      </w:r>
      <w:r>
        <w:rPr>
          <w:rStyle w:val="VerbatimChar"/>
        </w:rPr>
        <w:t xml:space="preserve">SUCCEEDED</w:t>
      </w:r>
    </w:p>
    <w:p>
      <w:pPr>
        <w:numPr>
          <w:ilvl w:val="1"/>
          <w:numId w:val="1009"/>
        </w:numPr>
      </w:pPr>
      <w:r>
        <w:t xml:space="preserve">If insert fails (already exists):</w:t>
      </w:r>
    </w:p>
    <w:p>
      <w:pPr>
        <w:pStyle w:val="Compact"/>
        <w:numPr>
          <w:ilvl w:val="2"/>
          <w:numId w:val="101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: return stored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/ response</w:t>
      </w:r>
    </w:p>
    <w:p>
      <w:pPr>
        <w:pStyle w:val="Compact"/>
        <w:numPr>
          <w:ilvl w:val="2"/>
          <w:numId w:val="101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: return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with status URL (or wait/poll)</w:t>
      </w:r>
    </w:p>
    <w:p>
      <w:pPr>
        <w:pStyle w:val="Compact"/>
        <w:numPr>
          <w:ilvl w:val="2"/>
          <w:numId w:val="101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: return consistent failure semantics (see below)</w:t>
      </w:r>
    </w:p>
    <w:p>
      <w:pPr>
        <w:pStyle w:val="FirstParagraph"/>
      </w:pPr>
      <w:r>
        <w:t xml:space="preserve">This ensures only one creates side effects.</w:t>
      </w:r>
    </w:p>
    <w:p>
      <w:r>
        <w:pict>
          <v:rect style="width:0;height:1.5pt" o:hralign="center" o:hrstd="t" o:hr="t"/>
        </w:pict>
      </w:r>
    </w:p>
    <w:bookmarkEnd w:id="11"/>
    <w:bookmarkStart w:id="12" w:name="crash-safety-partial-completion"/>
    <w:p>
      <w:pPr>
        <w:pStyle w:val="Heading3"/>
      </w:pPr>
      <w:r>
        <w:t xml:space="preserve">4) Crash safety / partial completion</w:t>
      </w:r>
    </w:p>
    <w:p>
      <w:pPr>
        <w:pStyle w:val="FirstParagraph"/>
      </w:pPr>
      <w:r>
        <w:t xml:space="preserve">Hard case: crash between side effects.</w:t>
      </w:r>
    </w:p>
    <w:p>
      <w:pPr>
        <w:pStyle w:val="BodyText"/>
      </w:pPr>
      <w:r>
        <w:rPr>
          <w:b/>
          <w:bCs/>
        </w:rPr>
        <w:t xml:space="preserve">Safer pattern</w:t>
      </w:r>
    </w:p>
    <w:p>
      <w:pPr>
        <w:numPr>
          <w:ilvl w:val="0"/>
          <w:numId w:val="1011"/>
        </w:numPr>
      </w:pPr>
      <w:r>
        <w:t xml:space="preserve">Record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before doing side effects.</w:t>
      </w:r>
    </w:p>
    <w:p>
      <w:pPr>
        <w:numPr>
          <w:ilvl w:val="0"/>
          <w:numId w:val="1011"/>
        </w:numPr>
      </w:pPr>
      <w:r>
        <w:t xml:space="preserve">Prefer to make the “side effect” idempotent too:</w:t>
      </w:r>
    </w:p>
    <w:p>
      <w:pPr>
        <w:pStyle w:val="Compact"/>
        <w:numPr>
          <w:ilvl w:val="1"/>
          <w:numId w:val="1012"/>
        </w:numPr>
      </w:pPr>
      <w:r>
        <w:t xml:space="preserve">e.g., when calling payment provider, pass the same idempotency key downstream.</w:t>
      </w:r>
    </w:p>
    <w:p>
      <w:pPr>
        <w:numPr>
          <w:ilvl w:val="0"/>
          <w:numId w:val="101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idempotency_records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only after you have a durable order_id (and payment result if applicable).</w:t>
      </w:r>
    </w:p>
    <w:p>
      <w:pPr>
        <w:numPr>
          <w:ilvl w:val="0"/>
          <w:numId w:val="1011"/>
        </w:numPr>
      </w:pPr>
      <w:r>
        <w:t xml:space="preserve">On restart, if you see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older than a threshold:</w:t>
      </w:r>
    </w:p>
    <w:p>
      <w:pPr>
        <w:pStyle w:val="Compact"/>
        <w:numPr>
          <w:ilvl w:val="1"/>
          <w:numId w:val="1013"/>
        </w:numPr>
      </w:pPr>
      <w:r>
        <w:t xml:space="preserve">reconcile by checking downstream (payment/order state)</w:t>
      </w:r>
    </w:p>
    <w:p>
      <w:pPr>
        <w:pStyle w:val="Compact"/>
        <w:numPr>
          <w:ilvl w:val="1"/>
          <w:numId w:val="1013"/>
        </w:numPr>
      </w:pPr>
      <w:r>
        <w:t xml:space="preserve">then mark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deterministically</w:t>
      </w:r>
    </w:p>
    <w:p>
      <w:pPr>
        <w:pStyle w:val="FirstParagraph"/>
      </w:pPr>
      <w:r>
        <w:t xml:space="preserve">This matches the whitepaper principle: safe retry relies on idempotency;</w:t>
      </w:r>
      <w:r>
        <w:t xml:space="preserve"> </w:t>
      </w:r>
      <w:r>
        <w:rPr>
          <w:i/>
          <w:iCs/>
        </w:rPr>
        <w:t xml:space="preserve">controlled retry</w:t>
      </w:r>
      <w:r>
        <w:t xml:space="preserve"> </w:t>
      </w:r>
      <w:r>
        <w:t xml:space="preserve">is separate.</w:t>
      </w:r>
    </w:p>
    <w:p>
      <w:r>
        <w:pict>
          <v:rect style="width:0;height:1.5pt" o:hralign="center" o:hrstd="t" o:hr="t"/>
        </w:pict>
      </w:r>
    </w:p>
    <w:bookmarkEnd w:id="12"/>
    <w:bookmarkStart w:id="13" w:name="handling-replay-with-different-body"/>
    <w:p>
      <w:pPr>
        <w:pStyle w:val="Heading3"/>
      </w:pPr>
      <w:r>
        <w:t xml:space="preserve">5) Handling replay with different body</w:t>
      </w:r>
    </w:p>
    <w:p>
      <w:pPr>
        <w:pStyle w:val="FirstParagraph"/>
      </w:pPr>
      <w:r>
        <w:t xml:space="preserve">If same key, different payload:</w:t>
      </w:r>
    </w:p>
    <w:p>
      <w:pPr>
        <w:numPr>
          <w:ilvl w:val="0"/>
          <w:numId w:val="1014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with message like:</w:t>
      </w:r>
    </w:p>
    <w:p>
      <w:pPr>
        <w:pStyle w:val="Compact"/>
        <w:numPr>
          <w:ilvl w:val="1"/>
          <w:numId w:val="1015"/>
        </w:numPr>
      </w:pPr>
      <w:r>
        <w:t xml:space="preserve">“Idempotency-Key reuse with different request parameters”</w:t>
      </w:r>
    </w:p>
    <w:p>
      <w:pPr>
        <w:numPr>
          <w:ilvl w:val="0"/>
          <w:numId w:val="1014"/>
        </w:numPr>
      </w:pPr>
      <w:r>
        <w:t xml:space="preserve">Include the original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if already succeeded (optional), but do not create a new one.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quick-share-out-questions-5-min"/>
    <w:p>
      <w:pPr>
        <w:pStyle w:val="Heading2"/>
      </w:pPr>
      <w:r>
        <w:t xml:space="preserve">Quick Share-out Questions (5 min)</w:t>
      </w:r>
    </w:p>
    <w:p>
      <w:pPr>
        <w:pStyle w:val="Compact"/>
        <w:numPr>
          <w:ilvl w:val="0"/>
          <w:numId w:val="1016"/>
        </w:numPr>
      </w:pPr>
      <w:r>
        <w:t xml:space="preserve">“What did you choose to return for IN_PROGRESS?”</w:t>
      </w:r>
    </w:p>
    <w:p>
      <w:pPr>
        <w:pStyle w:val="Compact"/>
        <w:numPr>
          <w:ilvl w:val="0"/>
          <w:numId w:val="1016"/>
        </w:numPr>
      </w:pPr>
      <w:r>
        <w:t xml:space="preserve">“What scope did you use for the uniqueness constraint?”</w:t>
      </w:r>
    </w:p>
    <w:p>
      <w:pPr>
        <w:pStyle w:val="Compact"/>
        <w:numPr>
          <w:ilvl w:val="0"/>
          <w:numId w:val="1016"/>
        </w:numPr>
      </w:pPr>
      <w:r>
        <w:t xml:space="preserve">“Did you store full response or only order_id? Why?”</w:t>
      </w:r>
    </w:p>
    <w:p>
      <w:pPr>
        <w:pStyle w:val="Compact"/>
        <w:numPr>
          <w:ilvl w:val="0"/>
          <w:numId w:val="1016"/>
        </w:numPr>
      </w:pPr>
      <w:r>
        <w:t xml:space="preserve">“How long is your TTL and what risk drove that number?”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turn this into a</w:t>
      </w:r>
      <w:r>
        <w:t xml:space="preserve"> </w:t>
      </w:r>
      <w:r>
        <w:rPr>
          <w:b/>
          <w:bCs/>
        </w:rPr>
        <w:t xml:space="preserve">one-page PDF worksheet</w:t>
      </w:r>
      <w:r>
        <w:t xml:space="preserve"> </w:t>
      </w:r>
      <w:r>
        <w:t xml:space="preserve">+ a</w:t>
      </w:r>
      <w:r>
        <w:t xml:space="preserve"> </w:t>
      </w:r>
      <w:r>
        <w:rPr>
          <w:b/>
          <w:bCs/>
        </w:rPr>
        <w:t xml:space="preserve">one-page facilitator cheat sheet</w:t>
      </w:r>
      <w:r>
        <w:t xml:space="preserve"> </w:t>
      </w:r>
      <w:r>
        <w:t xml:space="preserve">(same content, formatted for printing).</w:t>
      </w:r>
    </w:p>
    <w:bookmarkEnd w:id="15"/>
    <w:bookmarkEnd w:id="16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2026-03-10T06:38:18Z</dcterms:created>
  <dcterms:modified xsi:type="dcterms:W3CDTF">2026-03-10T06:38:18Z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