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Edge AI Architecture</w:t>
      </w:r>
    </w:p>
    <w:p>
      <w:r>
        <w:t>Research-grounded design and process-flow diagrams | React + Node.js + Python | on-premises-first</w:t>
      </w:r>
    </w:p>
    <w:p>
      <w:r>
        <w:t>Executive conclusion: run low-cost, continuous occupancy and tracking; selectively invoke pose and expensive RGB task recognition; fuse evidence with shift and machine context; publish auditable, reversible candidate events. Do not equate video-only labels with employee intent, payroll time, or verified productivity.</w:t>
      </w:r>
    </w:p>
    <w:p>
      <w:pPr>
        <w:pStyle w:val="Heading1"/>
      </w:pPr>
      <w:r>
        <w:t>1. Recommended end-to-end architecture</w:t>
      </w:r>
    </w:p>
    <w:p>
      <w:r>
        <w:drawing>
          <wp:inline xmlns:a="http://schemas.openxmlformats.org/drawingml/2006/main" xmlns:pic="http://schemas.openxmlformats.org/drawingml/2006/picture">
            <wp:extent cx="6035040" cy="532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Independent recording and AI inference; conditional deep analysis; local Node.js application.</w:t>
      </w:r>
    </w:p>
    <w:p>
      <w:r>
        <w:t>Deploy one edge appliance per factory or camera group. Keep camera decode and recording independent from AI worker restarts. Python owns computer vision and model inference; Node.js owns identity authorization, configuration, review workflows, integrations and reporting. Prefer a modular monolith for the Node.js backend and a small durable outbox over a premature Kafka cluster. The design is an engineering synthesis, not a benchmarked end-to-end result.</w:t>
      </w:r>
    </w:p>
    <w:p>
      <w:pPr>
        <w:pStyle w:val="Heading1"/>
      </w:pPr>
      <w:r>
        <w:t>2. Dynamic inference policy</w:t>
      </w:r>
    </w:p>
    <w:p>
      <w:r>
        <w:drawing>
          <wp:inline xmlns:a="http://schemas.openxmlformats.org/drawingml/2006/main" xmlns:pic="http://schemas.openxmlformats.org/drawingml/2006/picture">
            <wp:extent cx="5029200" cy="875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5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Proposed adaptive scheduling flow. Conditions represent engineering policies to validate, not published thresholds.</w:t>
      </w:r>
    </w:p>
    <w:p>
      <w:r>
        <w:t>Sampling baseline: trial 5/10/15 FPS per camera; increase briefly around state transitions or uncertain task evidence; decrease where occupancy is stable and visual change is small. Apply hard fairness limits per camera, GPU utilization caps, queue deadlines and a maximum event detection delay. Never drop the recording stream to save inference cycles. A stale frame or blocked view maps to UNKNOWN, not absence or inactivity.</w:t>
      </w:r>
    </w:p>
    <w:p>
      <w:r>
        <w:t>Pose estimation operates on selected person crops; task models operate on short, relevant station clips. Use ROI caching and decode once when practical. Under GPU pressure, reduce sampling and defer high-cost classifiers while retaining monitoring, coverage accounting and event replay. All policy changes are versioned.</w:t>
      </w:r>
    </w:p>
    <w:p>
      <w:pPr>
        <w:pStyle w:val="Heading1"/>
      </w:pPr>
      <w:r>
        <w:t>3. Process state flow and human review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Output / guardrail</w:t>
            </w:r>
          </w:p>
        </w:tc>
      </w:tr>
      <w:tr>
        <w:tc>
          <w:tcPr>
            <w:tcW w:type="dxa" w:w="4320"/>
          </w:tcPr>
          <w:p>
            <w:r>
              <w:t>Presence</w:t>
            </w:r>
          </w:p>
        </w:tc>
        <w:tc>
          <w:tcPr>
            <w:tcW w:type="dxa" w:w="4320"/>
          </w:tcPr>
          <w:p>
            <w:r>
              <w:t>Person and station occupancy with stream-health and visibility state.</w:t>
            </w:r>
          </w:p>
        </w:tc>
      </w:tr>
      <w:tr>
        <w:tc>
          <w:tcPr>
            <w:tcW w:type="dxa" w:w="4320"/>
          </w:tcPr>
          <w:p>
            <w:r>
              <w:t>Posture</w:t>
            </w:r>
          </w:p>
        </w:tc>
        <w:tc>
          <w:tcPr>
            <w:tcW w:type="dxa" w:w="4320"/>
          </w:tcPr>
          <w:p>
            <w:r>
              <w:t>Sitting/standing/walking/unknown with confidence and occlusion handling.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Specific visible action: sewing, handling, packing, inspection, or unknown.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Machine running/stopped, material availability, shifts, permitted breaks.</w:t>
            </w:r>
          </w:p>
        </w:tc>
      </w:tr>
      <w:tr>
        <w:tc>
          <w:tcPr>
            <w:tcW w:type="dxa" w:w="4320"/>
          </w:tcPr>
          <w:p>
            <w:r>
              <w:t>Candidate</w:t>
            </w:r>
          </w:p>
        </w:tc>
        <w:tc>
          <w:tcPr>
            <w:tcW w:type="dxa" w:w="4320"/>
          </w:tcPr>
          <w:p>
            <w:r>
              <w:t>Configurable duration + hysteresis; evidence clip + reason request.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Supervisor confirms process delay, permitted activity, false detection or unresolved.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Station-level recoverable interruptions, unknown/coverage denominators, corrections.</w:t>
            </w:r>
          </w:p>
        </w:tc>
      </w:tr>
    </w:tbl>
    <w:p>
      <w:r>
        <w:t>Proposed trial rule: when in a production interval, station occupied, visibility adequate and no operation-defined task observed for 60 seconds, generate a reviewable candidate. The 60-second figure is a starting hypothesis only. Camera track IDs are NOT employee IDs; use verified roster/badge assignment for named timelines.</w:t>
      </w:r>
    </w:p>
    <w:p>
      <w:pPr>
        <w:pStyle w:val="Heading1"/>
      </w:pPr>
      <w:r>
        <w:t>4. Runtime topology and failure recovery</w:t>
      </w:r>
    </w:p>
    <w:p>
      <w:r>
        <w:drawing>
          <wp:inline xmlns:a="http://schemas.openxmlformats.org/drawingml/2006/main" xmlns:pic="http://schemas.openxmlformats.org/drawingml/2006/picture">
            <wp:extent cx="6035040" cy="1653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53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Local-first operation, idempotent event delivery and optional aggregate-only central sync.</w:t>
      </w:r>
    </w:p>
    <w:p>
      <w:pPr>
        <w:pStyle w:val="Heading2"/>
      </w:pPr>
      <w:r>
        <w:t>Failure and recovery contracts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Fault</w:t>
            </w:r>
          </w:p>
        </w:tc>
        <w:tc>
          <w:tcPr>
            <w:tcW w:type="dxa" w:w="4320"/>
          </w:tcPr>
          <w:p>
            <w:r>
              <w:t>Required behavior</w:t>
            </w:r>
          </w:p>
        </w:tc>
      </w:tr>
      <w:tr>
        <w:tc>
          <w:tcPr>
            <w:tcW w:type="dxa" w:w="4320"/>
          </w:tcPr>
          <w:p>
            <w:r>
              <w:t>Camera disconnected</w:t>
            </w:r>
          </w:p>
        </w:tc>
        <w:tc>
          <w:tcPr>
            <w:tcW w:type="dxa" w:w="4320"/>
          </w:tcPr>
          <w:p>
            <w:r>
              <w:t>Heartbeat timeout → stream unavailable; reconnect with bounded backoff; no false idle events.</w:t>
            </w:r>
          </w:p>
        </w:tc>
      </w:tr>
      <w:tr>
        <w:tc>
          <w:tcPr>
            <w:tcW w:type="dxa" w:w="4320"/>
          </w:tcPr>
          <w:p>
            <w:r>
              <w:t>Model worker crashed</w:t>
            </w:r>
          </w:p>
        </w:tc>
        <w:tc>
          <w:tcPr>
            <w:tcW w:type="dxa" w:w="4320"/>
          </w:tcPr>
          <w:p>
            <w:r>
              <w:t>Recording stays up; observations become unknown; supervisor restarts Python worker.</w:t>
            </w:r>
          </w:p>
        </w:tc>
      </w:tr>
      <w:tr>
        <w:tc>
          <w:tcPr>
            <w:tcW w:type="dxa" w:w="4320"/>
          </w:tcPr>
          <w:p>
            <w:r>
              <w:t>API / network outage</w:t>
            </w:r>
          </w:p>
        </w:tc>
        <w:tc>
          <w:tcPr>
            <w:tcW w:type="dxa" w:w="4320"/>
          </w:tcPr>
          <w:p>
            <w:r>
              <w:t>Local append-only outbox persists timestamped observations; deterministic replay without duplicate event IDs.</w:t>
            </w:r>
          </w:p>
        </w:tc>
      </w:tr>
      <w:tr>
        <w:tc>
          <w:tcPr>
            <w:tcW w:type="dxa" w:w="4320"/>
          </w:tcPr>
          <w:p>
            <w:r>
              <w:t>GPU saturation</w:t>
            </w:r>
          </w:p>
        </w:tc>
        <w:tc>
          <w:tcPr>
            <w:tcW w:type="dxa" w:w="4320"/>
          </w:tcPr>
          <w:p>
            <w:r>
              <w:t>Scheduler degrades optional RGB then pose rate before occupancy; report reduced coverage.</w:t>
            </w:r>
          </w:p>
        </w:tc>
      </w:tr>
      <w:tr>
        <w:tc>
          <w:tcPr>
            <w:tcW w:type="dxa" w:w="4320"/>
          </w:tcPr>
          <w:p>
            <w:r>
              <w:t>Camera moved / model changed</w:t>
            </w:r>
          </w:p>
        </w:tc>
        <w:tc>
          <w:tcPr>
            <w:tcW w:type="dxa" w:w="4320"/>
          </w:tcPr>
          <w:p>
            <w:r>
              <w:t>Invalidate zone calibration; log version; canary/rollback and revalidation.</w:t>
            </w:r>
          </w:p>
        </w:tc>
      </w:tr>
      <w:tr>
        <w:tc>
          <w:tcPr>
            <w:tcW w:type="dxa" w:w="4320"/>
          </w:tcPr>
          <w:p>
            <w:r>
              <w:t>Power outage</w:t>
            </w:r>
          </w:p>
        </w:tc>
        <w:tc>
          <w:tcPr>
            <w:tcW w:type="dxa" w:w="4320"/>
          </w:tcPr>
          <w:p>
            <w:r>
              <w:t>UPS with orderly shutdown and restart; prove recovery during pilot.</w:t>
            </w:r>
          </w:p>
        </w:tc>
      </w:tr>
    </w:tbl>
    <w:p>
      <w:pPr>
        <w:pStyle w:val="Heading1"/>
      </w:pPr>
      <w:r>
        <w:t>5. Research comparison and what to combine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 / paper</w:t>
            </w:r>
          </w:p>
        </w:tc>
        <w:tc>
          <w:tcPr>
            <w:tcW w:type="dxa" w:w="2880"/>
          </w:tcPr>
          <w:p>
            <w:r>
              <w:t>Use it for</w:t>
            </w:r>
          </w:p>
        </w:tc>
        <w:tc>
          <w:tcPr>
            <w:tcW w:type="dxa" w:w="2880"/>
          </w:tcPr>
          <w:p>
            <w:r>
              <w:t>Reason and caution</w:t>
            </w:r>
          </w:p>
        </w:tc>
      </w:tr>
      <w:tr>
        <w:tc>
          <w:tcPr>
            <w:tcW w:type="dxa" w:w="2880"/>
          </w:tcPr>
          <w:p>
            <w:r>
              <w:t>RTMDet [R1]</w:t>
            </w:r>
          </w:p>
        </w:tc>
        <w:tc>
          <w:tcPr>
            <w:tcW w:type="dxa" w:w="2880"/>
          </w:tcPr>
          <w:p>
            <w:r>
              <w:t>Person detector baseline</w:t>
            </w:r>
          </w:p>
        </w:tc>
        <w:tc>
          <w:tcPr>
            <w:tcW w:type="dxa" w:w="2880"/>
          </w:tcPr>
          <w:p>
            <w:r>
              <w:t>Efficient multi-scale real-time detection; COCO benchmarks do not predict factory FPS.</w:t>
            </w:r>
          </w:p>
        </w:tc>
      </w:tr>
      <w:tr>
        <w:tc>
          <w:tcPr>
            <w:tcW w:type="dxa" w:w="2880"/>
          </w:tcPr>
          <w:p>
            <w:r>
              <w:t>ByteTrack [R2]</w:t>
            </w:r>
          </w:p>
        </w:tc>
        <w:tc>
          <w:tcPr>
            <w:tcW w:type="dxa" w:w="2880"/>
          </w:tcPr>
          <w:p>
            <w:r>
              <w:t>Within-camera continuity</w:t>
            </w:r>
          </w:p>
        </w:tc>
        <w:tc>
          <w:tcPr>
            <w:tcW w:type="dxa" w:w="2880"/>
          </w:tcPr>
          <w:p>
            <w:r>
              <w:t>Associates lower-confidence detections to recover occluded tracks; not identity verification.</w:t>
            </w:r>
          </w:p>
        </w:tc>
      </w:tr>
      <w:tr>
        <w:tc>
          <w:tcPr>
            <w:tcW w:type="dxa" w:w="2880"/>
          </w:tcPr>
          <w:p>
            <w:r>
              <w:t>RTMPose [R3]</w:t>
            </w:r>
          </w:p>
        </w:tc>
        <w:tc>
          <w:tcPr>
            <w:tcW w:type="dxa" w:w="2880"/>
          </w:tcPr>
          <w:p>
            <w:r>
              <w:t>Selective body landmarks</w:t>
            </w:r>
          </w:p>
        </w:tc>
        <w:tc>
          <w:tcPr>
            <w:tcW w:type="dxa" w:w="2880"/>
          </w:tcPr>
          <w:p>
            <w:r>
              <w:t>Optimized pose extraction; hips/knees may be blocked at sewing stations.</w:t>
            </w:r>
          </w:p>
        </w:tc>
      </w:tr>
      <w:tr>
        <w:tc>
          <w:tcPr>
            <w:tcW w:type="dxa" w:w="2880"/>
          </w:tcPr>
          <w:p>
            <w:r>
              <w:t>ST-GCN [R4]</w:t>
            </w:r>
          </w:p>
        </w:tc>
        <w:tc>
          <w:tcPr>
            <w:tcW w:type="dxa" w:w="2880"/>
          </w:tcPr>
          <w:p>
            <w:r>
              <w:t>Low-cost pose-sequence baseline</w:t>
            </w:r>
          </w:p>
        </w:tc>
        <w:tc>
          <w:tcPr>
            <w:tcW w:type="dxa" w:w="2880"/>
          </w:tcPr>
          <w:p>
            <w:r>
              <w:t>Good comparative baseline; hands, products and tools may be missed.</w:t>
            </w:r>
          </w:p>
        </w:tc>
      </w:tr>
      <w:tr>
        <w:tc>
          <w:tcPr>
            <w:tcW w:type="dxa" w:w="2880"/>
          </w:tcPr>
          <w:p>
            <w:r>
              <w:t>PoseC3D [R5]</w:t>
            </w:r>
          </w:p>
        </w:tc>
        <w:tc>
          <w:tcPr>
            <w:tcW w:type="dxa" w:w="2880"/>
          </w:tcPr>
          <w:p>
            <w:r>
              <w:t>Preferred pose-model experiment</w:t>
            </w:r>
          </w:p>
        </w:tc>
        <w:tc>
          <w:tcPr>
            <w:tcW w:type="dxa" w:w="2880"/>
          </w:tcPr>
          <w:p>
            <w:r>
              <w:t>Heatmap representation shown robust to pose noise in its benchmarks; verify edge cost.</w:t>
            </w:r>
          </w:p>
        </w:tc>
      </w:tr>
      <w:tr>
        <w:tc>
          <w:tcPr>
            <w:tcW w:type="dxa" w:w="2880"/>
          </w:tcPr>
          <w:p>
            <w:r>
              <w:t>SlowFast [R6]</w:t>
            </w:r>
          </w:p>
        </w:tc>
        <w:tc>
          <w:tcPr>
            <w:tcW w:type="dxa" w:w="2880"/>
          </w:tcPr>
          <w:p>
            <w:r>
              <w:t>RGB model reference</w:t>
            </w:r>
          </w:p>
        </w:tc>
        <w:tc>
          <w:tcPr>
            <w:tcW w:type="dxa" w:w="2880"/>
          </w:tcPr>
          <w:p>
            <w:r>
              <w:t>Fast motion plus slower appearance; benchmark a compact RGB alternative before adopting.</w:t>
            </w:r>
          </w:p>
        </w:tc>
      </w:tr>
      <w:tr>
        <w:tc>
          <w:tcPr>
            <w:tcW w:type="dxa" w:w="2880"/>
          </w:tcPr>
          <w:p>
            <w:r>
              <w:t>MS-TCN [R7]</w:t>
            </w:r>
          </w:p>
        </w:tc>
        <w:tc>
          <w:tcPr>
            <w:tcW w:type="dxa" w:w="2880"/>
          </w:tcPr>
          <w:p>
            <w:r>
              <w:t>Interval segmentation baseline</w:t>
            </w:r>
          </w:p>
        </w:tc>
        <w:tc>
          <w:tcPr>
            <w:tcW w:type="dxa" w:w="2880"/>
          </w:tcPr>
          <w:p>
            <w:r>
              <w:t>Temporal refinement suppresses fragmented predictions; must use causal window online.</w:t>
            </w:r>
          </w:p>
        </w:tc>
      </w:tr>
      <w:tr>
        <w:tc>
          <w:tcPr>
            <w:tcW w:type="dxa" w:w="2880"/>
          </w:tcPr>
          <w:p>
            <w:r>
              <w:t>ASFormer [R8]</w:t>
            </w:r>
          </w:p>
        </w:tc>
        <w:tc>
          <w:tcPr>
            <w:tcW w:type="dxa" w:w="2880"/>
          </w:tcPr>
          <w:p>
            <w:r>
              <w:t>Offline upper-bound experiment</w:t>
            </w:r>
          </w:p>
        </w:tc>
        <w:tc>
          <w:tcPr>
            <w:tcW w:type="dxa" w:w="2880"/>
          </w:tcPr>
          <w:p>
            <w:r>
              <w:t>Long-range modeling; avoid treating full-sequence metrics as live latency.</w:t>
            </w:r>
          </w:p>
        </w:tc>
      </w:tr>
      <w:tr>
        <w:tc>
          <w:tcPr>
            <w:tcW w:type="dxa" w:w="2880"/>
          </w:tcPr>
          <w:p>
            <w:r>
              <w:t>VideoMAE [R9]</w:t>
            </w:r>
          </w:p>
        </w:tc>
        <w:tc>
          <w:tcPr>
            <w:tcW w:type="dxa" w:w="2880"/>
          </w:tcPr>
          <w:p>
            <w:r>
              <w:t>Later domain adaptation</w:t>
            </w:r>
          </w:p>
        </w:tc>
        <w:tc>
          <w:tcPr>
            <w:tcW w:type="dxa" w:w="2880"/>
          </w:tcPr>
          <w:p>
            <w:r>
              <w:t>Self-supervised pretraining candidate after enough permitted unlabeled footage.</w:t>
            </w:r>
          </w:p>
        </w:tc>
      </w:tr>
      <w:tr>
        <w:tc>
          <w:tcPr>
            <w:tcW w:type="dxa" w:w="2880"/>
          </w:tcPr>
          <w:p>
            <w:r>
              <w:t>Assembly101 / IKEA ASM / HA4M [R10–R12]</w:t>
            </w:r>
          </w:p>
        </w:tc>
        <w:tc>
          <w:tcPr>
            <w:tcW w:type="dxa" w:w="2880"/>
          </w:tcPr>
          <w:p>
            <w:r>
              <w:t>Labeling and experiment design</w:t>
            </w:r>
          </w:p>
        </w:tc>
        <w:tc>
          <w:tcPr>
            <w:tcW w:type="dxa" w:w="2880"/>
          </w:tcPr>
          <w:p>
            <w:r>
              <w:t>Domain differs from factory CCTV; check noncommercial dataset and checkpoint terms.</w:t>
            </w:r>
          </w:p>
        </w:tc>
      </w:tr>
    </w:tbl>
    <w:p>
      <w:pPr>
        <w:pStyle w:val="Heading2"/>
      </w:pPr>
      <w:r>
        <w:t>Recommended hybrid model strategy</w:t>
      </w:r>
    </w:p>
    <w:p>
      <w:r>
        <w:t>Baseline A: RTMDet → ByteTrack → calibrated station polygons + time rules. Baseline B: add RTMPose → posture classifier and simple temporal features. Baseline C: add PoseC3D only for task labels that cannot be captured by simpler features. Baseline D: add a compact ROI RGB classifier only for actions distinguished by objects/hands and ambiguous pose outputs. Baseline E: optional causal temporal segmentation after comparing event boundary error to hysteresis rules. Keep the lowest-cost configuration that meets the jointly agreed error and coverage gates.</w:t>
      </w:r>
    </w:p>
    <w:p>
      <w:pPr>
        <w:pStyle w:val="Heading1"/>
      </w:pPr>
      <w:r>
        <w:t>6. Application architecture: no .NET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Pilot choice</w:t>
            </w:r>
          </w:p>
        </w:tc>
        <w:tc>
          <w:tcPr>
            <w:tcW w:type="dxa" w:w="2880"/>
          </w:tcPr>
          <w:p>
            <w:r>
              <w:t>Boundary</w:t>
            </w:r>
          </w:p>
        </w:tc>
      </w:tr>
      <w:tr>
        <w:tc>
          <w:tcPr>
            <w:tcW w:type="dxa" w:w="2880"/>
          </w:tcPr>
          <w:p>
            <w:r>
              <w:t>Web client</w:t>
            </w:r>
          </w:p>
        </w:tc>
        <w:tc>
          <w:tcPr>
            <w:tcW w:type="dxa" w:w="2880"/>
          </w:tcPr>
          <w:p>
            <w:r>
              <w:t>React + TypeScript; TanStack Query; WebSockets</w:t>
            </w:r>
          </w:p>
        </w:tc>
        <w:tc>
          <w:tcPr>
            <w:tcW w:type="dxa" w:w="2880"/>
          </w:tcPr>
          <w:p>
            <w:r>
              <w:t>Dashboard, role-scoped views, timeline, clip review and localization.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TypeScript; Fastify or NestJS</w:t>
            </w:r>
          </w:p>
        </w:tc>
        <w:tc>
          <w:tcPr>
            <w:tcW w:type="dxa" w:w="2880"/>
          </w:tcPr>
          <w:p>
            <w:r>
              <w:t>REST, authentication, RBAC, audit, settings, event review, exports, WS fan-out.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Python + PyTorch / ONNX Runtime / TensorRT where suitable</w:t>
            </w:r>
          </w:p>
        </w:tc>
        <w:tc>
          <w:tcPr>
            <w:tcW w:type="dxa" w:w="2880"/>
          </w:tcPr>
          <w:p>
            <w:r>
              <w:t>RTMDet, ByteTrack, RTMPose and optional action workers.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GStreamer / FFmpeg; benchmark DeepStream on NVIDIA</w:t>
            </w:r>
          </w:p>
        </w:tc>
        <w:tc>
          <w:tcPr>
            <w:tcW w:type="dxa" w:w="2880"/>
          </w:tcPr>
          <w:p>
            <w:r>
              <w:t>RTSP ingest, stream health, frame sampling, recordings, encoded clip evidence.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Stations, cameras, observations, review outcomes, rule/model versions; UTC timestamps.</w:t>
            </w:r>
          </w:p>
        </w:tc>
      </w:tr>
      <w:tr>
        <w:tc>
          <w:tcPr>
            <w:tcW w:type="dxa" w:w="2880"/>
          </w:tcPr>
          <w:p>
            <w:r>
              <w:t>Durable delivery</w:t>
            </w:r>
          </w:p>
        </w:tc>
        <w:tc>
          <w:tcPr>
            <w:tcW w:type="dxa" w:w="2880"/>
          </w:tcPr>
          <w:p>
            <w:r>
              <w:t>Postgres outbox or local disk-backed queue</w:t>
            </w:r>
          </w:p>
        </w:tc>
        <w:tc>
          <w:tcPr>
            <w:tcW w:type="dxa" w:w="2880"/>
          </w:tcPr>
          <w:p>
            <w:r>
              <w:t>At-least-once delivery + idempotency; do not queue raw frames.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Compose initially</w:t>
            </w:r>
          </w:p>
        </w:tc>
        <w:tc>
          <w:tcPr>
            <w:tcW w:type="dxa" w:w="2880"/>
          </w:tcPr>
          <w:p>
            <w:r>
              <w:t>Per-site rollout and health; move to orchestration only at measured need.</w:t>
            </w:r>
          </w:p>
        </w:tc>
      </w:tr>
    </w:tbl>
    <w:p>
      <w:r>
        <w:t>Data contract: factory_id, camera_id, station_id, track_id, optional verified_employee_id, observed_at_utc, interval_start/end, visibility, posture, task, confidence, model_version, rule_version, evidence_uri, revision, reviewer and review_status. Raw video stays in controlled media storage, not Postgres. WebSocket clients receive summarized state deltas, not full-rate pose outputs.</w:t>
      </w:r>
    </w:p>
    <w:p>
      <w:pPr>
        <w:pStyle w:val="Heading1"/>
      </w:pPr>
      <w:r>
        <w:t>7. Performance and accuracy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Pilot gate / policy</w:t>
            </w:r>
          </w:p>
        </w:tc>
      </w:tr>
      <w:tr>
        <w:tc>
          <w:tcPr>
            <w:tcW w:type="dxa" w:w="4320"/>
          </w:tcPr>
          <w:p>
            <w:r>
              <w:t>Continuous monitoring</w:t>
            </w:r>
          </w:p>
        </w:tc>
        <w:tc>
          <w:tcPr>
            <w:tcW w:type="dxa" w:w="4320"/>
          </w:tcPr>
          <w:p>
            <w:r>
              <w:t>At least 95% usable occupancy coverage in approved visible zones — proposed goal.</w:t>
            </w:r>
          </w:p>
        </w:tc>
      </w:tr>
      <w:tr>
        <w:tc>
          <w:tcPr>
            <w:tcW w:type="dxa" w:w="4320"/>
          </w:tcPr>
          <w:p>
            <w:r>
              <w:t>Posture</w:t>
            </w:r>
          </w:p>
        </w:tc>
        <w:tc>
          <w:tcPr>
            <w:tcW w:type="dxa" w:w="4320"/>
          </w:tcPr>
          <w:p>
            <w:r>
              <w:t>Macro-F1 ≥ 0.90 on visible sitting/standing cases — proposed goal.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Precision ≥ 90%, recall ≥ 80%, max 1 false candidate/station/8-hour shift — proposed goals.</w:t>
            </w:r>
          </w:p>
        </w:tc>
      </w:tr>
      <w:tr>
        <w:tc>
          <w:tcPr>
            <w:tcW w:type="dxa" w:w="4320"/>
          </w:tcPr>
          <w:p>
            <w:r>
              <w:t>Operational</w:t>
            </w:r>
          </w:p>
        </w:tc>
        <w:tc>
          <w:tcPr>
            <w:tcW w:type="dxa" w:w="4320"/>
          </w:tcPr>
          <w:p>
            <w:r>
              <w:t>Measure sustained camera count, p95 end-to-end latency, GPU utilization, drop rate, reconnect and recovery.</w:t>
            </w:r>
          </w:p>
        </w:tc>
      </w:tr>
      <w:tr>
        <w:tc>
          <w:tcPr>
            <w:tcW w:type="dxa" w:w="4320"/>
          </w:tcPr>
          <w:p>
            <w:r>
              <w:t>Temporal</w:t>
            </w:r>
          </w:p>
        </w:tc>
        <w:tc>
          <w:tcPr>
            <w:tcW w:type="dxa" w:w="4320"/>
          </w:tcPr>
          <w:p>
            <w:r>
              <w:t>Measure segment-F1, boundary MAE and duration MAE separately from frame classification.</w:t>
            </w:r>
          </w:p>
        </w:tc>
      </w:tr>
      <w:tr>
        <w:tc>
          <w:tcPr>
            <w:tcW w:type="dxa" w:w="4320"/>
          </w:tcPr>
          <w:p>
            <w:r>
              <w:t>Dynamic versus fixed</w:t>
            </w:r>
          </w:p>
        </w:tc>
        <w:tc>
          <w:tcPr>
            <w:tcW w:type="dxa" w:w="4320"/>
          </w:tcPr>
          <w:p>
            <w:r>
              <w:t>A/B the adaptive scheduler against fixed 5, 10 and 15 FPS at equal footage and acceptable error; report compute-hours and false alerts.</w:t>
            </w:r>
          </w:p>
        </w:tc>
      </w:tr>
      <w:tr>
        <w:tc>
          <w:tcPr>
            <w:tcW w:type="dxa" w:w="4320"/>
          </w:tcPr>
          <w:p>
            <w:r>
              <w:t>Generalization</w:t>
            </w:r>
          </w:p>
        </w:tc>
        <w:tc>
          <w:tcPr>
            <w:tcW w:type="dxa" w:w="4320"/>
          </w:tcPr>
          <w:p>
            <w:r>
              <w:t>Held-out days, sessions, camera views and if possible a second site; no adjacent-frame leakage.</w:t>
            </w:r>
          </w:p>
        </w:tc>
      </w:tr>
    </w:tbl>
    <w:p>
      <w:r>
        <w:t>Do not claim a specific percentage reduction in compute without benchmarking. Start with 2–4 streams and 5–10 stations; measure person crops/s, clip invocation rate, p95 GPU queues and error trade-offs before sizing a multi-camera appliance.</w:t>
      </w:r>
    </w:p>
    <w:p>
      <w:pPr>
        <w:pStyle w:val="Heading1"/>
      </w:pPr>
      <w:r>
        <w:t>8. Twelve-week implementation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Weeks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1–2</w:t>
            </w:r>
          </w:p>
        </w:tc>
        <w:tc>
          <w:tcPr>
            <w:tcW w:type="dxa" w:w="4320"/>
          </w:tcPr>
          <w:p>
            <w:r>
              <w:t>Factory/video feasibility, station zones, ontology, consent and retention policies; baseline test set.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RTSP ingest, recording separation, RTMDet + ByteTrack, stream-health, basic React occupancy UI.</w:t>
            </w:r>
          </w:p>
        </w:tc>
      </w:tr>
      <w:tr>
        <w:tc>
          <w:tcPr>
            <w:tcW w:type="dxa" w:w="4320"/>
          </w:tcPr>
          <w:p>
            <w:r>
              <w:t>5–6</w:t>
            </w:r>
          </w:p>
        </w:tc>
        <w:tc>
          <w:tcPr>
            <w:tcW w:type="dxa" w:w="4320"/>
          </w:tcPr>
          <w:p>
            <w:r>
              <w:t>RTMPose posture, uncertain states, label agreement and segmented held-out evaluation.</w:t>
            </w:r>
          </w:p>
        </w:tc>
      </w:tr>
      <w:tr>
        <w:tc>
          <w:tcPr>
            <w:tcW w:type="dxa" w:w="4320"/>
          </w:tcPr>
          <w:p>
            <w:r>
              <w:t>7–8</w:t>
            </w:r>
          </w:p>
        </w:tc>
        <w:tc>
          <w:tcPr>
            <w:tcW w:type="dxa" w:w="4320"/>
          </w:tcPr>
          <w:p>
            <w:r>
              <w:t>Adaptive scheduler, compare PoseC3D vs features and selective RGB; add shift/machine context.</w:t>
            </w:r>
          </w:p>
        </w:tc>
      </w:tr>
      <w:tr>
        <w:tc>
          <w:tcPr>
            <w:tcW w:type="dxa" w:w="4320"/>
          </w:tcPr>
          <w:p>
            <w:r>
              <w:t>9–10</w:t>
            </w:r>
          </w:p>
        </w:tc>
        <w:tc>
          <w:tcPr>
            <w:tcW w:type="dxa" w:w="4320"/>
          </w:tcPr>
          <w:p>
            <w:r>
              <w:t>Durable event/replay, review workflow, shadow mode, stress and outage testing.</w:t>
            </w:r>
          </w:p>
        </w:tc>
      </w:tr>
      <w:tr>
        <w:tc>
          <w:tcPr>
            <w:tcW w:type="dxa" w:w="4320"/>
          </w:tcPr>
          <w:p>
            <w:r>
              <w:t>11–12</w:t>
            </w:r>
          </w:p>
        </w:tc>
        <w:tc>
          <w:tcPr>
            <w:tcW w:type="dxa" w:w="4320"/>
          </w:tcPr>
          <w:p>
            <w:r>
              <w:t>Locked performance evaluation, calibration, compute cost per camera and release decision.</w:t>
            </w:r>
          </w:p>
        </w:tc>
      </w:tr>
    </w:tbl>
    <w:p>
      <w:pPr>
        <w:pStyle w:val="Heading1"/>
      </w:pPr>
      <w:r>
        <w:t>9. Source bibliography and verification status</w:t>
      </w:r>
    </w:p>
    <w:p>
      <w:r>
        <w:t>This technical architecture draws on the supplied 28 October 2026 Factory Vision AI plan and checks primary/public abstracts or publication records below. I reviewed the published methods and design claims available on their source pages; this is not a reproducibility audit or a claim to have reproduced all reported experiments.</w:t>
      </w:r>
    </w:p>
    <w:p>
      <w:r>
        <w:t>R1 RTMDet — https://arxiv.org/abs/2212.07784</w:t>
      </w:r>
    </w:p>
    <w:p>
      <w:r>
        <w:t>R2 ByteTrack — https://www.ecva.net/papers/eccv_2022/papers_ECCV/html/315_ECCV_2022_paper.php</w:t>
      </w:r>
    </w:p>
    <w:p>
      <w:r>
        <w:t>R3 RTMPose — https://arxiv.org/abs/2303.07399</w:t>
      </w:r>
    </w:p>
    <w:p>
      <w:r>
        <w:t>R5 PoseC3D — https://openaccess.thecvf.com/content/CVPR2022/html/Duan_Revisiting_Skeleton-Based_Action_Recognition_CVPR_2022_paper.html</w:t>
      </w:r>
    </w:p>
    <w:p>
      <w:r>
        <w:t>R6 SlowFast — https://openaccess.thecvf.com/content_ICCV_2019/html/Feichtenhofer_SlowFast_Networks_for_Video_Recognition_ICCV_2019_paper.html</w:t>
      </w:r>
    </w:p>
    <w:p>
      <w:r>
        <w:t>R7 MS-TCN — https://openaccess.thecvf.com/content_CVPR_2019/html/Abu_Farha_MS-TCN_Multi-Stage_Temporal_Convolutional_Network_for_Action_Segmentation_CVPR_2019_paper.html</w:t>
      </w:r>
    </w:p>
    <w:p>
      <w:r>
        <w:t>S1 NVIDIA DeepStream adaptive batching — https://docs.nvidia.com/deepstream/text/DS_plugin_gst-nvstreammux2</w:t>
      </w:r>
    </w:p>
    <w:p>
      <w:r>
        <w:t>Additional methods R4 ST-GCN, R8 ASFormer, R9 VideoMAE and dataset resources R10–R12 are described in the original supplied research plan; include their full-paper and licensing reviews in the experimental sprint before implementation choices are locked. Commercial data/weight permissions must be verified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Engineering proposal • 28 October 2026 • Benchmarks required before production claims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FACTORY VISION AI  |  ENGINEERING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7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