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6B9D" w14:textId="7AD8DBF4" w:rsidR="00702A39" w:rsidRDefault="00702A39">
      <w:r>
        <w:t xml:space="preserve">Research design </w:t>
      </w:r>
      <w:r w:rsidR="000A21B5">
        <w:t xml:space="preserve">updated </w:t>
      </w:r>
    </w:p>
    <w:p w14:paraId="096EE31E" w14:textId="41E974CE" w:rsidR="001B79E5" w:rsidRPr="00A15B8F" w:rsidRDefault="00A15B8F">
      <w:pPr>
        <w:rPr>
          <w:color w:val="FF0000"/>
        </w:rPr>
      </w:pPr>
      <w:r w:rsidRPr="00A15B8F">
        <w:rPr>
          <w:color w:val="FF0000"/>
        </w:rPr>
        <w:t>Post-processing the below variables</w:t>
      </w:r>
    </w:p>
    <w:tbl>
      <w:tblPr>
        <w:tblStyle w:val="TableGrid"/>
        <w:tblW w:w="8580" w:type="dxa"/>
        <w:tblLook w:val="04A0" w:firstRow="1" w:lastRow="0" w:firstColumn="1" w:lastColumn="0" w:noHBand="0" w:noVBand="1"/>
      </w:tblPr>
      <w:tblGrid>
        <w:gridCol w:w="1906"/>
        <w:gridCol w:w="2200"/>
        <w:gridCol w:w="4474"/>
      </w:tblGrid>
      <w:tr w:rsidR="001B79E5" w:rsidRPr="001B79E5" w14:paraId="643101B7" w14:textId="77777777" w:rsidTr="009E3850">
        <w:tc>
          <w:tcPr>
            <w:tcW w:w="1906" w:type="dxa"/>
            <w:vAlign w:val="center"/>
          </w:tcPr>
          <w:p w14:paraId="55FAD331" w14:textId="6BA705F7" w:rsidR="001B7144" w:rsidRPr="001B79E5" w:rsidRDefault="001B7144" w:rsidP="009E3850">
            <w:pPr>
              <w:spacing w:after="160" w:line="259" w:lineRule="auto"/>
              <w:rPr>
                <w:b/>
                <w:bCs/>
              </w:rPr>
            </w:pPr>
            <w:r w:rsidRPr="001B79E5">
              <w:rPr>
                <w:b/>
                <w:bCs/>
              </w:rPr>
              <w:t>Dimension</w:t>
            </w:r>
          </w:p>
        </w:tc>
        <w:tc>
          <w:tcPr>
            <w:tcW w:w="2200" w:type="dxa"/>
            <w:vAlign w:val="center"/>
          </w:tcPr>
          <w:p w14:paraId="1284D0DA" w14:textId="019CB77D" w:rsidR="001B7144" w:rsidRPr="001B79E5" w:rsidRDefault="001B7144" w:rsidP="009E3850">
            <w:pPr>
              <w:spacing w:after="160" w:line="259" w:lineRule="auto"/>
              <w:rPr>
                <w:b/>
                <w:bCs/>
              </w:rPr>
            </w:pPr>
            <w:r w:rsidRPr="001B79E5">
              <w:rPr>
                <w:b/>
                <w:bCs/>
              </w:rPr>
              <w:t>Variable</w:t>
            </w:r>
          </w:p>
        </w:tc>
        <w:tc>
          <w:tcPr>
            <w:tcW w:w="4474" w:type="dxa"/>
            <w:vAlign w:val="center"/>
          </w:tcPr>
          <w:p w14:paraId="0C4CEAB4" w14:textId="7437F978" w:rsidR="001B7144" w:rsidRPr="001B79E5" w:rsidRDefault="001B7144" w:rsidP="009E3850">
            <w:pPr>
              <w:spacing w:after="160" w:line="259" w:lineRule="auto"/>
              <w:rPr>
                <w:b/>
                <w:bCs/>
              </w:rPr>
            </w:pPr>
            <w:r w:rsidRPr="001B79E5">
              <w:rPr>
                <w:b/>
                <w:bCs/>
              </w:rPr>
              <w:t>Definition</w:t>
            </w:r>
          </w:p>
        </w:tc>
      </w:tr>
      <w:tr w:rsidR="001B79E5" w:rsidRPr="001B79E5" w14:paraId="650893A7" w14:textId="77777777" w:rsidTr="009E3850">
        <w:tc>
          <w:tcPr>
            <w:tcW w:w="1906" w:type="dxa"/>
            <w:vMerge w:val="restart"/>
            <w:vAlign w:val="center"/>
          </w:tcPr>
          <w:p w14:paraId="7A976564" w14:textId="226A603D" w:rsidR="009E3850" w:rsidRPr="001B79E5" w:rsidRDefault="009E3850" w:rsidP="009E3850">
            <w:pPr>
              <w:spacing w:after="160" w:line="259" w:lineRule="auto"/>
            </w:pPr>
            <w:r w:rsidRPr="001B79E5">
              <w:t>Spatial</w:t>
            </w:r>
          </w:p>
        </w:tc>
        <w:tc>
          <w:tcPr>
            <w:tcW w:w="2200" w:type="dxa"/>
            <w:vAlign w:val="center"/>
          </w:tcPr>
          <w:p w14:paraId="3C003F00" w14:textId="65FADBE6" w:rsidR="009E3850" w:rsidRPr="001B79E5" w:rsidRDefault="009E3850" w:rsidP="009E3850">
            <w:pPr>
              <w:spacing w:after="160" w:line="259" w:lineRule="auto"/>
            </w:pPr>
            <w:r w:rsidRPr="001B79E5">
              <w:t>GEOID</w:t>
            </w:r>
          </w:p>
        </w:tc>
        <w:tc>
          <w:tcPr>
            <w:tcW w:w="4474" w:type="dxa"/>
            <w:vAlign w:val="center"/>
          </w:tcPr>
          <w:p w14:paraId="707DC048" w14:textId="3D040412" w:rsidR="009E3850" w:rsidRPr="001B79E5" w:rsidRDefault="009E3850" w:rsidP="009E3850">
            <w:pPr>
              <w:spacing w:after="160" w:line="259" w:lineRule="auto"/>
            </w:pPr>
            <w:r w:rsidRPr="001B79E5">
              <w:t>ID for table join</w:t>
            </w:r>
          </w:p>
        </w:tc>
      </w:tr>
      <w:tr w:rsidR="001B79E5" w:rsidRPr="001B79E5" w14:paraId="5EF6B058" w14:textId="77777777" w:rsidTr="009E3850">
        <w:tc>
          <w:tcPr>
            <w:tcW w:w="1906" w:type="dxa"/>
            <w:vMerge/>
            <w:vAlign w:val="center"/>
          </w:tcPr>
          <w:p w14:paraId="7E901BCD" w14:textId="77777777" w:rsidR="009E3850" w:rsidRPr="001B79E5" w:rsidRDefault="009E3850" w:rsidP="009E3850">
            <w:pPr>
              <w:spacing w:after="160" w:line="259" w:lineRule="auto"/>
            </w:pPr>
          </w:p>
        </w:tc>
        <w:tc>
          <w:tcPr>
            <w:tcW w:w="2200" w:type="dxa"/>
            <w:vAlign w:val="center"/>
          </w:tcPr>
          <w:p w14:paraId="15154D21" w14:textId="1D19B70C" w:rsidR="009E3850" w:rsidRPr="001B79E5" w:rsidRDefault="009E3850" w:rsidP="009E3850">
            <w:pPr>
              <w:spacing w:after="160" w:line="259" w:lineRule="auto"/>
            </w:pPr>
            <w:proofErr w:type="spellStart"/>
            <w:r w:rsidRPr="001B79E5">
              <w:t>CountyName</w:t>
            </w:r>
            <w:proofErr w:type="spellEnd"/>
          </w:p>
        </w:tc>
        <w:tc>
          <w:tcPr>
            <w:tcW w:w="4474" w:type="dxa"/>
            <w:vAlign w:val="center"/>
          </w:tcPr>
          <w:p w14:paraId="6D3CAE32" w14:textId="7E9D92DE" w:rsidR="009E3850" w:rsidRPr="001B79E5" w:rsidRDefault="009E3850" w:rsidP="009E3850">
            <w:pPr>
              <w:spacing w:after="160" w:line="259" w:lineRule="auto"/>
            </w:pPr>
            <w:r w:rsidRPr="001B79E5">
              <w:t>County Name</w:t>
            </w:r>
          </w:p>
        </w:tc>
      </w:tr>
      <w:tr w:rsidR="001B79E5" w:rsidRPr="001B79E5" w14:paraId="3657D24E" w14:textId="77777777" w:rsidTr="009E3850">
        <w:tc>
          <w:tcPr>
            <w:tcW w:w="1906" w:type="dxa"/>
            <w:vMerge/>
            <w:vAlign w:val="center"/>
          </w:tcPr>
          <w:p w14:paraId="5DC07CF0" w14:textId="77777777" w:rsidR="009E3850" w:rsidRPr="001B79E5" w:rsidRDefault="009E3850" w:rsidP="009E3850">
            <w:pPr>
              <w:spacing w:after="160" w:line="259" w:lineRule="auto"/>
            </w:pPr>
          </w:p>
        </w:tc>
        <w:tc>
          <w:tcPr>
            <w:tcW w:w="2200" w:type="dxa"/>
            <w:vAlign w:val="center"/>
          </w:tcPr>
          <w:p w14:paraId="38D81682" w14:textId="79877C82" w:rsidR="009E3850" w:rsidRPr="001B79E5" w:rsidRDefault="009E3850" w:rsidP="009E3850">
            <w:pPr>
              <w:spacing w:after="160" w:line="259" w:lineRule="auto"/>
            </w:pPr>
            <w:proofErr w:type="spellStart"/>
            <w:r w:rsidRPr="001B79E5">
              <w:t>STATEcode</w:t>
            </w:r>
            <w:proofErr w:type="spellEnd"/>
          </w:p>
        </w:tc>
        <w:tc>
          <w:tcPr>
            <w:tcW w:w="4474" w:type="dxa"/>
            <w:vAlign w:val="center"/>
          </w:tcPr>
          <w:p w14:paraId="54E43A57" w14:textId="46D8282F" w:rsidR="009E3850" w:rsidRPr="001B79E5" w:rsidRDefault="009E3850" w:rsidP="009E3850">
            <w:pPr>
              <w:spacing w:after="160" w:line="259" w:lineRule="auto"/>
            </w:pPr>
            <w:r w:rsidRPr="001B79E5">
              <w:t>State code</w:t>
            </w:r>
          </w:p>
        </w:tc>
      </w:tr>
      <w:tr w:rsidR="001B79E5" w:rsidRPr="001B79E5" w14:paraId="04B241F0" w14:textId="77777777" w:rsidTr="009E3850">
        <w:tc>
          <w:tcPr>
            <w:tcW w:w="1906" w:type="dxa"/>
            <w:vMerge/>
            <w:vAlign w:val="center"/>
          </w:tcPr>
          <w:p w14:paraId="788E0F6A" w14:textId="77777777" w:rsidR="009E3850" w:rsidRPr="001B79E5" w:rsidRDefault="009E3850" w:rsidP="009E3850">
            <w:pPr>
              <w:spacing w:after="160" w:line="259" w:lineRule="auto"/>
            </w:pPr>
          </w:p>
        </w:tc>
        <w:tc>
          <w:tcPr>
            <w:tcW w:w="2200" w:type="dxa"/>
            <w:vAlign w:val="center"/>
          </w:tcPr>
          <w:p w14:paraId="622BC004" w14:textId="3C85EAD0" w:rsidR="009E3850" w:rsidRPr="001B79E5" w:rsidRDefault="009E3850" w:rsidP="009E3850">
            <w:pPr>
              <w:spacing w:after="160" w:line="259" w:lineRule="auto"/>
            </w:pPr>
            <w:proofErr w:type="spellStart"/>
            <w:r w:rsidRPr="001B79E5">
              <w:t>STATEname</w:t>
            </w:r>
            <w:proofErr w:type="spellEnd"/>
          </w:p>
        </w:tc>
        <w:tc>
          <w:tcPr>
            <w:tcW w:w="4474" w:type="dxa"/>
            <w:vAlign w:val="center"/>
          </w:tcPr>
          <w:p w14:paraId="437256CF" w14:textId="12C20110" w:rsidR="009E3850" w:rsidRPr="001B79E5" w:rsidRDefault="009E3850" w:rsidP="009E3850">
            <w:pPr>
              <w:spacing w:after="160" w:line="259" w:lineRule="auto"/>
            </w:pPr>
            <w:r w:rsidRPr="001B79E5">
              <w:t>State name</w:t>
            </w:r>
          </w:p>
        </w:tc>
      </w:tr>
      <w:tr w:rsidR="001B79E5" w:rsidRPr="001B79E5" w14:paraId="5A09C3C8" w14:textId="77777777" w:rsidTr="009E3850">
        <w:tc>
          <w:tcPr>
            <w:tcW w:w="1906" w:type="dxa"/>
            <w:vMerge w:val="restart"/>
            <w:vAlign w:val="center"/>
          </w:tcPr>
          <w:p w14:paraId="7916AA1E" w14:textId="63D2FB4B" w:rsidR="009E3850" w:rsidRPr="001B79E5" w:rsidRDefault="009E3850" w:rsidP="009E3850">
            <w:pPr>
              <w:spacing w:after="160" w:line="259" w:lineRule="auto"/>
            </w:pPr>
            <w:r w:rsidRPr="001B79E5">
              <w:t>Temporal</w:t>
            </w:r>
          </w:p>
        </w:tc>
        <w:tc>
          <w:tcPr>
            <w:tcW w:w="2200" w:type="dxa"/>
            <w:vAlign w:val="center"/>
          </w:tcPr>
          <w:p w14:paraId="4598542D" w14:textId="7CF25E40" w:rsidR="009E3850" w:rsidRPr="001B79E5" w:rsidRDefault="009E3850" w:rsidP="009E3850">
            <w:pPr>
              <w:spacing w:after="160" w:line="259" w:lineRule="auto"/>
            </w:pPr>
            <w:r w:rsidRPr="001B79E5">
              <w:t>Date</w:t>
            </w:r>
          </w:p>
        </w:tc>
        <w:tc>
          <w:tcPr>
            <w:tcW w:w="4474" w:type="dxa"/>
            <w:vAlign w:val="center"/>
          </w:tcPr>
          <w:p w14:paraId="7FE220D4" w14:textId="0648329A" w:rsidR="009E3850" w:rsidRPr="001B79E5" w:rsidRDefault="009E3850" w:rsidP="009E3850">
            <w:pPr>
              <w:spacing w:after="160" w:line="259" w:lineRule="auto"/>
            </w:pPr>
            <w:r w:rsidRPr="001B79E5">
              <w:t>May 1 – Sep 30, 2016 to 2022 by day</w:t>
            </w:r>
          </w:p>
        </w:tc>
      </w:tr>
      <w:tr w:rsidR="001B79E5" w:rsidRPr="001B79E5" w14:paraId="13C55283" w14:textId="77777777" w:rsidTr="009E3850">
        <w:tc>
          <w:tcPr>
            <w:tcW w:w="1906" w:type="dxa"/>
            <w:vMerge/>
            <w:vAlign w:val="center"/>
          </w:tcPr>
          <w:p w14:paraId="2D26191C" w14:textId="77777777" w:rsidR="009E3850" w:rsidRPr="001B79E5" w:rsidRDefault="009E3850" w:rsidP="009E3850">
            <w:pPr>
              <w:spacing w:after="160" w:line="259" w:lineRule="auto"/>
            </w:pPr>
          </w:p>
        </w:tc>
        <w:tc>
          <w:tcPr>
            <w:tcW w:w="2200" w:type="dxa"/>
            <w:vAlign w:val="center"/>
          </w:tcPr>
          <w:p w14:paraId="43A8B51C" w14:textId="2FFF45F0" w:rsidR="009E3850" w:rsidRPr="001B79E5" w:rsidRDefault="009E3850" w:rsidP="009E3850">
            <w:pPr>
              <w:spacing w:after="160" w:line="259" w:lineRule="auto"/>
            </w:pPr>
            <w:r w:rsidRPr="001B79E5">
              <w:t>Holiday</w:t>
            </w:r>
          </w:p>
        </w:tc>
        <w:tc>
          <w:tcPr>
            <w:tcW w:w="4474" w:type="dxa"/>
            <w:vAlign w:val="center"/>
          </w:tcPr>
          <w:p w14:paraId="3A38CAC4" w14:textId="231E23E6" w:rsidR="009E3850" w:rsidRPr="001B79E5" w:rsidRDefault="009E3850" w:rsidP="009E3850">
            <w:pPr>
              <w:spacing w:after="160" w:line="259" w:lineRule="auto"/>
            </w:pPr>
            <w:r w:rsidRPr="001B79E5">
              <w:t>0-nonholiday; 1-holiday</w:t>
            </w:r>
          </w:p>
        </w:tc>
      </w:tr>
      <w:tr w:rsidR="001B79E5" w:rsidRPr="001B79E5" w14:paraId="7C11F8E7" w14:textId="77777777" w:rsidTr="009E3850">
        <w:tc>
          <w:tcPr>
            <w:tcW w:w="1906" w:type="dxa"/>
            <w:vMerge/>
            <w:vAlign w:val="center"/>
          </w:tcPr>
          <w:p w14:paraId="2E1B332A" w14:textId="77777777" w:rsidR="009E3850" w:rsidRPr="001B79E5" w:rsidRDefault="009E3850" w:rsidP="009E3850">
            <w:pPr>
              <w:spacing w:after="160" w:line="259" w:lineRule="auto"/>
            </w:pPr>
          </w:p>
        </w:tc>
        <w:tc>
          <w:tcPr>
            <w:tcW w:w="2200" w:type="dxa"/>
            <w:vAlign w:val="center"/>
          </w:tcPr>
          <w:p w14:paraId="13FB2E94" w14:textId="299E0464" w:rsidR="009E3850" w:rsidRPr="001B79E5" w:rsidRDefault="009E3850" w:rsidP="009E3850">
            <w:pPr>
              <w:spacing w:after="160" w:line="259" w:lineRule="auto"/>
            </w:pPr>
            <w:r w:rsidRPr="001B79E5">
              <w:t>Year</w:t>
            </w:r>
          </w:p>
        </w:tc>
        <w:tc>
          <w:tcPr>
            <w:tcW w:w="4474" w:type="dxa"/>
            <w:vAlign w:val="center"/>
          </w:tcPr>
          <w:p w14:paraId="2636A614" w14:textId="09E8C239" w:rsidR="009E3850" w:rsidRPr="001B79E5" w:rsidRDefault="009E3850" w:rsidP="009E3850">
            <w:pPr>
              <w:spacing w:after="160" w:line="259" w:lineRule="auto"/>
            </w:pPr>
            <w:r w:rsidRPr="001B79E5">
              <w:t>2016 to 2022</w:t>
            </w:r>
          </w:p>
        </w:tc>
      </w:tr>
      <w:tr w:rsidR="001B79E5" w:rsidRPr="001B79E5" w14:paraId="2F0A9FAE" w14:textId="77777777" w:rsidTr="009E3850">
        <w:tc>
          <w:tcPr>
            <w:tcW w:w="1906" w:type="dxa"/>
            <w:vMerge/>
            <w:vAlign w:val="center"/>
          </w:tcPr>
          <w:p w14:paraId="1DA78B34" w14:textId="77777777" w:rsidR="009E3850" w:rsidRPr="001B79E5" w:rsidRDefault="009E3850" w:rsidP="009E3850">
            <w:pPr>
              <w:spacing w:after="160" w:line="259" w:lineRule="auto"/>
            </w:pPr>
          </w:p>
        </w:tc>
        <w:tc>
          <w:tcPr>
            <w:tcW w:w="2200" w:type="dxa"/>
            <w:vAlign w:val="center"/>
          </w:tcPr>
          <w:p w14:paraId="1F436F79" w14:textId="6F2ACBEC" w:rsidR="009E3850" w:rsidRPr="001B79E5" w:rsidRDefault="009E3850" w:rsidP="009E3850">
            <w:pPr>
              <w:spacing w:after="160" w:line="259" w:lineRule="auto"/>
            </w:pPr>
            <w:r w:rsidRPr="001B79E5">
              <w:t>Month</w:t>
            </w:r>
          </w:p>
        </w:tc>
        <w:tc>
          <w:tcPr>
            <w:tcW w:w="4474" w:type="dxa"/>
            <w:vAlign w:val="center"/>
          </w:tcPr>
          <w:p w14:paraId="79182967" w14:textId="0220E2C5" w:rsidR="009E3850" w:rsidRPr="001B79E5" w:rsidRDefault="009E3850" w:rsidP="009E3850">
            <w:pPr>
              <w:spacing w:after="160" w:line="259" w:lineRule="auto"/>
            </w:pPr>
            <w:r w:rsidRPr="001B79E5">
              <w:t>1-12</w:t>
            </w:r>
          </w:p>
        </w:tc>
      </w:tr>
      <w:tr w:rsidR="001B79E5" w:rsidRPr="001B79E5" w14:paraId="0B2A09FB" w14:textId="77777777" w:rsidTr="009E3850">
        <w:tc>
          <w:tcPr>
            <w:tcW w:w="1906" w:type="dxa"/>
            <w:vMerge/>
            <w:vAlign w:val="center"/>
          </w:tcPr>
          <w:p w14:paraId="2F70E286" w14:textId="77777777" w:rsidR="009E3850" w:rsidRPr="001B79E5" w:rsidRDefault="009E3850" w:rsidP="009E3850">
            <w:pPr>
              <w:spacing w:after="160" w:line="259" w:lineRule="auto"/>
            </w:pPr>
          </w:p>
        </w:tc>
        <w:tc>
          <w:tcPr>
            <w:tcW w:w="2200" w:type="dxa"/>
            <w:vAlign w:val="center"/>
          </w:tcPr>
          <w:p w14:paraId="5C62C476" w14:textId="57DDFE5D" w:rsidR="009E3850" w:rsidRPr="001B79E5" w:rsidRDefault="009E3850" w:rsidP="009E3850">
            <w:pPr>
              <w:spacing w:after="160" w:line="259" w:lineRule="auto"/>
            </w:pPr>
            <w:r w:rsidRPr="001B79E5">
              <w:t>Week</w:t>
            </w:r>
          </w:p>
        </w:tc>
        <w:tc>
          <w:tcPr>
            <w:tcW w:w="4474" w:type="dxa"/>
            <w:vAlign w:val="center"/>
          </w:tcPr>
          <w:p w14:paraId="5417CA6B" w14:textId="0ADE6894" w:rsidR="009E3850" w:rsidRPr="001B79E5" w:rsidRDefault="009E3850" w:rsidP="009E3850">
            <w:pPr>
              <w:spacing w:after="160" w:line="259" w:lineRule="auto"/>
            </w:pPr>
            <w:r w:rsidRPr="001B79E5">
              <w:t>1-52 (weekly order for each year)</w:t>
            </w:r>
          </w:p>
        </w:tc>
      </w:tr>
      <w:tr w:rsidR="001B79E5" w:rsidRPr="001B79E5" w14:paraId="6BB36C41" w14:textId="77777777" w:rsidTr="009E3850">
        <w:tc>
          <w:tcPr>
            <w:tcW w:w="1906" w:type="dxa"/>
            <w:vMerge/>
            <w:vAlign w:val="center"/>
          </w:tcPr>
          <w:p w14:paraId="0B34C708" w14:textId="77777777" w:rsidR="009E3850" w:rsidRPr="001B79E5" w:rsidRDefault="009E3850" w:rsidP="009E3850">
            <w:pPr>
              <w:spacing w:after="160" w:line="259" w:lineRule="auto"/>
            </w:pPr>
          </w:p>
        </w:tc>
        <w:tc>
          <w:tcPr>
            <w:tcW w:w="2200" w:type="dxa"/>
            <w:vAlign w:val="center"/>
          </w:tcPr>
          <w:p w14:paraId="6D55E242" w14:textId="7A7429B2" w:rsidR="009E3850" w:rsidRPr="001B79E5" w:rsidRDefault="009E3850" w:rsidP="009E3850">
            <w:pPr>
              <w:spacing w:after="160" w:line="259" w:lineRule="auto"/>
            </w:pPr>
            <w:r w:rsidRPr="001B79E5">
              <w:t>Weekend</w:t>
            </w:r>
          </w:p>
        </w:tc>
        <w:tc>
          <w:tcPr>
            <w:tcW w:w="4474" w:type="dxa"/>
            <w:vAlign w:val="center"/>
          </w:tcPr>
          <w:p w14:paraId="12D6000E" w14:textId="301A6C92" w:rsidR="009E3850" w:rsidRPr="001B79E5" w:rsidRDefault="009E3850" w:rsidP="009E3850">
            <w:pPr>
              <w:spacing w:after="160" w:line="259" w:lineRule="auto"/>
            </w:pPr>
            <w:r w:rsidRPr="001B79E5">
              <w:t>0-non-weekend; 1-weekend</w:t>
            </w:r>
          </w:p>
        </w:tc>
      </w:tr>
      <w:tr w:rsidR="001B79E5" w:rsidRPr="001B79E5" w14:paraId="732465D1" w14:textId="77777777" w:rsidTr="009E3850">
        <w:tc>
          <w:tcPr>
            <w:tcW w:w="1906" w:type="dxa"/>
            <w:vAlign w:val="center"/>
          </w:tcPr>
          <w:p w14:paraId="3A541D89" w14:textId="557091CA" w:rsidR="001B7144" w:rsidRPr="001B79E5" w:rsidRDefault="009E3850" w:rsidP="009E3850">
            <w:pPr>
              <w:spacing w:after="160" w:line="259" w:lineRule="auto"/>
            </w:pPr>
            <w:r w:rsidRPr="001B79E5">
              <w:t>Sentiment</w:t>
            </w:r>
          </w:p>
        </w:tc>
        <w:tc>
          <w:tcPr>
            <w:tcW w:w="2200" w:type="dxa"/>
            <w:vAlign w:val="center"/>
          </w:tcPr>
          <w:p w14:paraId="0A71687E" w14:textId="02C4288B" w:rsidR="001B7144" w:rsidRPr="001B79E5" w:rsidRDefault="001B7144" w:rsidP="009E3850">
            <w:pPr>
              <w:spacing w:after="160" w:line="259" w:lineRule="auto"/>
            </w:pPr>
            <w:proofErr w:type="spellStart"/>
            <w:r w:rsidRPr="001B79E5">
              <w:t>SentimentScore</w:t>
            </w:r>
            <w:proofErr w:type="spellEnd"/>
          </w:p>
        </w:tc>
        <w:tc>
          <w:tcPr>
            <w:tcW w:w="4474" w:type="dxa"/>
            <w:vAlign w:val="center"/>
          </w:tcPr>
          <w:p w14:paraId="3BC26C89" w14:textId="10C03263" w:rsidR="001B7144" w:rsidRPr="001B79E5" w:rsidRDefault="001B7144" w:rsidP="009E3850">
            <w:pPr>
              <w:spacing w:after="160" w:line="259" w:lineRule="auto"/>
            </w:pPr>
            <w:r w:rsidRPr="001B79E5">
              <w:t xml:space="preserve">A relative measure of score to indicate sentiment level generated by natural language processing tools based on </w:t>
            </w:r>
            <w:proofErr w:type="spellStart"/>
            <w:r w:rsidRPr="001B79E5">
              <w:t>geotweets</w:t>
            </w:r>
            <w:proofErr w:type="spellEnd"/>
            <w:r w:rsidRPr="001B79E5">
              <w:t xml:space="preserve"> collected from 2016 to 2022 by Harvard CGA</w:t>
            </w:r>
          </w:p>
        </w:tc>
      </w:tr>
      <w:tr w:rsidR="001B79E5" w:rsidRPr="001B79E5" w14:paraId="084ACDFD" w14:textId="77777777" w:rsidTr="009E3850">
        <w:tc>
          <w:tcPr>
            <w:tcW w:w="1906" w:type="dxa"/>
            <w:vAlign w:val="center"/>
          </w:tcPr>
          <w:p w14:paraId="712FE197" w14:textId="5A95E399" w:rsidR="001B7144" w:rsidRPr="001B79E5" w:rsidRDefault="009E3850" w:rsidP="009E3850">
            <w:pPr>
              <w:spacing w:after="160" w:line="259" w:lineRule="auto"/>
            </w:pPr>
            <w:r w:rsidRPr="001B79E5">
              <w:t>Heatwave</w:t>
            </w:r>
          </w:p>
        </w:tc>
        <w:tc>
          <w:tcPr>
            <w:tcW w:w="2200" w:type="dxa"/>
            <w:vAlign w:val="center"/>
          </w:tcPr>
          <w:p w14:paraId="745B4300" w14:textId="47FDDDB9" w:rsidR="001B7144" w:rsidRPr="001B79E5" w:rsidRDefault="001B7144" w:rsidP="009E3850">
            <w:pPr>
              <w:spacing w:after="160" w:line="259" w:lineRule="auto"/>
            </w:pPr>
            <w:r w:rsidRPr="001B79E5">
              <w:t>Heat Count</w:t>
            </w:r>
          </w:p>
        </w:tc>
        <w:tc>
          <w:tcPr>
            <w:tcW w:w="4474" w:type="dxa"/>
            <w:vAlign w:val="center"/>
          </w:tcPr>
          <w:p w14:paraId="6C265FF7" w14:textId="43495008" w:rsidR="001B7144" w:rsidRPr="001B79E5" w:rsidRDefault="001B7144" w:rsidP="009E3850">
            <w:pPr>
              <w:spacing w:after="160" w:line="259" w:lineRule="auto"/>
            </w:pPr>
            <w:r w:rsidRPr="001B79E5">
              <w:t>0-not affected by heatwave; 1-affected by heatwave</w:t>
            </w:r>
          </w:p>
        </w:tc>
      </w:tr>
      <w:tr w:rsidR="001B79E5" w:rsidRPr="001B79E5" w14:paraId="64027FC8" w14:textId="77777777" w:rsidTr="009E3850">
        <w:tc>
          <w:tcPr>
            <w:tcW w:w="1906" w:type="dxa"/>
            <w:vMerge w:val="restart"/>
            <w:vAlign w:val="center"/>
          </w:tcPr>
          <w:p w14:paraId="50878225" w14:textId="6E900883" w:rsidR="009E3850" w:rsidRPr="001B79E5" w:rsidRDefault="009E3850" w:rsidP="009E3850">
            <w:pPr>
              <w:spacing w:after="160" w:line="259" w:lineRule="auto"/>
            </w:pPr>
            <w:r w:rsidRPr="001B79E5">
              <w:t>Weather / climate</w:t>
            </w:r>
          </w:p>
        </w:tc>
        <w:tc>
          <w:tcPr>
            <w:tcW w:w="2200" w:type="dxa"/>
            <w:vAlign w:val="center"/>
          </w:tcPr>
          <w:p w14:paraId="7998AC17" w14:textId="0E7B4FB0" w:rsidR="009E3850" w:rsidRPr="001B79E5" w:rsidRDefault="009E3850" w:rsidP="009E3850">
            <w:pPr>
              <w:spacing w:after="160" w:line="259" w:lineRule="auto"/>
            </w:pPr>
            <w:r w:rsidRPr="001B79E5">
              <w:t>Humidity</w:t>
            </w:r>
          </w:p>
        </w:tc>
        <w:tc>
          <w:tcPr>
            <w:tcW w:w="4474" w:type="dxa"/>
            <w:vAlign w:val="center"/>
          </w:tcPr>
          <w:p w14:paraId="710EE8B6" w14:textId="0B8C364C" w:rsidR="009E3850" w:rsidRPr="001B79E5" w:rsidRDefault="009E3850" w:rsidP="009E3850">
            <w:pPr>
              <w:spacing w:after="160" w:line="259" w:lineRule="auto"/>
            </w:pPr>
            <w:r w:rsidRPr="001B79E5">
              <w:t>Level of humidity</w:t>
            </w:r>
            <w:r w:rsidR="001B79E5">
              <w:t xml:space="preserve"> </w:t>
            </w:r>
            <w:r w:rsidR="001B79E5" w:rsidRPr="001B79E5">
              <w:rPr>
                <w:color w:val="FF0000"/>
              </w:rPr>
              <w:t>(we may not use this)</w:t>
            </w:r>
          </w:p>
        </w:tc>
      </w:tr>
      <w:tr w:rsidR="001B79E5" w:rsidRPr="001B79E5" w14:paraId="3F96ED26" w14:textId="77777777" w:rsidTr="009E3850">
        <w:tc>
          <w:tcPr>
            <w:tcW w:w="1906" w:type="dxa"/>
            <w:vMerge/>
            <w:vAlign w:val="center"/>
          </w:tcPr>
          <w:p w14:paraId="6E569855" w14:textId="77777777" w:rsidR="009E3850" w:rsidRPr="001B79E5" w:rsidRDefault="009E3850" w:rsidP="009E3850">
            <w:pPr>
              <w:spacing w:after="160" w:line="259" w:lineRule="auto"/>
            </w:pPr>
          </w:p>
        </w:tc>
        <w:tc>
          <w:tcPr>
            <w:tcW w:w="2200" w:type="dxa"/>
            <w:vAlign w:val="center"/>
          </w:tcPr>
          <w:p w14:paraId="0B1EF250" w14:textId="6971735B" w:rsidR="009E3850" w:rsidRPr="001B79E5" w:rsidRDefault="009E3850" w:rsidP="009E3850">
            <w:pPr>
              <w:spacing w:after="160" w:line="259" w:lineRule="auto"/>
            </w:pPr>
            <w:r w:rsidRPr="001B79E5">
              <w:t>Precipitation</w:t>
            </w:r>
          </w:p>
        </w:tc>
        <w:tc>
          <w:tcPr>
            <w:tcW w:w="4474" w:type="dxa"/>
            <w:vAlign w:val="center"/>
          </w:tcPr>
          <w:p w14:paraId="3D429D3C" w14:textId="03A3CE87" w:rsidR="009E3850" w:rsidRPr="001B79E5" w:rsidRDefault="009E3850" w:rsidP="009E3850">
            <w:pPr>
              <w:spacing w:after="160" w:line="259" w:lineRule="auto"/>
            </w:pPr>
            <w:r w:rsidRPr="001B79E5">
              <w:t>Level of rainfall</w:t>
            </w:r>
            <w:r w:rsidR="001B79E5">
              <w:t xml:space="preserve"> </w:t>
            </w:r>
            <w:r w:rsidR="001B79E5" w:rsidRPr="001B79E5">
              <w:rPr>
                <w:color w:val="FF0000"/>
              </w:rPr>
              <w:t xml:space="preserve">(to be replaced by rainfall anomaly) </w:t>
            </w:r>
          </w:p>
        </w:tc>
      </w:tr>
      <w:tr w:rsidR="001B79E5" w:rsidRPr="001B79E5" w14:paraId="045CB5F0" w14:textId="77777777" w:rsidTr="009E3850">
        <w:tc>
          <w:tcPr>
            <w:tcW w:w="1906" w:type="dxa"/>
            <w:vMerge/>
            <w:vAlign w:val="center"/>
          </w:tcPr>
          <w:p w14:paraId="3FAFC765" w14:textId="77777777" w:rsidR="009E3850" w:rsidRPr="001B79E5" w:rsidRDefault="009E3850" w:rsidP="009E3850">
            <w:pPr>
              <w:spacing w:after="160" w:line="259" w:lineRule="auto"/>
            </w:pPr>
          </w:p>
        </w:tc>
        <w:tc>
          <w:tcPr>
            <w:tcW w:w="2200" w:type="dxa"/>
            <w:vAlign w:val="center"/>
          </w:tcPr>
          <w:p w14:paraId="55814548" w14:textId="40636C95" w:rsidR="009E3850" w:rsidRPr="001B79E5" w:rsidRDefault="009E3850" w:rsidP="009E3850">
            <w:pPr>
              <w:spacing w:after="160" w:line="259" w:lineRule="auto"/>
            </w:pPr>
            <w:r w:rsidRPr="001B79E5">
              <w:t>Solar</w:t>
            </w:r>
          </w:p>
        </w:tc>
        <w:tc>
          <w:tcPr>
            <w:tcW w:w="4474" w:type="dxa"/>
            <w:vAlign w:val="center"/>
          </w:tcPr>
          <w:p w14:paraId="5B4BC1F5" w14:textId="3E36B6E2" w:rsidR="009E3850" w:rsidRPr="001B79E5" w:rsidRDefault="009E3850" w:rsidP="009E3850">
            <w:pPr>
              <w:spacing w:after="160" w:line="259" w:lineRule="auto"/>
            </w:pPr>
            <w:r w:rsidRPr="001B79E5">
              <w:t>Level of solar radiation</w:t>
            </w:r>
            <w:r w:rsidR="001B79E5">
              <w:t xml:space="preserve"> </w:t>
            </w:r>
            <w:r w:rsidR="001B79E5" w:rsidRPr="001B79E5">
              <w:rPr>
                <w:color w:val="FF0000"/>
              </w:rPr>
              <w:t>(we may not use this)</w:t>
            </w:r>
          </w:p>
        </w:tc>
      </w:tr>
      <w:tr w:rsidR="001B79E5" w:rsidRPr="001B79E5" w14:paraId="046DE358" w14:textId="77777777" w:rsidTr="009E3850">
        <w:tc>
          <w:tcPr>
            <w:tcW w:w="1906" w:type="dxa"/>
            <w:vMerge w:val="restart"/>
            <w:vAlign w:val="center"/>
          </w:tcPr>
          <w:p w14:paraId="2CCDDFC4" w14:textId="3ADA4517" w:rsidR="009E3850" w:rsidRPr="001B79E5" w:rsidRDefault="009E3850" w:rsidP="009E3850">
            <w:pPr>
              <w:spacing w:after="160" w:line="259" w:lineRule="auto"/>
            </w:pPr>
            <w:r w:rsidRPr="001B79E5">
              <w:t>Demographic and socioeconomic</w:t>
            </w:r>
          </w:p>
        </w:tc>
        <w:tc>
          <w:tcPr>
            <w:tcW w:w="2200" w:type="dxa"/>
            <w:vAlign w:val="center"/>
          </w:tcPr>
          <w:p w14:paraId="710E29C2" w14:textId="7F5B9C8F" w:rsidR="009E3850" w:rsidRPr="001B79E5" w:rsidRDefault="009E3850" w:rsidP="009E3850">
            <w:pPr>
              <w:spacing w:after="160" w:line="259" w:lineRule="auto"/>
            </w:pPr>
            <w:r w:rsidRPr="001B79E5">
              <w:t>Vulnerability index</w:t>
            </w:r>
            <w:r w:rsidR="001B79E5">
              <w:t xml:space="preserve"> (THEMES)</w:t>
            </w:r>
          </w:p>
        </w:tc>
        <w:tc>
          <w:tcPr>
            <w:tcW w:w="4474" w:type="dxa"/>
            <w:vAlign w:val="center"/>
          </w:tcPr>
          <w:p w14:paraId="4764E339" w14:textId="54CC936B" w:rsidR="009E3850" w:rsidRPr="001B79E5" w:rsidRDefault="009E3850" w:rsidP="009E3850">
            <w:pPr>
              <w:spacing w:after="160" w:line="259" w:lineRule="auto"/>
            </w:pPr>
            <w:r w:rsidRPr="001B79E5">
              <w:t>US CDC vulnerability index as a whole (by county but time-invariant, bi-year available in 2020, 2018 and 2016 but applied to one following year for 2021-2022, 2019, and 2017)</w:t>
            </w:r>
          </w:p>
        </w:tc>
      </w:tr>
      <w:tr w:rsidR="001B79E5" w:rsidRPr="001B79E5" w14:paraId="4E1763A2" w14:textId="77777777" w:rsidTr="009E3850">
        <w:tc>
          <w:tcPr>
            <w:tcW w:w="1906" w:type="dxa"/>
            <w:vMerge/>
            <w:vAlign w:val="center"/>
          </w:tcPr>
          <w:p w14:paraId="7A315E5E" w14:textId="77777777" w:rsidR="009E3850" w:rsidRPr="001B79E5" w:rsidRDefault="009E3850" w:rsidP="009E3850">
            <w:pPr>
              <w:spacing w:after="160" w:line="259" w:lineRule="auto"/>
            </w:pPr>
          </w:p>
        </w:tc>
        <w:tc>
          <w:tcPr>
            <w:tcW w:w="2200" w:type="dxa"/>
            <w:vAlign w:val="center"/>
          </w:tcPr>
          <w:p w14:paraId="52FE33E2" w14:textId="198D7666" w:rsidR="009E3850" w:rsidRPr="001B79E5" w:rsidRDefault="009E3850" w:rsidP="009E3850">
            <w:pPr>
              <w:spacing w:after="160" w:line="259" w:lineRule="auto"/>
            </w:pPr>
            <w:r w:rsidRPr="001B79E5">
              <w:t>VI1</w:t>
            </w:r>
          </w:p>
        </w:tc>
        <w:tc>
          <w:tcPr>
            <w:tcW w:w="4474" w:type="dxa"/>
            <w:vAlign w:val="center"/>
          </w:tcPr>
          <w:p w14:paraId="7D194921" w14:textId="6E60AFFE" w:rsidR="009E3850" w:rsidRPr="001B79E5" w:rsidRDefault="009E3850" w:rsidP="009E3850">
            <w:pPr>
              <w:spacing w:after="160" w:line="259" w:lineRule="auto"/>
            </w:pPr>
            <w:r w:rsidRPr="001B79E5">
              <w:t>US CDC vulnerability index in Theme 1 (socioeconomic status; total five themes)</w:t>
            </w:r>
            <w:r w:rsidR="001B79E5">
              <w:t xml:space="preserve"> </w:t>
            </w:r>
            <w:r w:rsidR="001B79E5" w:rsidRPr="001B79E5">
              <w:rPr>
                <w:color w:val="FF0000"/>
              </w:rPr>
              <w:t xml:space="preserve">(we </w:t>
            </w:r>
            <w:r w:rsidR="001B79E5">
              <w:rPr>
                <w:color w:val="FF0000"/>
              </w:rPr>
              <w:t>don’t use</w:t>
            </w:r>
            <w:r w:rsidR="001B79E5" w:rsidRPr="001B79E5">
              <w:rPr>
                <w:color w:val="FF0000"/>
              </w:rPr>
              <w:t xml:space="preserve"> this)</w:t>
            </w:r>
          </w:p>
        </w:tc>
      </w:tr>
      <w:tr w:rsidR="001B79E5" w:rsidRPr="001B79E5" w14:paraId="70E145D1" w14:textId="77777777" w:rsidTr="009E3850">
        <w:tc>
          <w:tcPr>
            <w:tcW w:w="1906" w:type="dxa"/>
            <w:vMerge/>
            <w:vAlign w:val="center"/>
          </w:tcPr>
          <w:p w14:paraId="2DB4219E" w14:textId="77777777" w:rsidR="009E3850" w:rsidRPr="001B79E5" w:rsidRDefault="009E3850" w:rsidP="009E3850">
            <w:pPr>
              <w:spacing w:after="160" w:line="259" w:lineRule="auto"/>
            </w:pPr>
          </w:p>
        </w:tc>
        <w:tc>
          <w:tcPr>
            <w:tcW w:w="2200" w:type="dxa"/>
            <w:vAlign w:val="center"/>
          </w:tcPr>
          <w:p w14:paraId="727A752D" w14:textId="628313FD" w:rsidR="009E3850" w:rsidRPr="001B79E5" w:rsidRDefault="009E3850" w:rsidP="009E3850">
            <w:pPr>
              <w:spacing w:after="160" w:line="259" w:lineRule="auto"/>
            </w:pPr>
            <w:r w:rsidRPr="001B79E5">
              <w:t>VI2</w:t>
            </w:r>
          </w:p>
        </w:tc>
        <w:tc>
          <w:tcPr>
            <w:tcW w:w="4474" w:type="dxa"/>
            <w:vAlign w:val="center"/>
          </w:tcPr>
          <w:p w14:paraId="5EEE23D3" w14:textId="6BE8880D" w:rsidR="009E3850" w:rsidRPr="001B79E5" w:rsidRDefault="009E3850" w:rsidP="009E3850">
            <w:pPr>
              <w:spacing w:after="160" w:line="259" w:lineRule="auto"/>
            </w:pPr>
            <w:r w:rsidRPr="001B79E5">
              <w:t>US CDC vulnerability index in Theme 2 (racial and ethnic minority status)</w:t>
            </w:r>
            <w:r w:rsidR="001B79E5" w:rsidRPr="001B79E5">
              <w:rPr>
                <w:color w:val="FF0000"/>
              </w:rPr>
              <w:t xml:space="preserve"> (we </w:t>
            </w:r>
            <w:r w:rsidR="001B79E5">
              <w:rPr>
                <w:color w:val="FF0000"/>
              </w:rPr>
              <w:t>don’t use</w:t>
            </w:r>
            <w:r w:rsidR="001B79E5" w:rsidRPr="001B79E5">
              <w:rPr>
                <w:color w:val="FF0000"/>
              </w:rPr>
              <w:t xml:space="preserve"> this)</w:t>
            </w:r>
          </w:p>
        </w:tc>
      </w:tr>
      <w:tr w:rsidR="001B79E5" w:rsidRPr="001B79E5" w14:paraId="6DE8E03B" w14:textId="77777777" w:rsidTr="009E3850">
        <w:tc>
          <w:tcPr>
            <w:tcW w:w="1906" w:type="dxa"/>
            <w:vMerge/>
            <w:vAlign w:val="center"/>
          </w:tcPr>
          <w:p w14:paraId="18427AAE" w14:textId="77777777" w:rsidR="009E3850" w:rsidRPr="001B79E5" w:rsidRDefault="009E3850" w:rsidP="009E3850">
            <w:pPr>
              <w:spacing w:after="160" w:line="259" w:lineRule="auto"/>
            </w:pPr>
          </w:p>
        </w:tc>
        <w:tc>
          <w:tcPr>
            <w:tcW w:w="2200" w:type="dxa"/>
            <w:vAlign w:val="center"/>
          </w:tcPr>
          <w:p w14:paraId="49691683" w14:textId="538B363F" w:rsidR="009E3850" w:rsidRPr="001B79E5" w:rsidRDefault="009E3850" w:rsidP="009E3850">
            <w:pPr>
              <w:spacing w:after="160" w:line="259" w:lineRule="auto"/>
            </w:pPr>
            <w:r w:rsidRPr="001B79E5">
              <w:t>VI3</w:t>
            </w:r>
          </w:p>
        </w:tc>
        <w:tc>
          <w:tcPr>
            <w:tcW w:w="4474" w:type="dxa"/>
            <w:vAlign w:val="center"/>
          </w:tcPr>
          <w:p w14:paraId="5F918D5C" w14:textId="0332028B" w:rsidR="009E3850" w:rsidRPr="001B79E5" w:rsidRDefault="009E3850" w:rsidP="009E3850">
            <w:pPr>
              <w:spacing w:after="160" w:line="259" w:lineRule="auto"/>
            </w:pPr>
            <w:r w:rsidRPr="001B79E5">
              <w:t>US CDC vulnerability index in Theme 3 (household characteristics)</w:t>
            </w:r>
            <w:r w:rsidR="001B79E5" w:rsidRPr="001B79E5">
              <w:rPr>
                <w:color w:val="FF0000"/>
              </w:rPr>
              <w:t xml:space="preserve"> (we </w:t>
            </w:r>
            <w:r w:rsidR="001B79E5">
              <w:rPr>
                <w:color w:val="FF0000"/>
              </w:rPr>
              <w:t>don’t use</w:t>
            </w:r>
            <w:r w:rsidR="001B79E5" w:rsidRPr="001B79E5">
              <w:rPr>
                <w:color w:val="FF0000"/>
              </w:rPr>
              <w:t xml:space="preserve"> this)</w:t>
            </w:r>
          </w:p>
        </w:tc>
      </w:tr>
      <w:tr w:rsidR="001B79E5" w:rsidRPr="001B79E5" w14:paraId="6927FBBB" w14:textId="77777777" w:rsidTr="009E3850">
        <w:tc>
          <w:tcPr>
            <w:tcW w:w="1906" w:type="dxa"/>
            <w:vMerge/>
            <w:vAlign w:val="center"/>
          </w:tcPr>
          <w:p w14:paraId="4B8216D8" w14:textId="77777777" w:rsidR="009E3850" w:rsidRPr="001B79E5" w:rsidRDefault="009E3850" w:rsidP="009E3850">
            <w:pPr>
              <w:spacing w:after="160" w:line="259" w:lineRule="auto"/>
            </w:pPr>
          </w:p>
        </w:tc>
        <w:tc>
          <w:tcPr>
            <w:tcW w:w="2200" w:type="dxa"/>
            <w:vAlign w:val="center"/>
          </w:tcPr>
          <w:p w14:paraId="58B33D46" w14:textId="6915C880" w:rsidR="009E3850" w:rsidRPr="001B79E5" w:rsidRDefault="009E3850" w:rsidP="009E3850">
            <w:pPr>
              <w:spacing w:after="160" w:line="259" w:lineRule="auto"/>
            </w:pPr>
            <w:r w:rsidRPr="001B79E5">
              <w:t>VI4</w:t>
            </w:r>
          </w:p>
        </w:tc>
        <w:tc>
          <w:tcPr>
            <w:tcW w:w="4474" w:type="dxa"/>
            <w:vAlign w:val="center"/>
          </w:tcPr>
          <w:p w14:paraId="6F429A57" w14:textId="5D725042" w:rsidR="009E3850" w:rsidRPr="001B79E5" w:rsidRDefault="009E3850" w:rsidP="009E3850">
            <w:pPr>
              <w:spacing w:after="160" w:line="259" w:lineRule="auto"/>
            </w:pPr>
            <w:r w:rsidRPr="001B79E5">
              <w:t>US CDC vulnerability index in Theme 4 (housing type/transportation)</w:t>
            </w:r>
            <w:r w:rsidR="001B79E5" w:rsidRPr="001B79E5">
              <w:rPr>
                <w:color w:val="FF0000"/>
              </w:rPr>
              <w:t xml:space="preserve"> (we </w:t>
            </w:r>
            <w:r w:rsidR="001B79E5">
              <w:rPr>
                <w:color w:val="FF0000"/>
              </w:rPr>
              <w:t>don’t use</w:t>
            </w:r>
            <w:r w:rsidR="001B79E5" w:rsidRPr="001B79E5">
              <w:rPr>
                <w:color w:val="FF0000"/>
              </w:rPr>
              <w:t xml:space="preserve"> this)</w:t>
            </w:r>
          </w:p>
        </w:tc>
      </w:tr>
      <w:tr w:rsidR="001B79E5" w:rsidRPr="001B79E5" w14:paraId="4F10F283" w14:textId="77777777" w:rsidTr="009E3850">
        <w:tc>
          <w:tcPr>
            <w:tcW w:w="1906" w:type="dxa"/>
            <w:vMerge w:val="restart"/>
            <w:vAlign w:val="center"/>
          </w:tcPr>
          <w:p w14:paraId="28158F28" w14:textId="309918D6" w:rsidR="001B79E5" w:rsidRPr="001B79E5" w:rsidRDefault="001B79E5" w:rsidP="009E3850">
            <w:pPr>
              <w:spacing w:after="160" w:line="259" w:lineRule="auto"/>
            </w:pPr>
            <w:r w:rsidRPr="001B79E5">
              <w:t>Pandemic</w:t>
            </w:r>
          </w:p>
        </w:tc>
        <w:tc>
          <w:tcPr>
            <w:tcW w:w="2200" w:type="dxa"/>
            <w:vAlign w:val="center"/>
          </w:tcPr>
          <w:p w14:paraId="5E21AC80" w14:textId="7C5AA321" w:rsidR="001B79E5" w:rsidRPr="001B79E5" w:rsidRDefault="001B79E5" w:rsidP="009E3850">
            <w:pPr>
              <w:spacing w:after="160" w:line="259" w:lineRule="auto"/>
            </w:pPr>
            <w:r w:rsidRPr="001B79E5">
              <w:t>Stringency index</w:t>
            </w:r>
          </w:p>
        </w:tc>
        <w:tc>
          <w:tcPr>
            <w:tcW w:w="4474" w:type="dxa"/>
            <w:vAlign w:val="center"/>
          </w:tcPr>
          <w:p w14:paraId="4CE38277" w14:textId="057DD6D0" w:rsidR="001B79E5" w:rsidRPr="001B79E5" w:rsidRDefault="001B79E5" w:rsidP="009E3850">
            <w:pPr>
              <w:spacing w:after="160" w:line="259" w:lineRule="auto"/>
            </w:pPr>
            <w:r w:rsidRPr="001B79E5">
              <w:t>Index of policy stringency provided by Oxford policy tracker, only available for 2020 and 2021</w:t>
            </w:r>
            <w:r w:rsidRPr="001B79E5">
              <w:rPr>
                <w:color w:val="FF0000"/>
              </w:rPr>
              <w:t xml:space="preserve">(we </w:t>
            </w:r>
            <w:r>
              <w:rPr>
                <w:color w:val="FF0000"/>
              </w:rPr>
              <w:t>don’t use</w:t>
            </w:r>
            <w:r w:rsidRPr="001B79E5">
              <w:rPr>
                <w:color w:val="FF0000"/>
              </w:rPr>
              <w:t xml:space="preserve"> this)</w:t>
            </w:r>
          </w:p>
        </w:tc>
      </w:tr>
      <w:tr w:rsidR="001B79E5" w:rsidRPr="001B79E5" w14:paraId="718F9699" w14:textId="77777777" w:rsidTr="009E3850">
        <w:tc>
          <w:tcPr>
            <w:tcW w:w="1906" w:type="dxa"/>
            <w:vMerge/>
            <w:vAlign w:val="center"/>
          </w:tcPr>
          <w:p w14:paraId="1952D50A" w14:textId="77777777" w:rsidR="001B79E5" w:rsidRPr="001B79E5" w:rsidRDefault="001B79E5" w:rsidP="009E3850">
            <w:pPr>
              <w:spacing w:after="160" w:line="259" w:lineRule="auto"/>
            </w:pPr>
          </w:p>
        </w:tc>
        <w:tc>
          <w:tcPr>
            <w:tcW w:w="2200" w:type="dxa"/>
            <w:vAlign w:val="center"/>
          </w:tcPr>
          <w:p w14:paraId="19C3A0A0" w14:textId="66D02022" w:rsidR="001B79E5" w:rsidRPr="001B79E5" w:rsidRDefault="001B79E5" w:rsidP="009E3850">
            <w:pPr>
              <w:spacing w:after="160" w:line="259" w:lineRule="auto"/>
            </w:pPr>
            <w:r w:rsidRPr="001B79E5">
              <w:t>Government response index</w:t>
            </w:r>
          </w:p>
        </w:tc>
        <w:tc>
          <w:tcPr>
            <w:tcW w:w="4474" w:type="dxa"/>
            <w:vAlign w:val="center"/>
          </w:tcPr>
          <w:p w14:paraId="00F5D240" w14:textId="47A68D14" w:rsidR="001B79E5" w:rsidRPr="001B79E5" w:rsidRDefault="001B79E5" w:rsidP="009E3850">
            <w:pPr>
              <w:spacing w:after="160" w:line="259" w:lineRule="auto"/>
            </w:pPr>
            <w:r w:rsidRPr="001B79E5">
              <w:t>Index of government response provided by Oxford policy tracker, only available for 2020 and 2021</w:t>
            </w:r>
            <w:r w:rsidRPr="001B79E5">
              <w:rPr>
                <w:color w:val="FF0000"/>
              </w:rPr>
              <w:t xml:space="preserve">(we </w:t>
            </w:r>
            <w:r>
              <w:rPr>
                <w:color w:val="FF0000"/>
              </w:rPr>
              <w:t>don’t use</w:t>
            </w:r>
            <w:r w:rsidRPr="001B79E5">
              <w:rPr>
                <w:color w:val="FF0000"/>
              </w:rPr>
              <w:t xml:space="preserve"> this)</w:t>
            </w:r>
          </w:p>
        </w:tc>
      </w:tr>
      <w:tr w:rsidR="001B79E5" w:rsidRPr="001B79E5" w14:paraId="4B0F2C3D" w14:textId="77777777" w:rsidTr="009E3850">
        <w:tc>
          <w:tcPr>
            <w:tcW w:w="1906" w:type="dxa"/>
            <w:vMerge/>
            <w:vAlign w:val="center"/>
          </w:tcPr>
          <w:p w14:paraId="69FAB5D3" w14:textId="77777777" w:rsidR="001B79E5" w:rsidRPr="001B79E5" w:rsidRDefault="001B79E5" w:rsidP="009E3850">
            <w:pPr>
              <w:spacing w:after="160" w:line="259" w:lineRule="auto"/>
            </w:pPr>
          </w:p>
        </w:tc>
        <w:tc>
          <w:tcPr>
            <w:tcW w:w="2200" w:type="dxa"/>
            <w:vAlign w:val="center"/>
          </w:tcPr>
          <w:p w14:paraId="521E554A" w14:textId="3C311D94" w:rsidR="001B79E5" w:rsidRPr="001B79E5" w:rsidRDefault="001B79E5" w:rsidP="009E3850">
            <w:pPr>
              <w:spacing w:after="160" w:line="259" w:lineRule="auto"/>
            </w:pPr>
            <w:r w:rsidRPr="001B79E5">
              <w:t>Containment health index</w:t>
            </w:r>
          </w:p>
        </w:tc>
        <w:tc>
          <w:tcPr>
            <w:tcW w:w="4474" w:type="dxa"/>
            <w:vAlign w:val="center"/>
          </w:tcPr>
          <w:p w14:paraId="70BAD876" w14:textId="5B7F15DA" w:rsidR="001B79E5" w:rsidRPr="001B79E5" w:rsidRDefault="001B79E5" w:rsidP="009E3850">
            <w:pPr>
              <w:spacing w:after="160" w:line="259" w:lineRule="auto"/>
            </w:pPr>
            <w:r w:rsidRPr="001B79E5">
              <w:t>Index of containment health provided by Oxford policy tracker, only available for 2020 and 2021</w:t>
            </w:r>
            <w:r w:rsidRPr="001B79E5">
              <w:rPr>
                <w:color w:val="FF0000"/>
              </w:rPr>
              <w:t xml:space="preserve">(we </w:t>
            </w:r>
            <w:r>
              <w:rPr>
                <w:color w:val="FF0000"/>
              </w:rPr>
              <w:t>don’t use</w:t>
            </w:r>
            <w:r w:rsidRPr="001B79E5">
              <w:rPr>
                <w:color w:val="FF0000"/>
              </w:rPr>
              <w:t xml:space="preserve"> this)</w:t>
            </w:r>
          </w:p>
        </w:tc>
      </w:tr>
      <w:tr w:rsidR="001B79E5" w:rsidRPr="001B79E5" w14:paraId="55768B93" w14:textId="77777777" w:rsidTr="009E3850">
        <w:tc>
          <w:tcPr>
            <w:tcW w:w="1906" w:type="dxa"/>
            <w:vMerge/>
            <w:vAlign w:val="center"/>
          </w:tcPr>
          <w:p w14:paraId="65057EDA" w14:textId="77777777" w:rsidR="001B79E5" w:rsidRPr="001B79E5" w:rsidRDefault="001B79E5" w:rsidP="009E3850">
            <w:pPr>
              <w:spacing w:after="160" w:line="259" w:lineRule="auto"/>
            </w:pPr>
          </w:p>
        </w:tc>
        <w:tc>
          <w:tcPr>
            <w:tcW w:w="2200" w:type="dxa"/>
            <w:vAlign w:val="center"/>
          </w:tcPr>
          <w:p w14:paraId="1EE06137" w14:textId="43488285" w:rsidR="001B79E5" w:rsidRPr="001B79E5" w:rsidRDefault="001B79E5" w:rsidP="009E3850">
            <w:pPr>
              <w:spacing w:after="160" w:line="259" w:lineRule="auto"/>
            </w:pPr>
            <w:r w:rsidRPr="001B79E5">
              <w:t>Economic support index</w:t>
            </w:r>
          </w:p>
        </w:tc>
        <w:tc>
          <w:tcPr>
            <w:tcW w:w="4474" w:type="dxa"/>
            <w:vAlign w:val="center"/>
          </w:tcPr>
          <w:p w14:paraId="20FE43AA" w14:textId="35762104" w:rsidR="001B79E5" w:rsidRPr="001B79E5" w:rsidRDefault="001B79E5" w:rsidP="009E3850">
            <w:pPr>
              <w:spacing w:after="160" w:line="259" w:lineRule="auto"/>
            </w:pPr>
            <w:r w:rsidRPr="001B79E5">
              <w:t>Index of economic support provided by Oxford policy tracker, only available for 2020 and 2021</w:t>
            </w:r>
            <w:r w:rsidRPr="001B79E5">
              <w:rPr>
                <w:color w:val="FF0000"/>
              </w:rPr>
              <w:t xml:space="preserve">(we </w:t>
            </w:r>
            <w:r>
              <w:rPr>
                <w:color w:val="FF0000"/>
              </w:rPr>
              <w:t>don’t use</w:t>
            </w:r>
            <w:r w:rsidRPr="001B79E5">
              <w:rPr>
                <w:color w:val="FF0000"/>
              </w:rPr>
              <w:t xml:space="preserve"> this)</w:t>
            </w:r>
          </w:p>
        </w:tc>
      </w:tr>
      <w:tr w:rsidR="001B79E5" w:rsidRPr="001B79E5" w14:paraId="02C3D14D" w14:textId="77777777" w:rsidTr="009E3850">
        <w:tc>
          <w:tcPr>
            <w:tcW w:w="1906" w:type="dxa"/>
            <w:vMerge/>
            <w:vAlign w:val="center"/>
          </w:tcPr>
          <w:p w14:paraId="309E9D53" w14:textId="77777777" w:rsidR="001B79E5" w:rsidRPr="001B79E5" w:rsidRDefault="001B79E5" w:rsidP="009E3850"/>
        </w:tc>
        <w:tc>
          <w:tcPr>
            <w:tcW w:w="2200" w:type="dxa"/>
            <w:vAlign w:val="center"/>
          </w:tcPr>
          <w:p w14:paraId="5006449B" w14:textId="2DB8A9C7" w:rsidR="001B79E5" w:rsidRPr="001B79E5" w:rsidRDefault="001B79E5" w:rsidP="009E3850">
            <w:r>
              <w:t>Total index</w:t>
            </w:r>
          </w:p>
        </w:tc>
        <w:tc>
          <w:tcPr>
            <w:tcW w:w="4474" w:type="dxa"/>
            <w:vAlign w:val="center"/>
          </w:tcPr>
          <w:p w14:paraId="1B82C4C7" w14:textId="4C5486A1" w:rsidR="001B79E5" w:rsidRPr="001B79E5" w:rsidRDefault="001B79E5" w:rsidP="009E3850">
            <w:r w:rsidRPr="001B79E5">
              <w:rPr>
                <w:color w:val="FF0000"/>
              </w:rPr>
              <w:t xml:space="preserve">Add up the above four </w:t>
            </w:r>
          </w:p>
        </w:tc>
      </w:tr>
      <w:tr w:rsidR="001B79E5" w:rsidRPr="001B79E5" w14:paraId="6C105D32" w14:textId="77777777" w:rsidTr="009E3850">
        <w:tc>
          <w:tcPr>
            <w:tcW w:w="1906" w:type="dxa"/>
            <w:vMerge w:val="restart"/>
            <w:vAlign w:val="center"/>
          </w:tcPr>
          <w:p w14:paraId="645CD9FE" w14:textId="4FC3F44B" w:rsidR="009E3850" w:rsidRPr="001B79E5" w:rsidRDefault="009E3850" w:rsidP="009E3850">
            <w:pPr>
              <w:spacing w:after="160" w:line="259" w:lineRule="auto"/>
            </w:pPr>
            <w:r w:rsidRPr="001B79E5">
              <w:t>Air pollution</w:t>
            </w:r>
          </w:p>
        </w:tc>
        <w:tc>
          <w:tcPr>
            <w:tcW w:w="2200" w:type="dxa"/>
            <w:vAlign w:val="center"/>
          </w:tcPr>
          <w:p w14:paraId="5923CD1F" w14:textId="6958AADA" w:rsidR="009E3850" w:rsidRPr="001B79E5" w:rsidRDefault="009E3850" w:rsidP="009E3850">
            <w:pPr>
              <w:spacing w:after="160" w:line="259" w:lineRule="auto"/>
            </w:pPr>
            <w:r w:rsidRPr="001B79E5">
              <w:t>Air pollution raw</w:t>
            </w:r>
          </w:p>
        </w:tc>
        <w:tc>
          <w:tcPr>
            <w:tcW w:w="4474" w:type="dxa"/>
            <w:vAlign w:val="center"/>
          </w:tcPr>
          <w:p w14:paraId="4D811506" w14:textId="281CB642" w:rsidR="009E3850" w:rsidRPr="001B79E5" w:rsidRDefault="009E3850" w:rsidP="009E3850">
            <w:pPr>
              <w:spacing w:after="160" w:line="259" w:lineRule="auto"/>
            </w:pPr>
            <w:r w:rsidRPr="001B79E5">
              <w:t>Raw measure of air pollution (aerosol optical depth (AOD)</w:t>
            </w:r>
            <w:r w:rsidR="001B79E5" w:rsidRPr="001B79E5">
              <w:rPr>
                <w:color w:val="FF0000"/>
              </w:rPr>
              <w:t xml:space="preserve"> (we </w:t>
            </w:r>
            <w:r w:rsidR="001B79E5">
              <w:rPr>
                <w:color w:val="FF0000"/>
              </w:rPr>
              <w:t>don’t use</w:t>
            </w:r>
            <w:r w:rsidR="001B79E5" w:rsidRPr="001B79E5">
              <w:rPr>
                <w:color w:val="FF0000"/>
              </w:rPr>
              <w:t xml:space="preserve"> this)</w:t>
            </w:r>
          </w:p>
        </w:tc>
      </w:tr>
      <w:tr w:rsidR="001B79E5" w:rsidRPr="001B79E5" w14:paraId="6D3A8000" w14:textId="77777777" w:rsidTr="009E3850">
        <w:trPr>
          <w:trHeight w:val="394"/>
        </w:trPr>
        <w:tc>
          <w:tcPr>
            <w:tcW w:w="1906" w:type="dxa"/>
            <w:vMerge/>
            <w:vAlign w:val="center"/>
          </w:tcPr>
          <w:p w14:paraId="30BCC9A5" w14:textId="77777777" w:rsidR="009E3850" w:rsidRPr="001B79E5" w:rsidRDefault="009E3850" w:rsidP="009E3850">
            <w:pPr>
              <w:spacing w:after="160" w:line="259" w:lineRule="auto"/>
            </w:pPr>
          </w:p>
        </w:tc>
        <w:tc>
          <w:tcPr>
            <w:tcW w:w="2200" w:type="dxa"/>
            <w:vAlign w:val="center"/>
          </w:tcPr>
          <w:p w14:paraId="55909CD3" w14:textId="224E3E4A" w:rsidR="009E3850" w:rsidRPr="001B79E5" w:rsidRDefault="009E3850" w:rsidP="009E3850">
            <w:pPr>
              <w:spacing w:after="160" w:line="259" w:lineRule="auto"/>
            </w:pPr>
            <w:r w:rsidRPr="001B79E5">
              <w:t>Air pollution interpolate</w:t>
            </w:r>
          </w:p>
        </w:tc>
        <w:tc>
          <w:tcPr>
            <w:tcW w:w="4474" w:type="dxa"/>
            <w:vAlign w:val="center"/>
          </w:tcPr>
          <w:p w14:paraId="27DD3B59" w14:textId="2B7FC221" w:rsidR="009E3850" w:rsidRPr="001B79E5" w:rsidRDefault="009E3850" w:rsidP="009E3850">
            <w:pPr>
              <w:spacing w:after="160" w:line="259" w:lineRule="auto"/>
            </w:pPr>
            <w:r w:rsidRPr="001B79E5">
              <w:t>Derived measure of air pollution, interpolated spatially and temporarily</w:t>
            </w:r>
          </w:p>
        </w:tc>
      </w:tr>
    </w:tbl>
    <w:p w14:paraId="086D98BB" w14:textId="77777777" w:rsidR="004324B2" w:rsidRDefault="004324B2">
      <w:pPr>
        <w:rPr>
          <w:color w:val="FF0000"/>
        </w:rPr>
      </w:pPr>
    </w:p>
    <w:p w14:paraId="7631763C" w14:textId="0688C30E" w:rsidR="004324B2" w:rsidRPr="004324B2" w:rsidRDefault="00A15B8F">
      <w:pPr>
        <w:rPr>
          <w:color w:val="00B0F0"/>
        </w:rPr>
      </w:pPr>
      <w:r>
        <w:rPr>
          <w:color w:val="00B0F0"/>
        </w:rPr>
        <w:t xml:space="preserve">Variables to be used in modelling </w:t>
      </w:r>
    </w:p>
    <w:tbl>
      <w:tblPr>
        <w:tblStyle w:val="TableGrid"/>
        <w:tblW w:w="0" w:type="auto"/>
        <w:tblLook w:val="04A0" w:firstRow="1" w:lastRow="0" w:firstColumn="1" w:lastColumn="0" w:noHBand="0" w:noVBand="1"/>
      </w:tblPr>
      <w:tblGrid>
        <w:gridCol w:w="4247"/>
        <w:gridCol w:w="4247"/>
      </w:tblGrid>
      <w:tr w:rsidR="004324B2" w14:paraId="31EA4C56" w14:textId="77777777" w:rsidTr="00E1056A">
        <w:tc>
          <w:tcPr>
            <w:tcW w:w="4247" w:type="dxa"/>
          </w:tcPr>
          <w:p w14:paraId="5144323E" w14:textId="3AC03FE1" w:rsidR="004324B2" w:rsidRPr="004324B2" w:rsidRDefault="00A15B8F" w:rsidP="004324B2">
            <w:r w:rsidRPr="00A15B8F">
              <w:rPr>
                <w:b/>
                <w:bCs/>
              </w:rPr>
              <w:t>Dependent Variable:</w:t>
            </w:r>
            <w:r w:rsidRPr="00A15B8F">
              <w:t xml:space="preserve"> </w:t>
            </w:r>
          </w:p>
        </w:tc>
        <w:tc>
          <w:tcPr>
            <w:tcW w:w="4247" w:type="dxa"/>
            <w:vAlign w:val="center"/>
          </w:tcPr>
          <w:p w14:paraId="404854CE" w14:textId="2CC5F336" w:rsidR="004324B2" w:rsidRPr="004324B2" w:rsidRDefault="00A15B8F" w:rsidP="004324B2">
            <w:pPr>
              <w:rPr>
                <w:color w:val="00B0F0"/>
              </w:rPr>
            </w:pPr>
            <w:r>
              <w:rPr>
                <w:color w:val="00B0F0"/>
              </w:rPr>
              <w:t xml:space="preserve">Sentiment </w:t>
            </w:r>
          </w:p>
        </w:tc>
      </w:tr>
      <w:tr w:rsidR="004324B2" w14:paraId="034AD1AD" w14:textId="77777777" w:rsidTr="00501B51">
        <w:tc>
          <w:tcPr>
            <w:tcW w:w="4247" w:type="dxa"/>
          </w:tcPr>
          <w:p w14:paraId="67425A14" w14:textId="1651D6D7" w:rsidR="004324B2" w:rsidRPr="00A15B8F" w:rsidRDefault="00A15B8F" w:rsidP="00501B51">
            <w:pPr>
              <w:rPr>
                <w:b/>
                <w:bCs/>
              </w:rPr>
            </w:pPr>
            <w:r w:rsidRPr="00A15B8F">
              <w:rPr>
                <w:b/>
                <w:bCs/>
              </w:rPr>
              <w:t>Independent Variables in BASE MODEL</w:t>
            </w:r>
          </w:p>
        </w:tc>
        <w:tc>
          <w:tcPr>
            <w:tcW w:w="4247" w:type="dxa"/>
            <w:vAlign w:val="center"/>
          </w:tcPr>
          <w:p w14:paraId="7786A3E7" w14:textId="41804C2E" w:rsidR="004324B2" w:rsidRPr="004324B2" w:rsidRDefault="004324B2" w:rsidP="00501B51">
            <w:pPr>
              <w:rPr>
                <w:color w:val="00B0F0"/>
              </w:rPr>
            </w:pPr>
          </w:p>
        </w:tc>
      </w:tr>
      <w:tr w:rsidR="00A15B8F" w14:paraId="60269932" w14:textId="77777777" w:rsidTr="00E1056A">
        <w:tc>
          <w:tcPr>
            <w:tcW w:w="4247" w:type="dxa"/>
          </w:tcPr>
          <w:p w14:paraId="1E2F0E34" w14:textId="737EDAAF" w:rsidR="00A15B8F" w:rsidRPr="004324B2" w:rsidRDefault="00A15B8F" w:rsidP="00A15B8F">
            <w:r w:rsidRPr="004324B2">
              <w:t>Demographic and socioeconomic indicator</w:t>
            </w:r>
          </w:p>
        </w:tc>
        <w:tc>
          <w:tcPr>
            <w:tcW w:w="4247" w:type="dxa"/>
            <w:vAlign w:val="center"/>
          </w:tcPr>
          <w:p w14:paraId="0E409F29" w14:textId="0CAC2A81" w:rsidR="00A15B8F" w:rsidRPr="004324B2" w:rsidRDefault="00A15B8F" w:rsidP="00A15B8F">
            <w:pPr>
              <w:rPr>
                <w:color w:val="00B0F0"/>
              </w:rPr>
            </w:pPr>
            <w:r w:rsidRPr="004324B2">
              <w:rPr>
                <w:color w:val="00B0F0"/>
              </w:rPr>
              <w:t>Vulnerability index</w:t>
            </w:r>
            <w:r>
              <w:rPr>
                <w:color w:val="00B0F0"/>
              </w:rPr>
              <w:t xml:space="preserve"> (THEMES)</w:t>
            </w:r>
          </w:p>
        </w:tc>
      </w:tr>
      <w:tr w:rsidR="00A15B8F" w14:paraId="4EFAF085" w14:textId="77777777" w:rsidTr="00AC5497">
        <w:tc>
          <w:tcPr>
            <w:tcW w:w="4247" w:type="dxa"/>
          </w:tcPr>
          <w:p w14:paraId="64C2FE3D" w14:textId="77777777" w:rsidR="00A15B8F" w:rsidRPr="004324B2" w:rsidRDefault="00A15B8F" w:rsidP="00A15B8F">
            <w:r w:rsidRPr="004324B2">
              <w:t>Pandemic indicator</w:t>
            </w:r>
          </w:p>
        </w:tc>
        <w:tc>
          <w:tcPr>
            <w:tcW w:w="4247" w:type="dxa"/>
            <w:vAlign w:val="center"/>
          </w:tcPr>
          <w:p w14:paraId="27A062CC" w14:textId="67A5EC0B" w:rsidR="00A15B8F" w:rsidRPr="004324B2" w:rsidRDefault="00A15B8F" w:rsidP="00A15B8F">
            <w:pPr>
              <w:rPr>
                <w:color w:val="00B0F0"/>
              </w:rPr>
            </w:pPr>
            <w:r>
              <w:rPr>
                <w:color w:val="00B0F0"/>
              </w:rPr>
              <w:t xml:space="preserve">Total </w:t>
            </w:r>
            <w:r w:rsidRPr="004324B2">
              <w:rPr>
                <w:color w:val="00B0F0"/>
              </w:rPr>
              <w:t>index</w:t>
            </w:r>
            <w:r>
              <w:rPr>
                <w:color w:val="00B0F0"/>
              </w:rPr>
              <w:t xml:space="preserve"> (add up four indexes) </w:t>
            </w:r>
          </w:p>
        </w:tc>
      </w:tr>
      <w:tr w:rsidR="00A15B8F" w14:paraId="7E5348D7" w14:textId="77777777" w:rsidTr="001668A8">
        <w:tc>
          <w:tcPr>
            <w:tcW w:w="4247" w:type="dxa"/>
          </w:tcPr>
          <w:p w14:paraId="6A34F8E4" w14:textId="1D6DC226" w:rsidR="00A15B8F" w:rsidRPr="004324B2" w:rsidRDefault="00A15B8F" w:rsidP="00A15B8F">
            <w:r w:rsidRPr="004324B2">
              <w:t xml:space="preserve">Spatial </w:t>
            </w:r>
            <w:r>
              <w:t xml:space="preserve">fixed </w:t>
            </w:r>
            <w:r w:rsidRPr="004324B2">
              <w:t>effect</w:t>
            </w:r>
          </w:p>
        </w:tc>
        <w:tc>
          <w:tcPr>
            <w:tcW w:w="4247" w:type="dxa"/>
            <w:vAlign w:val="center"/>
          </w:tcPr>
          <w:p w14:paraId="0D3D28CF" w14:textId="7ABC591D" w:rsidR="00A15B8F" w:rsidRDefault="00A15B8F" w:rsidP="00A15B8F">
            <w:r w:rsidRPr="004324B2">
              <w:rPr>
                <w:color w:val="00B0F0"/>
              </w:rPr>
              <w:t>STATE</w:t>
            </w:r>
            <w:r>
              <w:rPr>
                <w:color w:val="00B0F0"/>
              </w:rPr>
              <w:t xml:space="preserve"> and C</w:t>
            </w:r>
            <w:r w:rsidR="005A1769">
              <w:rPr>
                <w:color w:val="00B0F0"/>
              </w:rPr>
              <w:t xml:space="preserve">ounty (use polygon shapefiles) </w:t>
            </w:r>
            <w:r>
              <w:rPr>
                <w:color w:val="00B0F0"/>
              </w:rPr>
              <w:t xml:space="preserve"> </w:t>
            </w:r>
          </w:p>
        </w:tc>
      </w:tr>
      <w:tr w:rsidR="00A15B8F" w14:paraId="2A6CACF4" w14:textId="77777777" w:rsidTr="001668A8">
        <w:tc>
          <w:tcPr>
            <w:tcW w:w="4247" w:type="dxa"/>
          </w:tcPr>
          <w:p w14:paraId="5C1E506C" w14:textId="58DC9184" w:rsidR="00A15B8F" w:rsidRPr="004324B2" w:rsidRDefault="00A15B8F" w:rsidP="00A15B8F">
            <w:r w:rsidRPr="004324B2">
              <w:t xml:space="preserve">Temporal </w:t>
            </w:r>
            <w:r>
              <w:t xml:space="preserve">fixed </w:t>
            </w:r>
            <w:r w:rsidRPr="004324B2">
              <w:t xml:space="preserve">effect </w:t>
            </w:r>
          </w:p>
        </w:tc>
        <w:tc>
          <w:tcPr>
            <w:tcW w:w="4247" w:type="dxa"/>
            <w:vAlign w:val="center"/>
          </w:tcPr>
          <w:p w14:paraId="120023DE" w14:textId="77777777" w:rsidR="00A15B8F" w:rsidRDefault="00A15B8F" w:rsidP="00A15B8F">
            <w:r w:rsidRPr="004324B2">
              <w:rPr>
                <w:color w:val="00B0F0"/>
              </w:rPr>
              <w:t>Holiday</w:t>
            </w:r>
          </w:p>
        </w:tc>
      </w:tr>
      <w:tr w:rsidR="00A15B8F" w14:paraId="0AD89159" w14:textId="77777777" w:rsidTr="001668A8">
        <w:tc>
          <w:tcPr>
            <w:tcW w:w="4247" w:type="dxa"/>
          </w:tcPr>
          <w:p w14:paraId="2633D40D" w14:textId="77777777" w:rsidR="00A15B8F" w:rsidRPr="004324B2" w:rsidRDefault="00A15B8F" w:rsidP="00A15B8F"/>
        </w:tc>
        <w:tc>
          <w:tcPr>
            <w:tcW w:w="4247" w:type="dxa"/>
            <w:vAlign w:val="center"/>
          </w:tcPr>
          <w:p w14:paraId="2D5AAE2C" w14:textId="77777777" w:rsidR="00A15B8F" w:rsidRDefault="00A15B8F" w:rsidP="00A15B8F">
            <w:r w:rsidRPr="004324B2">
              <w:rPr>
                <w:color w:val="00B0F0"/>
              </w:rPr>
              <w:t>Year</w:t>
            </w:r>
          </w:p>
        </w:tc>
      </w:tr>
      <w:tr w:rsidR="00A15B8F" w14:paraId="29005DE5" w14:textId="77777777" w:rsidTr="001668A8">
        <w:tc>
          <w:tcPr>
            <w:tcW w:w="4247" w:type="dxa"/>
          </w:tcPr>
          <w:p w14:paraId="314CC220" w14:textId="77777777" w:rsidR="00A15B8F" w:rsidRPr="004324B2" w:rsidRDefault="00A15B8F" w:rsidP="00A15B8F"/>
        </w:tc>
        <w:tc>
          <w:tcPr>
            <w:tcW w:w="4247" w:type="dxa"/>
            <w:vAlign w:val="center"/>
          </w:tcPr>
          <w:p w14:paraId="68C00157" w14:textId="77777777" w:rsidR="00A15B8F" w:rsidRDefault="00A15B8F" w:rsidP="00A15B8F">
            <w:r w:rsidRPr="004324B2">
              <w:rPr>
                <w:color w:val="00B0F0"/>
              </w:rPr>
              <w:t>Month</w:t>
            </w:r>
          </w:p>
        </w:tc>
      </w:tr>
      <w:tr w:rsidR="00A15B8F" w14:paraId="5BA4AD83" w14:textId="77777777" w:rsidTr="001668A8">
        <w:tc>
          <w:tcPr>
            <w:tcW w:w="4247" w:type="dxa"/>
          </w:tcPr>
          <w:p w14:paraId="0E1ED444" w14:textId="77777777" w:rsidR="00A15B8F" w:rsidRPr="004324B2" w:rsidRDefault="00A15B8F" w:rsidP="00A15B8F"/>
        </w:tc>
        <w:tc>
          <w:tcPr>
            <w:tcW w:w="4247" w:type="dxa"/>
            <w:vAlign w:val="center"/>
          </w:tcPr>
          <w:p w14:paraId="4FC1DF69" w14:textId="77777777" w:rsidR="00A15B8F" w:rsidRDefault="00A15B8F" w:rsidP="00A15B8F">
            <w:r w:rsidRPr="004324B2">
              <w:rPr>
                <w:color w:val="00B0F0"/>
              </w:rPr>
              <w:t>Week</w:t>
            </w:r>
          </w:p>
        </w:tc>
      </w:tr>
      <w:tr w:rsidR="00A15B8F" w14:paraId="274AF015" w14:textId="77777777" w:rsidTr="001668A8">
        <w:tc>
          <w:tcPr>
            <w:tcW w:w="4247" w:type="dxa"/>
          </w:tcPr>
          <w:p w14:paraId="57A169C8" w14:textId="77777777" w:rsidR="00A15B8F" w:rsidRPr="004324B2" w:rsidRDefault="00A15B8F" w:rsidP="00A15B8F"/>
        </w:tc>
        <w:tc>
          <w:tcPr>
            <w:tcW w:w="4247" w:type="dxa"/>
            <w:vAlign w:val="center"/>
          </w:tcPr>
          <w:p w14:paraId="66640CC6" w14:textId="77777777" w:rsidR="00A15B8F" w:rsidRDefault="00A15B8F" w:rsidP="00A15B8F">
            <w:r w:rsidRPr="004324B2">
              <w:rPr>
                <w:color w:val="00B0F0"/>
              </w:rPr>
              <w:t>Weekend</w:t>
            </w:r>
          </w:p>
        </w:tc>
      </w:tr>
      <w:tr w:rsidR="00A15B8F" w14:paraId="67903407" w14:textId="77777777" w:rsidTr="001668A8">
        <w:tc>
          <w:tcPr>
            <w:tcW w:w="4247" w:type="dxa"/>
          </w:tcPr>
          <w:p w14:paraId="3C5A5FE2" w14:textId="77777777" w:rsidR="00A15B8F" w:rsidRPr="004324B2" w:rsidRDefault="00A15B8F" w:rsidP="00A15B8F"/>
        </w:tc>
        <w:tc>
          <w:tcPr>
            <w:tcW w:w="4247" w:type="dxa"/>
            <w:vAlign w:val="center"/>
          </w:tcPr>
          <w:p w14:paraId="721D4295" w14:textId="1E8BB224" w:rsidR="00A15B8F" w:rsidRPr="004324B2" w:rsidRDefault="00A15B8F" w:rsidP="00A15B8F">
            <w:pPr>
              <w:rPr>
                <w:color w:val="00B0F0"/>
              </w:rPr>
            </w:pPr>
            <w:r>
              <w:rPr>
                <w:color w:val="00B0F0"/>
              </w:rPr>
              <w:t xml:space="preserve">Event </w:t>
            </w:r>
          </w:p>
        </w:tc>
      </w:tr>
      <w:tr w:rsidR="00A15B8F" w14:paraId="78316487" w14:textId="77777777" w:rsidTr="00A15B8F">
        <w:tc>
          <w:tcPr>
            <w:tcW w:w="4247" w:type="dxa"/>
          </w:tcPr>
          <w:p w14:paraId="683FFA43" w14:textId="677D2B90" w:rsidR="00A15B8F" w:rsidRPr="004324B2" w:rsidRDefault="00A15B8F" w:rsidP="005D0ADE">
            <w:r>
              <w:t>Below variables to be added in DLNM, respectively</w:t>
            </w:r>
          </w:p>
        </w:tc>
        <w:tc>
          <w:tcPr>
            <w:tcW w:w="4247" w:type="dxa"/>
          </w:tcPr>
          <w:p w14:paraId="7970D1E6" w14:textId="77777777" w:rsidR="00A15B8F" w:rsidRPr="004324B2" w:rsidRDefault="00A15B8F" w:rsidP="005D0ADE">
            <w:pPr>
              <w:rPr>
                <w:color w:val="00B0F0"/>
              </w:rPr>
            </w:pPr>
          </w:p>
        </w:tc>
      </w:tr>
      <w:tr w:rsidR="00A15B8F" w14:paraId="26EA8822" w14:textId="77777777" w:rsidTr="00A15B8F">
        <w:tc>
          <w:tcPr>
            <w:tcW w:w="4247" w:type="dxa"/>
          </w:tcPr>
          <w:p w14:paraId="4662CE3F" w14:textId="77777777" w:rsidR="00A15B8F" w:rsidRPr="004324B2" w:rsidRDefault="00A15B8F" w:rsidP="005D0ADE">
            <w:r w:rsidRPr="004324B2">
              <w:t>Air pollution indicator</w:t>
            </w:r>
          </w:p>
        </w:tc>
        <w:tc>
          <w:tcPr>
            <w:tcW w:w="4247" w:type="dxa"/>
          </w:tcPr>
          <w:p w14:paraId="578F1376" w14:textId="77777777" w:rsidR="00A15B8F" w:rsidRPr="004324B2" w:rsidRDefault="00A15B8F" w:rsidP="005D0ADE">
            <w:pPr>
              <w:rPr>
                <w:color w:val="00B0F0"/>
              </w:rPr>
            </w:pPr>
            <w:r w:rsidRPr="004324B2">
              <w:rPr>
                <w:color w:val="00B0F0"/>
              </w:rPr>
              <w:t>Air pollution interpolate</w:t>
            </w:r>
            <w:r>
              <w:rPr>
                <w:color w:val="00B0F0"/>
              </w:rPr>
              <w:t xml:space="preserve"> </w:t>
            </w:r>
          </w:p>
        </w:tc>
      </w:tr>
      <w:tr w:rsidR="00A15B8F" w14:paraId="0163F43E" w14:textId="77777777" w:rsidTr="00A15B8F">
        <w:tc>
          <w:tcPr>
            <w:tcW w:w="4247" w:type="dxa"/>
          </w:tcPr>
          <w:p w14:paraId="0E755A45" w14:textId="77777777" w:rsidR="00A15B8F" w:rsidRPr="004324B2" w:rsidRDefault="00A15B8F" w:rsidP="005D0ADE">
            <w:r w:rsidRPr="004324B2">
              <w:t>Heatwave indicator</w:t>
            </w:r>
          </w:p>
        </w:tc>
        <w:tc>
          <w:tcPr>
            <w:tcW w:w="4247" w:type="dxa"/>
          </w:tcPr>
          <w:p w14:paraId="4714BB58" w14:textId="77777777" w:rsidR="00A15B8F" w:rsidRPr="004324B2" w:rsidRDefault="00A15B8F" w:rsidP="005D0ADE">
            <w:pPr>
              <w:rPr>
                <w:color w:val="00B0F0"/>
              </w:rPr>
            </w:pPr>
            <w:r w:rsidRPr="004324B2">
              <w:rPr>
                <w:color w:val="00B0F0"/>
              </w:rPr>
              <w:t>Heat Count</w:t>
            </w:r>
          </w:p>
        </w:tc>
      </w:tr>
      <w:tr w:rsidR="00A15B8F" w14:paraId="74F0BECF" w14:textId="77777777" w:rsidTr="00A15B8F">
        <w:trPr>
          <w:trHeight w:val="354"/>
        </w:trPr>
        <w:tc>
          <w:tcPr>
            <w:tcW w:w="4247" w:type="dxa"/>
          </w:tcPr>
          <w:p w14:paraId="729D96C2" w14:textId="77777777" w:rsidR="00A15B8F" w:rsidRPr="004324B2" w:rsidRDefault="00A15B8F" w:rsidP="005D0ADE">
            <w:r w:rsidRPr="004324B2">
              <w:t>Weather/climate indicator</w:t>
            </w:r>
          </w:p>
        </w:tc>
        <w:tc>
          <w:tcPr>
            <w:tcW w:w="4247" w:type="dxa"/>
          </w:tcPr>
          <w:p w14:paraId="22AD7F13" w14:textId="2985F8FD" w:rsidR="00A15B8F" w:rsidRPr="004324B2" w:rsidRDefault="00A15B8F" w:rsidP="005D0ADE">
            <w:pPr>
              <w:rPr>
                <w:color w:val="00B0F0"/>
              </w:rPr>
            </w:pPr>
            <w:r>
              <w:rPr>
                <w:color w:val="00B0F0"/>
              </w:rPr>
              <w:t xml:space="preserve">Precipitation anomality </w:t>
            </w:r>
          </w:p>
        </w:tc>
      </w:tr>
    </w:tbl>
    <w:p w14:paraId="71A32D25" w14:textId="41D55234" w:rsidR="004324B2" w:rsidRDefault="000A21B5">
      <w:r>
        <w:lastRenderedPageBreak/>
        <w:t xml:space="preserve">We still use the nationwide at the county level as the whole to start from the simple linear modelling given it is not accurate to aggregate the heat data to the state level. </w:t>
      </w:r>
    </w:p>
    <w:p w14:paraId="32C7C951" w14:textId="73E22BA3" w:rsidR="00A15B8F" w:rsidRDefault="00A15B8F" w:rsidP="005A1769">
      <w:pPr>
        <w:pStyle w:val="ListParagraph"/>
        <w:numPr>
          <w:ilvl w:val="0"/>
          <w:numId w:val="2"/>
        </w:numPr>
        <w:ind w:left="270" w:hanging="270"/>
      </w:pPr>
      <w:r>
        <w:t xml:space="preserve">Start from simple linear models </w:t>
      </w:r>
    </w:p>
    <w:p w14:paraId="10667367" w14:textId="21E1D6C0" w:rsidR="00A15B8F" w:rsidRPr="00A15B8F" w:rsidRDefault="00A15B8F">
      <w:r w:rsidRPr="00A15B8F">
        <w:t>BASE Model: for the entire US by county</w:t>
      </w:r>
      <w:r w:rsidR="005A1769">
        <w:t xml:space="preserve">; You can try to add in the below spatial/temporal/fixed effects using back/forward entry to find out the best combinations. </w:t>
      </w:r>
    </w:p>
    <w:p w14:paraId="5286BBFC" w14:textId="44481049" w:rsidR="00A15B8F" w:rsidRPr="00A15B8F" w:rsidRDefault="00A15B8F">
      <w:r w:rsidRPr="00A15B8F">
        <w:t xml:space="preserve">Sentiment </w:t>
      </w:r>
      <w:r>
        <w:t>~</w:t>
      </w:r>
      <w:r w:rsidRPr="00A15B8F">
        <w:t xml:space="preserve"> Spatial effect (input of state polygon and county polygon) + temporal effect (year, month, week, weekend, and holiday) + fixed effect (vulnerability, events)</w:t>
      </w:r>
    </w:p>
    <w:p w14:paraId="67356309" w14:textId="77777777" w:rsidR="00A15B8F" w:rsidRDefault="00A15B8F" w:rsidP="004324B2"/>
    <w:p w14:paraId="41B43FEC" w14:textId="4E3D1132" w:rsidR="004324B2" w:rsidRDefault="00A15B8F" w:rsidP="005A1769">
      <w:pPr>
        <w:pStyle w:val="ListParagraph"/>
        <w:numPr>
          <w:ilvl w:val="0"/>
          <w:numId w:val="2"/>
        </w:numPr>
        <w:ind w:left="270" w:hanging="270"/>
      </w:pPr>
      <w:r>
        <w:t xml:space="preserve">ADVANCED Model with </w:t>
      </w:r>
      <w:r w:rsidRPr="00A15B8F">
        <w:t>no lag</w:t>
      </w:r>
      <w:r>
        <w:t xml:space="preserve">: </w:t>
      </w:r>
    </w:p>
    <w:p w14:paraId="6DF65FBA" w14:textId="79C86239" w:rsidR="00A15B8F" w:rsidRDefault="00A15B8F" w:rsidP="005A1769">
      <w:pPr>
        <w:ind w:left="360"/>
      </w:pPr>
      <w:r w:rsidRPr="00A15B8F">
        <w:t xml:space="preserve">BASE MODEL </w:t>
      </w:r>
      <w:r w:rsidR="001E2568" w:rsidRPr="00A15B8F">
        <w:t xml:space="preserve">+ heatwave </w:t>
      </w:r>
    </w:p>
    <w:p w14:paraId="24160A19" w14:textId="1E376E1A" w:rsidR="00A15B8F" w:rsidRDefault="00A15B8F" w:rsidP="005A1769">
      <w:pPr>
        <w:ind w:left="360"/>
      </w:pPr>
      <w:r w:rsidRPr="00A15B8F">
        <w:t xml:space="preserve">BASE MODEL + </w:t>
      </w:r>
      <w:r w:rsidR="001E2568" w:rsidRPr="00A15B8F">
        <w:t xml:space="preserve">air pollution </w:t>
      </w:r>
    </w:p>
    <w:p w14:paraId="526A663E" w14:textId="4F879D3B" w:rsidR="001E2568" w:rsidRPr="00A15B8F" w:rsidRDefault="00A15B8F" w:rsidP="005A1769">
      <w:pPr>
        <w:ind w:left="360"/>
      </w:pPr>
      <w:r w:rsidRPr="00A15B8F">
        <w:t xml:space="preserve">BASE MODEL + </w:t>
      </w:r>
      <w:r w:rsidR="001E2568" w:rsidRPr="00A15B8F">
        <w:t>rainfall</w:t>
      </w:r>
      <w:r w:rsidRPr="00A15B8F">
        <w:t xml:space="preserve"> </w:t>
      </w:r>
    </w:p>
    <w:p w14:paraId="0CD9ABA2" w14:textId="40C0471A" w:rsidR="00A15B8F" w:rsidRDefault="00A15B8F" w:rsidP="005A1769">
      <w:pPr>
        <w:ind w:left="360"/>
      </w:pPr>
      <w:r w:rsidRPr="00A15B8F">
        <w:t>BASE MODEL + heatwave</w:t>
      </w:r>
      <w:r>
        <w:t xml:space="preserve"> + </w:t>
      </w:r>
      <w:r w:rsidRPr="00A15B8F">
        <w:t>air pollution</w:t>
      </w:r>
    </w:p>
    <w:p w14:paraId="1086AF27" w14:textId="62472F0D" w:rsidR="00A15B8F" w:rsidRDefault="00A15B8F" w:rsidP="005A1769">
      <w:pPr>
        <w:ind w:left="360"/>
      </w:pPr>
      <w:r w:rsidRPr="00A15B8F">
        <w:t>BASE MODEL + heatwave</w:t>
      </w:r>
      <w:r>
        <w:t xml:space="preserve"> + </w:t>
      </w:r>
      <w:r w:rsidRPr="00A15B8F">
        <w:t>rainfall</w:t>
      </w:r>
    </w:p>
    <w:p w14:paraId="342E4994" w14:textId="64682F3C" w:rsidR="00A15B8F" w:rsidRDefault="00A15B8F" w:rsidP="005A1769">
      <w:pPr>
        <w:ind w:left="360"/>
      </w:pPr>
      <w:r w:rsidRPr="00A15B8F">
        <w:t>BASE MODEL + air pollution</w:t>
      </w:r>
      <w:r>
        <w:t xml:space="preserve"> + </w:t>
      </w:r>
      <w:r w:rsidRPr="00A15B8F">
        <w:t>rainfall</w:t>
      </w:r>
    </w:p>
    <w:p w14:paraId="30F1A256" w14:textId="31CBFD7D" w:rsidR="00A15B8F" w:rsidRDefault="00A15B8F" w:rsidP="005A1769">
      <w:pPr>
        <w:ind w:left="360"/>
      </w:pPr>
      <w:r w:rsidRPr="00A15B8F">
        <w:t xml:space="preserve">BASE MODEL + heatwave </w:t>
      </w:r>
      <w:r>
        <w:t xml:space="preserve">+ </w:t>
      </w:r>
      <w:r w:rsidRPr="00A15B8F">
        <w:t>air pollution</w:t>
      </w:r>
      <w:r>
        <w:t xml:space="preserve"> + </w:t>
      </w:r>
      <w:r w:rsidRPr="00A15B8F">
        <w:t>rainfall</w:t>
      </w:r>
    </w:p>
    <w:p w14:paraId="22CA173F" w14:textId="77777777" w:rsidR="00A15B8F" w:rsidRDefault="00A15B8F" w:rsidP="00A15B8F"/>
    <w:p w14:paraId="735E0948" w14:textId="0C9C04B2" w:rsidR="00A15B8F" w:rsidRDefault="00A15B8F" w:rsidP="005A1769">
      <w:pPr>
        <w:pStyle w:val="ListParagraph"/>
        <w:numPr>
          <w:ilvl w:val="0"/>
          <w:numId w:val="2"/>
        </w:numPr>
        <w:ind w:left="270" w:hanging="270"/>
      </w:pPr>
      <w:r>
        <w:t>After select the above best model then add DLNM: ADVANCED Model with DLNM</w:t>
      </w:r>
    </w:p>
    <w:p w14:paraId="16FF3837" w14:textId="61A5FFAA" w:rsidR="001E2568" w:rsidRPr="005A1769" w:rsidRDefault="00A15B8F" w:rsidP="005A1769">
      <w:pPr>
        <w:ind w:firstLine="360"/>
      </w:pPr>
      <w:r w:rsidRPr="005A1769">
        <w:t xml:space="preserve">DLNM with </w:t>
      </w:r>
      <w:r w:rsidR="001E2568" w:rsidRPr="005A1769">
        <w:t>lag 1-14 days</w:t>
      </w:r>
    </w:p>
    <w:p w14:paraId="0E8D2E8C" w14:textId="77777777" w:rsidR="001E2568" w:rsidRPr="00702A39" w:rsidRDefault="001E2568" w:rsidP="004324B2"/>
    <w:p w14:paraId="6AD184C3" w14:textId="77777777" w:rsidR="00CC5AF0" w:rsidRDefault="00CC5AF0" w:rsidP="004324B2"/>
    <w:p w14:paraId="27BC8CBC" w14:textId="77777777" w:rsidR="001E2568" w:rsidRPr="00702A39" w:rsidRDefault="001E2568" w:rsidP="004324B2"/>
    <w:p w14:paraId="288286AE" w14:textId="71957FA4" w:rsidR="00BC27DA" w:rsidRPr="00702A39" w:rsidRDefault="00BC27DA">
      <w:r>
        <w:t xml:space="preserve"> </w:t>
      </w:r>
    </w:p>
    <w:sectPr w:rsidR="00BC27DA" w:rsidRPr="00702A39">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8602" w14:textId="77777777" w:rsidR="00B52219" w:rsidRDefault="00B52219" w:rsidP="00BC27DA">
      <w:pPr>
        <w:spacing w:after="0" w:line="240" w:lineRule="auto"/>
      </w:pPr>
      <w:r>
        <w:separator/>
      </w:r>
    </w:p>
  </w:endnote>
  <w:endnote w:type="continuationSeparator" w:id="0">
    <w:p w14:paraId="089D9798" w14:textId="77777777" w:rsidR="00B52219" w:rsidRDefault="00B52219" w:rsidP="00BC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B5D9D" w14:textId="77777777" w:rsidR="00B52219" w:rsidRDefault="00B52219" w:rsidP="00BC27DA">
      <w:pPr>
        <w:spacing w:after="0" w:line="240" w:lineRule="auto"/>
      </w:pPr>
      <w:r>
        <w:separator/>
      </w:r>
    </w:p>
  </w:footnote>
  <w:footnote w:type="continuationSeparator" w:id="0">
    <w:p w14:paraId="26A1CDCC" w14:textId="77777777" w:rsidR="00B52219" w:rsidRDefault="00B52219" w:rsidP="00BC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2016"/>
    <w:multiLevelType w:val="hybridMultilevel"/>
    <w:tmpl w:val="ECDC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2351F"/>
    <w:multiLevelType w:val="hybridMultilevel"/>
    <w:tmpl w:val="52BE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64554">
    <w:abstractNumId w:val="1"/>
  </w:num>
  <w:num w:numId="2" w16cid:durableId="133314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39"/>
    <w:rsid w:val="000A21B5"/>
    <w:rsid w:val="00147771"/>
    <w:rsid w:val="001B7144"/>
    <w:rsid w:val="001B79E5"/>
    <w:rsid w:val="001E2568"/>
    <w:rsid w:val="001F1961"/>
    <w:rsid w:val="004324B2"/>
    <w:rsid w:val="005A1769"/>
    <w:rsid w:val="005A53E2"/>
    <w:rsid w:val="00702A39"/>
    <w:rsid w:val="00731519"/>
    <w:rsid w:val="008076C6"/>
    <w:rsid w:val="00854973"/>
    <w:rsid w:val="008608EA"/>
    <w:rsid w:val="009E3850"/>
    <w:rsid w:val="00A15B8F"/>
    <w:rsid w:val="00B52219"/>
    <w:rsid w:val="00BA1581"/>
    <w:rsid w:val="00BC27DA"/>
    <w:rsid w:val="00CC5AF0"/>
    <w:rsid w:val="00DA78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D65FD"/>
  <w15:chartTrackingRefBased/>
  <w15:docId w15:val="{F313CA22-197E-4229-972E-F8A13DA5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3850"/>
    <w:rPr>
      <w:i/>
      <w:iCs/>
    </w:rPr>
  </w:style>
  <w:style w:type="paragraph" w:styleId="Header">
    <w:name w:val="header"/>
    <w:basedOn w:val="Normal"/>
    <w:link w:val="HeaderChar"/>
    <w:uiPriority w:val="99"/>
    <w:unhideWhenUsed/>
    <w:rsid w:val="00BC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7DA"/>
  </w:style>
  <w:style w:type="paragraph" w:styleId="Footer">
    <w:name w:val="footer"/>
    <w:basedOn w:val="Normal"/>
    <w:link w:val="FooterChar"/>
    <w:uiPriority w:val="99"/>
    <w:unhideWhenUsed/>
    <w:rsid w:val="00BC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7DA"/>
  </w:style>
  <w:style w:type="paragraph" w:styleId="ListParagraph">
    <w:name w:val="List Paragraph"/>
    <w:basedOn w:val="Normal"/>
    <w:uiPriority w:val="34"/>
    <w:qFormat/>
    <w:rsid w:val="00BA1581"/>
    <w:pPr>
      <w:ind w:left="720"/>
      <w:contextualSpacing/>
    </w:pPr>
  </w:style>
  <w:style w:type="character" w:styleId="Hyperlink">
    <w:name w:val="Hyperlink"/>
    <w:basedOn w:val="DefaultParagraphFont"/>
    <w:uiPriority w:val="99"/>
    <w:unhideWhenUsed/>
    <w:rsid w:val="00BA1581"/>
    <w:rPr>
      <w:color w:val="0563C1" w:themeColor="hyperlink"/>
      <w:u w:val="single"/>
    </w:rPr>
  </w:style>
  <w:style w:type="character" w:styleId="UnresolvedMention">
    <w:name w:val="Unresolved Mention"/>
    <w:basedOn w:val="DefaultParagraphFont"/>
    <w:uiPriority w:val="99"/>
    <w:semiHidden/>
    <w:unhideWhenUsed/>
    <w:rsid w:val="00BA1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Wang</dc:creator>
  <cp:keywords/>
  <dc:description/>
  <cp:lastModifiedBy>Siqin Wang</cp:lastModifiedBy>
  <cp:revision>4</cp:revision>
  <dcterms:created xsi:type="dcterms:W3CDTF">2024-03-30T22:35:00Z</dcterms:created>
  <dcterms:modified xsi:type="dcterms:W3CDTF">2024-03-30T23:09:00Z</dcterms:modified>
</cp:coreProperties>
</file>