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RAY: Resilience Assistant for You</w:t>
      </w:r>
    </w:p>
    <w:p w:rsidR="00000000" w:rsidDel="00000000" w:rsidP="00000000" w:rsidRDefault="00000000" w:rsidRPr="00000000" w14:paraId="00000002">
      <w:pPr>
        <w:pStyle w:val="Subtitle"/>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 Accountable GeoAI System for Place-Based Disaster Intelligence</w:t>
      </w:r>
    </w:p>
    <w:p w:rsidR="00000000" w:rsidDel="00000000" w:rsidP="00000000" w:rsidRDefault="00000000" w:rsidRPr="00000000" w14:paraId="00000003">
      <w:pPr>
        <w:spacing w:after="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Yifan Yang [1]</w:t>
      </w:r>
      <w:r w:rsidDel="00000000" w:rsidR="00000000" w:rsidRPr="00000000">
        <w:rPr>
          <w:rFonts w:ascii="Times New Roman" w:cs="Times New Roman" w:eastAsia="Times New Roman" w:hAnsi="Times New Roman"/>
          <w:color w:val="000000"/>
          <w:rtl w:val="0"/>
        </w:rPr>
        <w:t xml:space="preserve">  |  </w:t>
      </w:r>
      <w:r w:rsidDel="00000000" w:rsidR="00000000" w:rsidRPr="00000000">
        <w:rPr>
          <w:rFonts w:ascii="Times New Roman" w:cs="Times New Roman" w:eastAsia="Times New Roman" w:hAnsi="Times New Roman"/>
          <w:b w:val="1"/>
          <w:bCs w:val="1"/>
          <w:color w:val="000000"/>
          <w:rtl w:val="0"/>
        </w:rPr>
        <w:t xml:space="preserve">Lei Zou [1]</w:t>
      </w:r>
      <w:r w:rsidDel="00000000" w:rsidR="00000000" w:rsidRPr="00000000">
        <w:rPr>
          <w:rFonts w:ascii="Times New Roman" w:cs="Times New Roman" w:eastAsia="Times New Roman" w:hAnsi="Times New Roman"/>
          <w:color w:val="000000"/>
          <w:rtl w:val="0"/>
        </w:rPr>
        <w:t xml:space="preserve">  |  </w:t>
      </w:r>
      <w:r w:rsidDel="00000000" w:rsidR="00000000" w:rsidRPr="00000000">
        <w:rPr>
          <w:rFonts w:ascii="Times New Roman" w:cs="Times New Roman" w:eastAsia="Times New Roman" w:hAnsi="Times New Roman"/>
          <w:b w:val="1"/>
          <w:bCs w:val="1"/>
          <w:color w:val="000000"/>
          <w:rtl w:val="0"/>
        </w:rPr>
        <w:t xml:space="preserve">Wenjing Gong [2]</w:t>
      </w:r>
      <w:r w:rsidDel="00000000" w:rsidR="00000000" w:rsidRPr="00000000">
        <w:rPr>
          <w:rFonts w:ascii="Times New Roman" w:cs="Times New Roman" w:eastAsia="Times New Roman" w:hAnsi="Times New Roman"/>
          <w:color w:val="000000"/>
          <w:rtl w:val="0"/>
        </w:rPr>
        <w:t xml:space="preserve">  |  </w:t>
      </w:r>
      <w:r w:rsidDel="00000000" w:rsidR="00000000" w:rsidRPr="00000000">
        <w:rPr>
          <w:rFonts w:ascii="Times New Roman" w:cs="Times New Roman" w:eastAsia="Times New Roman" w:hAnsi="Times New Roman"/>
          <w:b w:val="1"/>
          <w:bCs w:val="1"/>
          <w:color w:val="000000"/>
          <w:rtl w:val="0"/>
        </w:rPr>
        <w:t xml:space="preserve">Ziyi Wang [3]</w:t>
      </w:r>
      <w:r w:rsidDel="00000000" w:rsidR="00000000" w:rsidRPr="00000000">
        <w:rPr>
          <w:rtl w:val="0"/>
        </w:rPr>
      </w:r>
    </w:p>
    <w:p w:rsidR="00000000" w:rsidDel="00000000" w:rsidP="00000000" w:rsidRDefault="00000000" w:rsidRPr="00000000" w14:paraId="00000004">
      <w:pPr>
        <w:spacing w:after="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Department of Geography, Texas A&amp;M University</w:t>
      </w:r>
    </w:p>
    <w:p w:rsidR="00000000" w:rsidDel="00000000" w:rsidP="00000000" w:rsidRDefault="00000000" w:rsidRPr="00000000" w14:paraId="00000005">
      <w:pPr>
        <w:spacing w:after="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Department of Landscape Architecture and Urban Planning, Texas A&amp;M University</w:t>
      </w:r>
    </w:p>
    <w:p w:rsidR="00000000" w:rsidDel="00000000" w:rsidP="00000000" w:rsidRDefault="00000000" w:rsidRPr="00000000" w14:paraId="00000006">
      <w:pPr>
        <w:spacing w:after="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Department of Computer Science and Engineering, Texas A&amp;M University</w:t>
      </w:r>
    </w:p>
    <w:p w:rsidR="00000000" w:rsidDel="00000000" w:rsidP="00000000" w:rsidRDefault="00000000" w:rsidRPr="00000000" w14:paraId="00000007">
      <w:pPr>
        <w:spacing w:after="40" w:before="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Emails: yyang295@tamu.edu | lzou@tamu.edu | wenjinggong@tamu.edu | ziyiwang@tamu.edu</w:t>
      </w:r>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Abstract</w:t>
      </w:r>
    </w:p>
    <w:p w:rsidR="00000000" w:rsidDel="00000000" w:rsidP="00000000" w:rsidRDefault="00000000" w:rsidRPr="00000000" w14:paraId="0000000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RAY (Resilience Assistant for You) is a GeoAI prototype for disaster-resilience analysis with accountability controls embedded in data processing, publication, and question answering. The system combines an hourly U.S. multi-hazard watch with H3-based case studies for the Eaton Fire, Hurricane Milton, and Hurricane Ian. Each artifact is hashed and registered; spatial stages must pass coordinate-reference, join, bounds, and uncertainty checks; and declarative policies restrict what may be asserted or published by role, evidence tier, resolution, geography, verifiability, and license. Resident responses exclude parcel-level and raw damage assessments, while planners can set the trade-off between damage and social vulnerability. We also evaluated six open vision-language models on three labelled datasets, totalling 1,225 samples per model. All six outperformed the 7B reference on the Palisades single-image task; none improved on the Milton pre/post task, and high Eaton accuracy masked weak recall in the minority class. The resulting grids remain evaluation products and are excluded from the agent's evidence store. Three documented failures led to additional distribution, citation, and evidence-scope controls. The prototype shows how autonomous geospatial workflows can be paired with enforceable limits on coverage, evidence use, and public claims.</w:t>
      </w:r>
    </w:p>
    <w:p w:rsidR="00000000" w:rsidDel="00000000" w:rsidP="00000000" w:rsidRDefault="00000000" w:rsidRPr="00000000" w14:paraId="0000000A">
      <w:pPr>
        <w:spacing w:after="2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Keywords: </w:t>
      </w:r>
      <w:r w:rsidDel="00000000" w:rsidR="00000000" w:rsidRPr="00000000">
        <w:rPr>
          <w:rFonts w:ascii="Times New Roman" w:cs="Times New Roman" w:eastAsia="Times New Roman" w:hAnsi="Times New Roman"/>
          <w:color w:val="000000"/>
          <w:rtl w:val="0"/>
        </w:rPr>
        <w:t xml:space="preserve">GeoAI agents; disaster resilience; social vulnerability; provenance; policy enforcement; vision-language models; H3</w:t>
      </w:r>
    </w:p>
    <w:p w:rsidR="00000000" w:rsidDel="00000000" w:rsidP="00000000" w:rsidRDefault="00000000" w:rsidRPr="00000000" w14:paraId="0000000B">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Introduction</w:t>
      </w:r>
    </w:p>
    <w:p w:rsidR="00000000" w:rsidDel="00000000" w:rsidP="00000000" w:rsidRDefault="00000000" w:rsidRPr="00000000" w14:paraId="0000000C">
      <w:pPr>
        <w:rPr>
          <w:rFonts w:ascii="Times New Roman" w:cs="Times New Roman" w:eastAsia="Times New Roman" w:hAnsi="Times New Roman"/>
          <w:color w:val="000000"/>
        </w:rPr>
      </w:pPr>
      <w:r>
        <w:t>GeoAI agents can now connect data retrieval, spatial analysis, and natural-language generation with limited supervision [4, 5, 6, 7, 8]. In disaster settings, however, a plausible answer is not sufficient. Users need to know which data support a claim, the spatial scale at which the claim remains valid, the uncertainty attached to it, and whether the system is authorized to disclose it. These questions become especially important when a map combines official damage assessments, population counts, vulnerability indicators, and street-level imagery.</w:t>
      </w:r>
    </w:p>
    <w:p w:rsidR="00000000" w:rsidDel="00000000" w:rsidP="00000000" w:rsidRDefault="00000000" w:rsidRPr="00000000" w14:paraId="000000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RAY addresses this problem by separating analysis, presentation, and language generation while applying a shared accountability layer. The prototype combines a nationwide hazard watch with detailed analyses for three events in two hazard types. Its main contribution is an executable governance design: spatial quality checks, append-only provenance, claim and publication policies, per-artifact verifiability and licensing, and a citation check on generated answers. The same controls apply to deterministic pipelines and to the language-model gateway.</w:t>
      </w:r>
    </w:p>
    <w:p w:rsidR="00000000" w:rsidDel="00000000" w:rsidP="00000000" w:rsidRDefault="00000000" w:rsidRPr="00000000" w14:paraId="000000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report is organized around the OASIS Track A criteria: autonomy, architectural robustness and transfer, social-good alignment, and technical reflection. Evidence is drawn from the committed artifacts, audit logs, policy files, model-evaluation records, and tests in the linked repository.</w:t>
      </w:r>
    </w:p>
    <w:p w:rsidR="00000000" w:rsidDel="00000000" w:rsidP="00000000" w:rsidRDefault="00000000" w:rsidRPr="00000000" w14:paraId="0000000F">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System Design and Autonomy</w:t>
      </w:r>
    </w:p>
    <w:p w:rsidR="00000000" w:rsidDel="00000000" w:rsidP="00000000" w:rsidRDefault="00000000" w:rsidRPr="00000000" w14:paraId="0000001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RAY has three loosely coupled planes. The data plane ingests public hazard feeds and builds event products. The presentation plane is an installable PWA with resident and planner views. The agent plane answers questions through a policy-controlled gateway. The Steward Harness spans all three: it checks spatial outputs, records lineage, controls claims and publication, and tracks whether evidence can be independently checked. If the gateway is unavailable, the mapped products and their provenance remain usable.</w:t>
      </w:r>
    </w:p>
    <w:p w:rsidR="00000000" w:rsidDel="00000000" w:rsidP="00000000" w:rsidRDefault="00000000" w:rsidRPr="00000000" w14:paraId="00000011">
      <w:pPr>
        <w:keepNext w:val="1"/>
        <w:spacing w:after="0" w:before="8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943600" cy="3035300"/>
            <wp:effectExtent b="0" l="0" r="0" t="0"/>
            <wp:docPr id="2" name="image1.png" descr="RAY system architecture: data plane, agent plane, presentation plane, and Steward Harness"/>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1"/>
          <w:bCs w:val="1"/>
          <w:i w:val="1"/>
          <w:iCs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u w:val="none"/>
          <w:shd w:fill="auto" w:val="clear"/>
          <w:vertAlign w:val="baseline"/>
          <w:rtl w:val="0"/>
        </w:rPr>
        <w:t xml:space="preserve">Figure 1. RAY system architecture. The claim plane governs what the agent may say; the distribution plane governs what the public build may ship. Both use the same policy source and default to denial when no rule applies.</w:t>
      </w:r>
    </w:p>
    <w:p w:rsidR="00000000" w:rsidDel="00000000" w:rsidP="00000000" w:rsidRDefault="00000000" w:rsidRPr="00000000" w14:paraId="00000013">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 Steward Harness</w:t>
      </w:r>
    </w:p>
    <w:p w:rsidR="00000000" w:rsidDel="00000000" w:rsidP="00000000" w:rsidRDefault="00000000" w:rsidRPr="00000000" w14:paraId="00000014">
      <w:pPr>
        <w:rPr>
          <w:rFonts w:ascii="Times New Roman" w:cs="Times New Roman" w:eastAsia="Times New Roman" w:hAnsi="Times New Roman"/>
          <w:color w:val="000000"/>
        </w:rPr>
      </w:pPr>
      <w:r>
        <w:t>The harness implements four related controls. Outcome, process, and institutional validity are enforced as explicit policy controls. Verifiability adds a separate question: what can a reader do to check the evidence, and may the project retain or redistribute it?</w:t>
      </w:r>
    </w:p>
    <w:p w:rsidR="00000000" w:rsidDel="00000000" w:rsidP="00000000" w:rsidRDefault="00000000" w:rsidRPr="00000000" w14:paraId="00000015">
      <w:pPr>
        <w:keepNext w:val="1"/>
        <w:spacing w:after="8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Table 1. </w:t>
      </w:r>
      <w:r w:rsidDel="00000000" w:rsidR="00000000" w:rsidRPr="00000000">
        <w:rPr>
          <w:rFonts w:ascii="Times New Roman" w:cs="Times New Roman" w:eastAsia="Times New Roman" w:hAnsi="Times New Roman"/>
          <w:color w:val="000000"/>
          <w:rtl w:val="0"/>
        </w:rPr>
        <w:t xml:space="preserve">Controls enforced by the Steward Harness</w:t>
      </w:r>
    </w:p>
    <w:tbl>
      <w:tblPr>
        <w:tblStyle w:val="Table1"/>
        <w:tblW w:w="9360.0" w:type="dxa"/>
        <w:jc w:val="left"/>
        <w:tblInd w:w="120.0" w:type="dxa"/>
        <w:tblBorders>
          <w:top w:color="d6dee8" w:space="0" w:sz="4" w:val="single"/>
          <w:left w:color="d6dee8" w:space="0" w:sz="4" w:val="single"/>
          <w:bottom w:color="d6dee8" w:space="0" w:sz="4" w:val="single"/>
          <w:right w:color="d6dee8" w:space="0" w:sz="4" w:val="single"/>
          <w:insideH w:color="d6dee8" w:space="0" w:sz="4" w:val="single"/>
          <w:insideV w:color="d6dee8" w:space="0" w:sz="4" w:val="single"/>
        </w:tblBorders>
        <w:tblLayout w:type="fixed"/>
        <w:tblLook w:val="0400"/>
      </w:tblPr>
      <w:tblGrid>
        <w:gridCol w:w="1800"/>
        <w:gridCol w:w="4440"/>
        <w:gridCol w:w="3120"/>
        <w:tblGridChange w:id="0">
          <w:tblGrid>
            <w:gridCol w:w="1800"/>
            <w:gridCol w:w="4440"/>
            <w:gridCol w:w="3120"/>
          </w:tblGrid>
        </w:tblGridChange>
      </w:tblGrid>
      <w:tr>
        <w:trPr>
          <w:cantSplit w:val="1"/>
          <w:tblHeader w:val="1"/>
        </w:trPr>
        <w:tc>
          <w:tcPr>
            <w:shd w:fill="f2f4f7" w:val="clear"/>
            <w:tcMar>
              <w:top w:w="80.0" w:type="dxa"/>
              <w:left w:w="120.0" w:type="dxa"/>
              <w:bottom w:w="80.0" w:type="dxa"/>
              <w:right w:w="120.0" w:type="dxa"/>
            </w:tcMar>
            <w:vAlign w:val="center"/>
          </w:tcPr>
          <w:p w:rsidR="00000000" w:rsidDel="00000000" w:rsidP="00000000" w:rsidRDefault="00000000" w:rsidRPr="00000000" w14:paraId="00000016">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Control</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17">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Implementation</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18">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Failure behavior</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19">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Outcome validity</w:t>
            </w:r>
          </w:p>
        </w:tc>
        <w:tc>
          <w:tcPr>
            <w:tcMar>
              <w:top w:w="80.0" w:type="dxa"/>
              <w:left w:w="120.0" w:type="dxa"/>
              <w:bottom w:w="80.0" w:type="dxa"/>
              <w:right w:w="120.0" w:type="dxa"/>
            </w:tcMar>
            <w:vAlign w:val="center"/>
          </w:tcPr>
          <w:p w:rsidR="00000000" w:rsidDel="00000000" w:rsidP="00000000" w:rsidRDefault="00000000" w:rsidRPr="00000000" w14:paraId="0000001A">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CRS assertions; join integrity; coordinate and sanity bounds; an uncertainty block on every tile.</w:t>
            </w:r>
          </w:p>
        </w:tc>
        <w:tc>
          <w:tcPr>
            <w:tcMar>
              <w:top w:w="80.0" w:type="dxa"/>
              <w:left w:w="120.0" w:type="dxa"/>
              <w:bottom w:w="80.0" w:type="dxa"/>
              <w:right w:w="120.0" w:type="dxa"/>
            </w:tcMar>
            <w:vAlign w:val="center"/>
          </w:tcPr>
          <w:p w:rsidR="00000000" w:rsidDel="00000000" w:rsidP="00000000" w:rsidRDefault="00000000" w:rsidRPr="00000000" w14:paraId="0000001B">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stage stops before publishing an invalid or under-specified product.</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1C">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Process validity</w:t>
            </w:r>
          </w:p>
        </w:tc>
        <w:tc>
          <w:tcPr>
            <w:tcMar>
              <w:top w:w="80.0" w:type="dxa"/>
              <w:left w:w="120.0" w:type="dxa"/>
              <w:bottom w:w="80.0" w:type="dxa"/>
              <w:right w:w="120.0" w:type="dxa"/>
            </w:tcMar>
            <w:vAlign w:val="center"/>
          </w:tcPr>
          <w:p w:rsidR="00000000" w:rsidDel="00000000" w:rsidP="00000000" w:rsidRDefault="00000000" w:rsidRPr="00000000" w14:paraId="0000001D">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SHA-256 for each artifact; append-only audit rows recording agent, inputs, and UTC time.</w:t>
            </w:r>
          </w:p>
        </w:tc>
        <w:tc>
          <w:tcPr>
            <w:tcMar>
              <w:top w:w="80.0" w:type="dxa"/>
              <w:left w:w="120.0" w:type="dxa"/>
              <w:bottom w:w="80.0" w:type="dxa"/>
              <w:right w:w="120.0" w:type="dxa"/>
            </w:tcMar>
            <w:vAlign w:val="center"/>
          </w:tcPr>
          <w:p w:rsidR="00000000" w:rsidDel="00000000" w:rsidP="00000000" w:rsidRDefault="00000000" w:rsidRPr="00000000" w14:paraId="0000001E">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Failed runs remain in the log and are not overwritten by later successful runs.</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1F">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Institutional validity</w:t>
            </w:r>
          </w:p>
        </w:tc>
        <w:tc>
          <w:tcPr>
            <w:tcMar>
              <w:top w:w="80.0" w:type="dxa"/>
              <w:left w:w="120.0" w:type="dxa"/>
              <w:bottom w:w="80.0" w:type="dxa"/>
              <w:right w:w="120.0" w:type="dxa"/>
            </w:tcMar>
            <w:vAlign w:val="center"/>
          </w:tcPr>
          <w:p w:rsidR="00000000" w:rsidDel="00000000" w:rsidP="00000000" w:rsidRDefault="00000000" w:rsidRPr="00000000" w14:paraId="00000020">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One YAML policy with ordered, first-match claim and distribution rules. Decisions depend on role, evidence tier, resolution, geography, and artifact class.</w:t>
            </w:r>
          </w:p>
        </w:tc>
        <w:tc>
          <w:tcPr>
            <w:tcMar>
              <w:top w:w="80.0" w:type="dxa"/>
              <w:left w:w="120.0" w:type="dxa"/>
              <w:bottom w:w="80.0" w:type="dxa"/>
              <w:right w:w="120.0" w:type="dxa"/>
            </w:tcMar>
            <w:vAlign w:val="center"/>
          </w:tcPr>
          <w:p w:rsidR="00000000" w:rsidDel="00000000" w:rsidP="00000000" w:rsidRDefault="00000000" w:rsidRPr="00000000" w14:paraId="00000021">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 unmatched request or file is denied. CI blocks a deployment that exceeds the distribution allowlist.</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22">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Verifiability and license</w:t>
            </w:r>
          </w:p>
        </w:tc>
        <w:tc>
          <w:tcPr>
            <w:tcMar>
              <w:top w:w="80.0" w:type="dxa"/>
              <w:left w:w="120.0" w:type="dxa"/>
              <w:bottom w:w="80.0" w:type="dxa"/>
              <w:right w:w="120.0" w:type="dxa"/>
            </w:tcMar>
            <w:vAlign w:val="center"/>
          </w:tcPr>
          <w:p w:rsidR="00000000" w:rsidDel="00000000" w:rsidP="00000000" w:rsidRDefault="00000000" w:rsidRPr="00000000" w14:paraId="00000023">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Artifacts are typed as retained, re-derivable, or cited-only; a claim inherits the weakest supporting level. License is checked separately for redistribution.</w:t>
            </w:r>
          </w:p>
        </w:tc>
        <w:tc>
          <w:tcPr>
            <w:tcMar>
              <w:top w:w="80.0" w:type="dxa"/>
              <w:left w:w="120.0" w:type="dxa"/>
              <w:bottom w:w="80.0" w:type="dxa"/>
              <w:right w:w="120.0" w:type="dxa"/>
            </w:tcMar>
            <w:vAlign w:val="center"/>
          </w:tcPr>
          <w:p w:rsidR="00000000" w:rsidDel="00000000" w:rsidP="00000000" w:rsidRDefault="00000000" w:rsidRPr="00000000" w14:paraId="00000024">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Restricted or insufficiently verifiable evidence cannot borrow the standing of better evidence in the same answer.</w:t>
            </w:r>
          </w:p>
        </w:tc>
      </w:tr>
    </w:tbl>
    <w:p w:rsidR="00000000" w:rsidDel="00000000" w:rsidP="00000000" w:rsidRDefault="00000000" w:rsidRPr="00000000" w14:paraId="00000025">
      <w:pPr>
        <w:spacing w:before="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Source: policy, harness, audit, and publication-boundary modules in repository snapshot b256959.</w:t>
      </w:r>
      <w:r w:rsidDel="00000000" w:rsidR="00000000" w:rsidRPr="00000000">
        <w:rPr>
          <w:rtl w:val="0"/>
        </w:rPr>
      </w:r>
    </w:p>
    <w:p w:rsidR="00000000" w:rsidDel="00000000" w:rsidP="00000000" w:rsidRDefault="00000000" w:rsidRPr="00000000" w14:paraId="00000026">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2.2 Automated and Human Decisions</w:t>
      </w:r>
    </w:p>
    <w:p w:rsidR="00000000" w:rsidDel="00000000" w:rsidP="00000000" w:rsidRDefault="00000000" w:rsidRPr="00000000" w14:paraId="000000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Automation is used for repeatable data handling, not for choosing institutional rules. GitHub Actions refresh four keyless federal connectors each hour: USGS earthquakes, NWS alerts, NHC tropical cyclones, and NIFC/WFIGS wildfires. Deep-case builders ingest raw registries, construct H3 r9 products, validate them, and register their lineage without manual low-level cleaning. Ray does not decide which pipeline to run.</w:t>
      </w:r>
    </w:p>
    <w:p w:rsidR="00000000" w:rsidDel="00000000" w:rsidP="00000000" w:rsidRDefault="00000000" w:rsidRPr="00000000" w14:paraId="00000028">
      <w:pPr>
        <w:keepNext w:val="1"/>
        <w:spacing w:after="8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Table 2. </w:t>
      </w:r>
      <w:r w:rsidDel="00000000" w:rsidR="00000000" w:rsidRPr="00000000">
        <w:rPr>
          <w:rFonts w:ascii="Times New Roman" w:cs="Times New Roman" w:eastAsia="Times New Roman" w:hAnsi="Times New Roman"/>
          <w:color w:val="000000"/>
          <w:rtl w:val="0"/>
        </w:rPr>
        <w:t xml:space="preserve">Boundary between automation and human control</w:t>
      </w:r>
    </w:p>
    <w:tbl>
      <w:tblPr>
        <w:tblStyle w:val="Table2"/>
        <w:tblW w:w="9360.0" w:type="dxa"/>
        <w:jc w:val="left"/>
        <w:tblInd w:w="120.0" w:type="dxa"/>
        <w:tblBorders>
          <w:top w:color="d6dee8" w:space="0" w:sz="4" w:val="single"/>
          <w:left w:color="d6dee8" w:space="0" w:sz="4" w:val="single"/>
          <w:bottom w:color="d6dee8" w:space="0" w:sz="4" w:val="single"/>
          <w:right w:color="d6dee8" w:space="0" w:sz="4" w:val="single"/>
          <w:insideH w:color="d6dee8" w:space="0" w:sz="4" w:val="single"/>
          <w:insideV w:color="d6dee8" w:space="0" w:sz="4" w:val="single"/>
        </w:tblBorders>
        <w:tblLayout w:type="fixed"/>
        <w:tblLook w:val="0400"/>
      </w:tblPr>
      <w:tblGrid>
        <w:gridCol w:w="2300"/>
        <w:gridCol w:w="3000"/>
        <w:gridCol w:w="4060"/>
        <w:tblGridChange w:id="0">
          <w:tblGrid>
            <w:gridCol w:w="2300"/>
            <w:gridCol w:w="3000"/>
            <w:gridCol w:w="4060"/>
          </w:tblGrid>
        </w:tblGridChange>
      </w:tblGrid>
      <w:tr>
        <w:trPr>
          <w:cantSplit w:val="1"/>
          <w:tblHeader w:val="1"/>
        </w:trPr>
        <w:tc>
          <w:tcPr>
            <w:shd w:fill="f2f4f7" w:val="clear"/>
            <w:tcMar>
              <w:top w:w="80.0" w:type="dxa"/>
              <w:left w:w="120.0" w:type="dxa"/>
              <w:bottom w:w="80.0" w:type="dxa"/>
              <w:right w:w="120.0" w:type="dxa"/>
            </w:tcMar>
            <w:vAlign w:val="center"/>
          </w:tcPr>
          <w:p w:rsidR="00000000" w:rsidDel="00000000" w:rsidP="00000000" w:rsidRDefault="00000000" w:rsidRPr="00000000" w14:paraId="00000029">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Decision</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2A">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Who or what decides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2B">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Recorded consequence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2C">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When data pipelines run</w:t>
            </w:r>
          </w:p>
        </w:tc>
        <w:tc>
          <w:tcPr>
            <w:tcMar>
              <w:top w:w="80.0" w:type="dxa"/>
              <w:left w:w="120.0" w:type="dxa"/>
              <w:bottom w:w="80.0" w:type="dxa"/>
              <w:right w:w="120.0" w:type="dxa"/>
            </w:tcMar>
            <w:vAlign w:val="center"/>
          </w:tcPr>
          <w:p w:rsidR="00000000" w:rsidDel="00000000" w:rsidP="00000000" w:rsidRDefault="00000000" w:rsidRPr="00000000" w14:paraId="0000002D">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Scheduled workflows and explicit build scripts</w:t>
            </w:r>
          </w:p>
        </w:tc>
        <w:tc>
          <w:tcPr>
            <w:tcMar>
              <w:top w:w="80.0" w:type="dxa"/>
              <w:left w:w="120.0" w:type="dxa"/>
              <w:bottom w:w="80.0" w:type="dxa"/>
              <w:right w:w="120.0" w:type="dxa"/>
            </w:tcMar>
            <w:vAlign w:val="center"/>
          </w:tcPr>
          <w:p w:rsidR="00000000" w:rsidDel="00000000" w:rsidP="00000000" w:rsidRDefault="00000000" w:rsidRPr="00000000" w14:paraId="0000002E">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Every success or failure creates an audit record.</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2F">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Whether a request is allowed</w:t>
            </w:r>
          </w:p>
        </w:tc>
        <w:tc>
          <w:tcPr>
            <w:tcMar>
              <w:top w:w="80.0" w:type="dxa"/>
              <w:left w:w="120.0" w:type="dxa"/>
              <w:bottom w:w="80.0" w:type="dxa"/>
              <w:right w:w="120.0" w:type="dxa"/>
            </w:tcMar>
            <w:vAlign w:val="center"/>
          </w:tcPr>
          <w:p w:rsidR="00000000" w:rsidDel="00000000" w:rsidP="00000000" w:rsidRDefault="00000000" w:rsidRPr="00000000" w14:paraId="00000030">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Deterministic claim policy</w:t>
            </w:r>
          </w:p>
        </w:tc>
        <w:tc>
          <w:tcPr>
            <w:tcMar>
              <w:top w:w="80.0" w:type="dxa"/>
              <w:left w:w="120.0" w:type="dxa"/>
              <w:bottom w:w="80.0" w:type="dxa"/>
              <w:right w:w="120.0" w:type="dxa"/>
            </w:tcMar>
            <w:vAlign w:val="center"/>
          </w:tcPr>
          <w:p w:rsidR="00000000" w:rsidDel="00000000" w:rsidP="00000000" w:rsidRDefault="00000000" w:rsidRPr="00000000" w14:paraId="00000031">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Denied requests name the rule and do not reach the model.</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32">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Which evidence reaches the model</w:t>
            </w:r>
          </w:p>
        </w:tc>
        <w:tc>
          <w:tcPr>
            <w:tcMar>
              <w:top w:w="80.0" w:type="dxa"/>
              <w:left w:w="120.0" w:type="dxa"/>
              <w:bottom w:w="80.0" w:type="dxa"/>
              <w:right w:w="120.0" w:type="dxa"/>
            </w:tcMar>
            <w:vAlign w:val="center"/>
          </w:tcPr>
          <w:p w:rsidR="00000000" w:rsidDel="00000000" w:rsidP="00000000" w:rsidRDefault="00000000" w:rsidRPr="00000000" w14:paraId="00000033">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Manifest-scoped evidence store</w:t>
            </w:r>
          </w:p>
        </w:tc>
        <w:tc>
          <w:tcPr>
            <w:tcMar>
              <w:top w:w="80.0" w:type="dxa"/>
              <w:left w:w="120.0" w:type="dxa"/>
              <w:bottom w:w="80.0" w:type="dxa"/>
              <w:right w:w="120.0" w:type="dxa"/>
            </w:tcMar>
            <w:vAlign w:val="center"/>
          </w:tcPr>
          <w:p w:rsidR="00000000" w:rsidDel="00000000" w:rsidP="00000000" w:rsidRDefault="00000000" w:rsidRPr="00000000" w14:paraId="00000034">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Unknown, unpublished, and model-derived products are excluded.</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35">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How damage and SVI are weighted</w:t>
            </w:r>
          </w:p>
        </w:tc>
        <w:tc>
          <w:tcPr>
            <w:tcMar>
              <w:top w:w="80.0" w:type="dxa"/>
              <w:left w:w="120.0" w:type="dxa"/>
              <w:bottom w:w="80.0" w:type="dxa"/>
              <w:right w:w="120.0" w:type="dxa"/>
            </w:tcMar>
            <w:vAlign w:val="center"/>
          </w:tcPr>
          <w:p w:rsidR="00000000" w:rsidDel="00000000" w:rsidP="00000000" w:rsidRDefault="00000000" w:rsidRPr="00000000" w14:paraId="00000036">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Planner-selected parameter t in t * damage + (1 - t) * SVI</w:t>
            </w:r>
          </w:p>
        </w:tc>
        <w:tc>
          <w:tcPr>
            <w:tcMar>
              <w:top w:w="80.0" w:type="dxa"/>
              <w:left w:w="120.0" w:type="dxa"/>
              <w:bottom w:w="80.0" w:type="dxa"/>
              <w:right w:w="120.0" w:type="dxa"/>
            </w:tcMar>
            <w:vAlign w:val="center"/>
          </w:tcPr>
          <w:p w:rsidR="00000000" w:rsidDel="00000000" w:rsidP="00000000" w:rsidRDefault="00000000" w:rsidRPr="00000000" w14:paraId="00000037">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Partial inputs are flagged and adjustments are recorded for the session.</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38">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How an answer is worded</w:t>
            </w:r>
          </w:p>
        </w:tc>
        <w:tc>
          <w:tcPr>
            <w:tcMar>
              <w:top w:w="80.0" w:type="dxa"/>
              <w:left w:w="120.0" w:type="dxa"/>
              <w:bottom w:w="80.0" w:type="dxa"/>
              <w:right w:w="120.0" w:type="dxa"/>
            </w:tcMar>
            <w:vAlign w:val="center"/>
          </w:tcPr>
          <w:p w:rsidR="00000000" w:rsidDel="00000000" w:rsidP="00000000" w:rsidRDefault="00000000" w:rsidRPr="00000000" w14:paraId="00000039">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LLM grounded only in the authorized evidence block</w:t>
            </w:r>
          </w:p>
        </w:tc>
        <w:tc>
          <w:tcPr>
            <w:tcMar>
              <w:top w:w="80.0" w:type="dxa"/>
              <w:left w:w="120.0" w:type="dxa"/>
              <w:bottom w:w="80.0" w:type="dxa"/>
              <w:right w:w="120.0" w:type="dxa"/>
            </w:tcMar>
            <w:vAlign w:val="center"/>
          </w:tcPr>
          <w:p w:rsidR="00000000" w:rsidDel="00000000" w:rsidP="00000000" w:rsidRDefault="00000000" w:rsidRPr="00000000" w14:paraId="0000003A">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Every factual sentence must cite an artifact or the answer is refused after at most three drafts.</w:t>
            </w:r>
          </w:p>
        </w:tc>
      </w:tr>
    </w:tbl>
    <w:p w:rsidR="00000000" w:rsidDel="00000000" w:rsidP="00000000" w:rsidRDefault="00000000" w:rsidRPr="00000000" w14:paraId="0000003B">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Data, Case Studies, and Robustness</w:t>
      </w:r>
    </w:p>
    <w:p w:rsidR="00000000" w:rsidDel="00000000" w:rsidP="00000000" w:rsidRDefault="00000000" w:rsidRPr="00000000" w14:paraId="000000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deep-case builders use a hashed registry of 134,272 files (about 33 GB) and a common severity crosswalk. The registry includes sources that cannot be redistributed, so the repository supports verification of committed artifacts and audit records but not full regeneration from a fresh clone. Sentinel values and source disagreements are handled explicitly: CDC's -999 is counted as missing, and 182 disagreements among 2,556 Milton pairs were resolved in favor of the published pair table while the discrepancy was recorded.</w:t>
      </w:r>
    </w:p>
    <w:p w:rsidR="00000000" w:rsidDel="00000000" w:rsidP="00000000" w:rsidRDefault="00000000" w:rsidRPr="00000000" w14:paraId="0000003D">
      <w:pPr>
        <w:keepNext w:val="1"/>
        <w:spacing w:after="8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Table 3. </w:t>
      </w:r>
      <w:r w:rsidDel="00000000" w:rsidR="00000000" w:rsidRPr="00000000">
        <w:rPr>
          <w:rFonts w:ascii="Times New Roman" w:cs="Times New Roman" w:eastAsia="Times New Roman" w:hAnsi="Times New Roman"/>
          <w:color w:val="000000"/>
          <w:rtl w:val="0"/>
        </w:rPr>
        <w:t xml:space="preserve">Deep-case products and declared limitations</w:t>
      </w:r>
    </w:p>
    <w:tbl>
      <w:tblPr>
        <w:tblStyle w:val="Table3"/>
        <w:tblW w:w="9360.0" w:type="dxa"/>
        <w:jc w:val="left"/>
        <w:tblInd w:w="120.0" w:type="dxa"/>
        <w:tblBorders>
          <w:top w:color="d6dee8" w:space="0" w:sz="4" w:val="single"/>
          <w:left w:color="d6dee8" w:space="0" w:sz="4" w:val="single"/>
          <w:bottom w:color="d6dee8" w:space="0" w:sz="4" w:val="single"/>
          <w:right w:color="d6dee8" w:space="0" w:sz="4" w:val="single"/>
          <w:insideH w:color="d6dee8" w:space="0" w:sz="4" w:val="single"/>
          <w:insideV w:color="d6dee8" w:space="0" w:sz="4" w:val="single"/>
        </w:tblBorders>
        <w:tblLayout w:type="fixed"/>
        <w:tblLook w:val="0400"/>
      </w:tblPr>
      <w:tblGrid>
        <w:gridCol w:w="1450"/>
        <w:gridCol w:w="3300"/>
        <w:gridCol w:w="1650"/>
        <w:gridCol w:w="2960"/>
        <w:tblGridChange w:id="0">
          <w:tblGrid>
            <w:gridCol w:w="1450"/>
            <w:gridCol w:w="3300"/>
            <w:gridCol w:w="1650"/>
            <w:gridCol w:w="2960"/>
          </w:tblGrid>
        </w:tblGridChange>
      </w:tblGrid>
      <w:tr>
        <w:trPr>
          <w:cantSplit w:val="1"/>
          <w:tblHeader w:val="1"/>
        </w:trPr>
        <w:tc>
          <w:tcPr>
            <w:shd w:fill="f2f4f7" w:val="clear"/>
            <w:tcMar>
              <w:top w:w="80.0" w:type="dxa"/>
              <w:left w:w="120.0" w:type="dxa"/>
              <w:bottom w:w="80.0" w:type="dxa"/>
              <w:right w:w="120.0" w:type="dxa"/>
            </w:tcMar>
            <w:vAlign w:val="center"/>
          </w:tcPr>
          <w:p w:rsidR="00000000" w:rsidDel="00000000" w:rsidP="00000000" w:rsidRDefault="00000000" w:rsidRPr="00000000" w14:paraId="0000003E">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Case</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3F">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Evidence and spatial products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40">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Exposure and context</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41">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Declared limitation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42">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Eaton Fire 2025</w:t>
              <w:br w:type="textWrapping"/>
              <w:t xml:space="preserve">California</w:t>
            </w:r>
          </w:p>
        </w:tc>
        <w:tc>
          <w:tcPr>
            <w:tcMar>
              <w:top w:w="80.0" w:type="dxa"/>
              <w:left w:w="120.0" w:type="dxa"/>
              <w:bottom w:w="80.0" w:type="dxa"/>
              <w:right w:w="120.0" w:type="dxa"/>
            </w:tcMar>
            <w:vAlign w:val="center"/>
          </w:tcPr>
          <w:p w:rsidR="00000000" w:rsidDel="00000000" w:rsidP="00000000" w:rsidRDefault="00000000" w:rsidRPr="00000000" w14:paraId="00000043">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18,428 CAL FIRE DINS points -&gt; 265 damage cells; 2,244 cross-view samples -&gt; 109 evidence cells; CDC SVI from 20 tracts.</w:t>
            </w:r>
          </w:p>
        </w:tc>
        <w:tc>
          <w:tcPr>
            <w:tcMar>
              <w:top w:w="80.0" w:type="dxa"/>
              <w:left w:w="120.0" w:type="dxa"/>
              <w:bottom w:w="80.0" w:type="dxa"/>
              <w:right w:w="120.0" w:type="dxa"/>
            </w:tcMar>
            <w:vAlign w:val="center"/>
          </w:tcPr>
          <w:p w:rsidR="00000000" w:rsidDel="00000000" w:rsidP="00000000" w:rsidRDefault="00000000" w:rsidRPr="00000000" w14:paraId="00000044">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46,341 residents; 27 OSM facilities.</w:t>
            </w:r>
          </w:p>
        </w:tc>
        <w:tc>
          <w:tcPr>
            <w:tcMar>
              <w:top w:w="80.0" w:type="dxa"/>
              <w:left w:w="120.0" w:type="dxa"/>
              <w:bottom w:w="80.0" w:type="dxa"/>
              <w:right w:w="120.0" w:type="dxa"/>
            </w:tcMar>
            <w:vAlign w:val="center"/>
          </w:tcPr>
          <w:p w:rsidR="00000000" w:rsidDel="00000000" w:rsidP="00000000" w:rsidRDefault="00000000" w:rsidRPr="00000000" w14:paraId="00000045">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40 DINS points are inaccessible; the repairable class has n = 30; tract-to-cell SVI is an approximation.</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46">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Hurricane Milton 2024</w:t>
              <w:br w:type="textWrapping"/>
              <w:t xml:space="preserve">Florida</w:t>
            </w:r>
          </w:p>
        </w:tc>
        <w:tc>
          <w:tcPr>
            <w:tcMar>
              <w:top w:w="80.0" w:type="dxa"/>
              <w:left w:w="120.0" w:type="dxa"/>
              <w:bottom w:w="80.0" w:type="dxa"/>
              <w:right w:w="120.0" w:type="dxa"/>
            </w:tcMar>
            <w:vAlign w:val="center"/>
          </w:tcPr>
          <w:p w:rsidR="00000000" w:rsidDel="00000000" w:rsidP="00000000" w:rsidRDefault="00000000" w:rsidRPr="00000000" w14:paraId="00000047">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2,556 labelled pre/post pairs -&gt; 15 evidence cells; 5,618 Pinellas debris cells with wind and rain covariates.</w:t>
            </w:r>
          </w:p>
        </w:tc>
        <w:tc>
          <w:tcPr>
            <w:tcMar>
              <w:top w:w="80.0" w:type="dxa"/>
              <w:left w:w="120.0" w:type="dxa"/>
              <w:bottom w:w="80.0" w:type="dxa"/>
              <w:right w:w="120.0" w:type="dxa"/>
            </w:tcMar>
            <w:vAlign w:val="center"/>
          </w:tcPr>
          <w:p w:rsidR="00000000" w:rsidDel="00000000" w:rsidP="00000000" w:rsidRDefault="00000000" w:rsidRPr="00000000" w14:paraId="00000048">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772,293 residents; 200 OSM facilities across two AOIs.</w:t>
            </w:r>
          </w:p>
        </w:tc>
        <w:tc>
          <w:tcPr>
            <w:tcMar>
              <w:top w:w="80.0" w:type="dxa"/>
              <w:left w:w="120.0" w:type="dxa"/>
              <w:bottom w:w="80.0" w:type="dxa"/>
              <w:right w:w="120.0" w:type="dxa"/>
            </w:tcMar>
            <w:vAlign w:val="center"/>
          </w:tcPr>
          <w:p w:rsidR="00000000" w:rsidDel="00000000" w:rsidP="00000000" w:rsidRDefault="00000000" w:rsidRPr="00000000" w14:paraId="00000049">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Post-event imagery is cumulative for the 2024 season, so observed damage cannot be assigned to Milton alone.</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4A">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Hurricane Ian 2022</w:t>
              <w:br w:type="textWrapping"/>
              <w:t xml:space="preserve">Florida</w:t>
            </w:r>
          </w:p>
        </w:tc>
        <w:tc>
          <w:tcPr>
            <w:tcMar>
              <w:top w:w="80.0" w:type="dxa"/>
              <w:left w:w="120.0" w:type="dxa"/>
              <w:bottom w:w="80.0" w:type="dxa"/>
              <w:right w:w="120.0" w:type="dxa"/>
            </w:tcMar>
            <w:vAlign w:val="center"/>
          </w:tcPr>
          <w:p w:rsidR="00000000" w:rsidDel="00000000" w:rsidP="00000000" w:rsidRDefault="00000000" w:rsidRPr="00000000" w14:paraId="0000004B">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886 matched samples -&gt; 190 evidence cells; 4,121 additional positions -&gt; 413 density-only cells.</w:t>
            </w:r>
          </w:p>
        </w:tc>
        <w:tc>
          <w:tcPr>
            <w:tcMar>
              <w:top w:w="80.0" w:type="dxa"/>
              <w:left w:w="120.0" w:type="dxa"/>
              <w:bottom w:w="80.0" w:type="dxa"/>
              <w:right w:w="120.0" w:type="dxa"/>
            </w:tcMar>
            <w:vAlign w:val="center"/>
          </w:tcPr>
          <w:p w:rsidR="00000000" w:rsidDel="00000000" w:rsidP="00000000" w:rsidRDefault="00000000" w:rsidRPr="00000000" w14:paraId="0000004C">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5,428 residents; 79 OSM facilities.</w:t>
            </w:r>
          </w:p>
        </w:tc>
        <w:tc>
          <w:tcPr>
            <w:tcMar>
              <w:top w:w="80.0" w:type="dxa"/>
              <w:left w:w="120.0" w:type="dxa"/>
              <w:bottom w:w="80.0" w:type="dxa"/>
              <w:right w:w="120.0" w:type="dxa"/>
            </w:tcMar>
            <w:vAlign w:val="center"/>
          </w:tcPr>
          <w:p w:rsidR="00000000" w:rsidDel="00000000" w:rsidP="00000000" w:rsidRDefault="00000000" w:rsidRPr="00000000" w14:paraId="0000004D">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density layer has no verifiable point-level severity link and supports coverage claims only.</w:t>
            </w:r>
          </w:p>
        </w:tc>
      </w:tr>
    </w:tbl>
    <w:p w:rsidR="00000000" w:rsidDel="00000000" w:rsidP="00000000" w:rsidRDefault="00000000" w:rsidRPr="00000000" w14:paraId="0000004E">
      <w:pPr>
        <w:spacing w:before="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AOI = area of interest. Population uses 2020 Census blocks and is reported as pre-event exposure. Facilities are OpenStreetMap presence records, not operational-status claims.</w:t>
      </w:r>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3.1 Handling Missing, Failed, and Misaligned Data</w:t>
      </w:r>
    </w:p>
    <w:p w:rsidR="00000000" w:rsidDel="00000000" w:rsidP="00000000" w:rsidRDefault="00000000" w:rsidRPr="00000000" w14:paraId="000000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Robustness is implemented as explicit behavior for predictable failure modes. The system distinguishes an empty result from a failed source, an address outside evaluated areas from a layer that could not be read, and mapped population from population outside the evidence footprint.</w:t>
      </w:r>
    </w:p>
    <w:p w:rsidR="00000000" w:rsidDel="00000000" w:rsidP="00000000" w:rsidRDefault="00000000" w:rsidRPr="00000000" w14:paraId="00000051">
      <w:pPr>
        <w:keepNext w:val="1"/>
        <w:spacing w:after="8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Table 4. </w:t>
      </w:r>
      <w:r w:rsidDel="00000000" w:rsidR="00000000" w:rsidRPr="00000000">
        <w:rPr>
          <w:rFonts w:ascii="Times New Roman" w:cs="Times New Roman" w:eastAsia="Times New Roman" w:hAnsi="Times New Roman"/>
          <w:color w:val="000000"/>
          <w:rtl w:val="0"/>
        </w:rPr>
        <w:t xml:space="preserve">Examples of failure handling in the implemented system</w:t>
      </w:r>
    </w:p>
    <w:tbl>
      <w:tblPr>
        <w:tblStyle w:val="Table4"/>
        <w:tblW w:w="9360.0" w:type="dxa"/>
        <w:jc w:val="left"/>
        <w:tblInd w:w="120.0" w:type="dxa"/>
        <w:tblBorders>
          <w:top w:color="d6dee8" w:space="0" w:sz="4" w:val="single"/>
          <w:left w:color="d6dee8" w:space="0" w:sz="4" w:val="single"/>
          <w:bottom w:color="d6dee8" w:space="0" w:sz="4" w:val="single"/>
          <w:right w:color="d6dee8" w:space="0" w:sz="4" w:val="single"/>
          <w:insideH w:color="d6dee8" w:space="0" w:sz="4" w:val="single"/>
          <w:insideV w:color="d6dee8" w:space="0" w:sz="4" w:val="single"/>
        </w:tblBorders>
        <w:tblLayout w:type="fixed"/>
        <w:tblLook w:val="0400"/>
      </w:tblPr>
      <w:tblGrid>
        <w:gridCol w:w="2300"/>
        <w:gridCol w:w="3760"/>
        <w:gridCol w:w="3300"/>
        <w:tblGridChange w:id="0">
          <w:tblGrid>
            <w:gridCol w:w="2300"/>
            <w:gridCol w:w="3760"/>
            <w:gridCol w:w="3300"/>
          </w:tblGrid>
        </w:tblGridChange>
      </w:tblGrid>
      <w:tr>
        <w:trPr>
          <w:cantSplit w:val="1"/>
          <w:tblHeader w:val="1"/>
        </w:trPr>
        <w:tc>
          <w:tcPr>
            <w:shd w:fill="f2f4f7" w:val="clear"/>
            <w:tcMar>
              <w:top w:w="80.0" w:type="dxa"/>
              <w:left w:w="120.0" w:type="dxa"/>
              <w:bottom w:w="80.0" w:type="dxa"/>
              <w:right w:w="120.0" w:type="dxa"/>
            </w:tcMar>
            <w:vAlign w:val="center"/>
          </w:tcPr>
          <w:p w:rsidR="00000000" w:rsidDel="00000000" w:rsidP="00000000" w:rsidRDefault="00000000" w:rsidRPr="00000000" w14:paraId="00000052">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Condition</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53">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System response</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54">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Why it matters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55">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Federal source fails</w:t>
            </w:r>
          </w:p>
        </w:tc>
        <w:tc>
          <w:tcPr>
            <w:tcMar>
              <w:top w:w="80.0" w:type="dxa"/>
              <w:left w:w="120.0" w:type="dxa"/>
              <w:bottom w:w="80.0" w:type="dxa"/>
              <w:right w:w="120.0" w:type="dxa"/>
            </w:tcMar>
            <w:vAlign w:val="center"/>
          </w:tcPr>
          <w:p w:rsidR="00000000" w:rsidDel="00000000" w:rsidP="00000000" w:rsidRDefault="00000000" w:rsidRPr="00000000" w14:paraId="00000056">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source is named as failed; the watch reports mapped-of-total rather than silently dropping it.</w:t>
            </w:r>
          </w:p>
        </w:tc>
        <w:tc>
          <w:tcPr>
            <w:tcMar>
              <w:top w:w="80.0" w:type="dxa"/>
              <w:left w:w="120.0" w:type="dxa"/>
              <w:bottom w:w="80.0" w:type="dxa"/>
              <w:right w:w="120.0" w:type="dxa"/>
            </w:tcMar>
            <w:vAlign w:val="center"/>
          </w:tcPr>
          <w:p w:rsidR="00000000" w:rsidDel="00000000" w:rsidP="00000000" w:rsidRDefault="00000000" w:rsidRPr="00000000" w14:paraId="00000057">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feed outage is not presented as an absence of hazards.</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58">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ArcGIS returns an error envelope</w:t>
            </w:r>
          </w:p>
        </w:tc>
        <w:tc>
          <w:tcPr>
            <w:tcMar>
              <w:top w:w="80.0" w:type="dxa"/>
              <w:left w:w="120.0" w:type="dxa"/>
              <w:bottom w:w="80.0" w:type="dxa"/>
              <w:right w:w="120.0" w:type="dxa"/>
            </w:tcMar>
            <w:vAlign w:val="center"/>
          </w:tcPr>
          <w:p w:rsidR="00000000" w:rsidDel="00000000" w:rsidP="00000000" w:rsidRDefault="00000000" w:rsidRPr="00000000" w14:paraId="00000059">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wildfire connector stops instead of returning zero fires.</w:t>
            </w:r>
          </w:p>
        </w:tc>
        <w:tc>
          <w:tcPr>
            <w:tcMar>
              <w:top w:w="80.0" w:type="dxa"/>
              <w:left w:w="120.0" w:type="dxa"/>
              <w:bottom w:w="80.0" w:type="dxa"/>
              <w:right w:w="120.0" w:type="dxa"/>
            </w:tcMar>
            <w:vAlign w:val="center"/>
          </w:tcPr>
          <w:p w:rsidR="00000000" w:rsidDel="00000000" w:rsidP="00000000" w:rsidRDefault="00000000" w:rsidRPr="00000000" w14:paraId="0000005A">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service error cannot become a false all-clear.</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5B">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Palisades image lacks EXIF GPS (42 of 295)</w:t>
            </w:r>
          </w:p>
        </w:tc>
        <w:tc>
          <w:tcPr>
            <w:tcMar>
              <w:top w:w="80.0" w:type="dxa"/>
              <w:left w:w="120.0" w:type="dxa"/>
              <w:bottom w:w="80.0" w:type="dxa"/>
              <w:right w:w="120.0" w:type="dxa"/>
            </w:tcMar>
            <w:vAlign w:val="center"/>
          </w:tcPr>
          <w:p w:rsidR="00000000" w:rsidDel="00000000" w:rsidP="00000000" w:rsidRDefault="00000000" w:rsidRPr="00000000" w14:paraId="0000005C">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product reports that the grid covers geolocated images only.</w:t>
            </w:r>
          </w:p>
        </w:tc>
        <w:tc>
          <w:tcPr>
            <w:tcMar>
              <w:top w:w="80.0" w:type="dxa"/>
              <w:left w:w="120.0" w:type="dxa"/>
              <w:bottom w:w="80.0" w:type="dxa"/>
              <w:right w:w="120.0" w:type="dxa"/>
            </w:tcMar>
            <w:vAlign w:val="center"/>
          </w:tcPr>
          <w:p w:rsidR="00000000" w:rsidDel="00000000" w:rsidP="00000000" w:rsidRDefault="00000000" w:rsidRPr="00000000" w14:paraId="0000005D">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Coverage is not inferred for unlocated samples.</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5E">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Administrative and grid units differ</w:t>
            </w:r>
          </w:p>
        </w:tc>
        <w:tc>
          <w:tcPr>
            <w:tcMar>
              <w:top w:w="80.0" w:type="dxa"/>
              <w:left w:w="120.0" w:type="dxa"/>
              <w:bottom w:w="80.0" w:type="dxa"/>
              <w:right w:w="120.0" w:type="dxa"/>
            </w:tcMar>
            <w:vAlign w:val="center"/>
          </w:tcPr>
          <w:p w:rsidR="00000000" w:rsidDel="00000000" w:rsidP="00000000" w:rsidRDefault="00000000" w:rsidRPr="00000000" w14:paraId="0000005F">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SVI is attached by point-in-polygon and marked as tract-to-cell downscaling; census blocks are assigned by centroid.</w:t>
            </w:r>
          </w:p>
        </w:tc>
        <w:tc>
          <w:tcPr>
            <w:tcMar>
              <w:top w:w="80.0" w:type="dxa"/>
              <w:left w:w="120.0" w:type="dxa"/>
              <w:bottom w:w="80.0" w:type="dxa"/>
              <w:right w:w="120.0" w:type="dxa"/>
            </w:tcMar>
            <w:vAlign w:val="center"/>
          </w:tcPr>
          <w:p w:rsidR="00000000" w:rsidDel="00000000" w:rsidP="00000000" w:rsidRDefault="00000000" w:rsidRPr="00000000" w14:paraId="00000060">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states the approximation rather than implying areal precision.</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61">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Model times out or cannot load</w:t>
            </w:r>
          </w:p>
        </w:tc>
        <w:tc>
          <w:tcPr>
            <w:tcMar>
              <w:top w:w="80.0" w:type="dxa"/>
              <w:left w:w="120.0" w:type="dxa"/>
              <w:bottom w:w="80.0" w:type="dxa"/>
              <w:right w:w="120.0" w:type="dxa"/>
            </w:tcMar>
            <w:vAlign w:val="center"/>
          </w:tcPr>
          <w:p w:rsidR="00000000" w:rsidDel="00000000" w:rsidP="00000000" w:rsidRDefault="00000000" w:rsidRPr="00000000" w14:paraId="00000062">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response is recorded as unanswered or as a serving failure and is not converted to a class label.</w:t>
            </w:r>
          </w:p>
        </w:tc>
        <w:tc>
          <w:tcPr>
            <w:tcMar>
              <w:top w:w="80.0" w:type="dxa"/>
              <w:left w:w="120.0" w:type="dxa"/>
              <w:bottom w:w="80.0" w:type="dxa"/>
              <w:right w:w="120.0" w:type="dxa"/>
            </w:tcMar>
            <w:vAlign w:val="center"/>
          </w:tcPr>
          <w:p w:rsidR="00000000" w:rsidDel="00000000" w:rsidP="00000000" w:rsidRDefault="00000000" w:rsidRPr="00000000" w14:paraId="00000063">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Availability problems remain separate from model accuracy.</w:t>
            </w:r>
          </w:p>
        </w:tc>
      </w:tr>
    </w:tbl>
    <w:p w:rsidR="00000000" w:rsidDel="00000000" w:rsidP="00000000" w:rsidRDefault="00000000" w:rsidRPr="00000000" w14:paraId="00000064">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Social-Good Alignment</w:t>
      </w:r>
    </w:p>
    <w:p w:rsidR="00000000" w:rsidDel="00000000" w:rsidP="00000000" w:rsidRDefault="00000000" w:rsidRPr="00000000" w14:paraId="000000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uses established measures and exposes the remaining value choices. It does not create a new vulnerability index, infer event-time population, or treat a model prediction as observed damage.</w:t>
      </w:r>
    </w:p>
    <w:p w:rsidR="00000000" w:rsidDel="00000000" w:rsidP="00000000" w:rsidRDefault="00000000" w:rsidRPr="00000000" w14:paraId="00000066">
      <w:pPr>
        <w:keepNext w:val="1"/>
        <w:spacing w:after="8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Table 5. </w:t>
      </w:r>
      <w:r w:rsidDel="00000000" w:rsidR="00000000" w:rsidRPr="00000000">
        <w:rPr>
          <w:rFonts w:ascii="Times New Roman" w:cs="Times New Roman" w:eastAsia="Times New Roman" w:hAnsi="Times New Roman"/>
          <w:color w:val="000000"/>
          <w:rtl w:val="0"/>
        </w:rPr>
        <w:t xml:space="preserve">Operational definitions used by RAY</w:t>
      </w:r>
    </w:p>
    <w:tbl>
      <w:tblPr>
        <w:tblStyle w:val="Table5"/>
        <w:tblW w:w="9360.0" w:type="dxa"/>
        <w:jc w:val="left"/>
        <w:tblInd w:w="120.0" w:type="dxa"/>
        <w:tblBorders>
          <w:top w:color="d6dee8" w:space="0" w:sz="4" w:val="single"/>
          <w:left w:color="d6dee8" w:space="0" w:sz="4" w:val="single"/>
          <w:bottom w:color="d6dee8" w:space="0" w:sz="4" w:val="single"/>
          <w:right w:color="d6dee8" w:space="0" w:sz="4" w:val="single"/>
          <w:insideH w:color="d6dee8" w:space="0" w:sz="4" w:val="single"/>
          <w:insideV w:color="d6dee8" w:space="0" w:sz="4" w:val="single"/>
        </w:tblBorders>
        <w:tblLayout w:type="fixed"/>
        <w:tblLook w:val="0400"/>
      </w:tblPr>
      <w:tblGrid>
        <w:gridCol w:w="1600"/>
        <w:gridCol w:w="4520"/>
        <w:gridCol w:w="3240"/>
        <w:tblGridChange w:id="0">
          <w:tblGrid>
            <w:gridCol w:w="1600"/>
            <w:gridCol w:w="4520"/>
            <w:gridCol w:w="3240"/>
          </w:tblGrid>
        </w:tblGridChange>
      </w:tblGrid>
      <w:tr>
        <w:trPr>
          <w:cantSplit w:val="1"/>
          <w:tblHeader w:val="1"/>
        </w:trPr>
        <w:tc>
          <w:tcPr>
            <w:shd w:fill="f2f4f7" w:val="clear"/>
            <w:tcMar>
              <w:top w:w="80.0" w:type="dxa"/>
              <w:left w:w="120.0" w:type="dxa"/>
              <w:bottom w:w="80.0" w:type="dxa"/>
              <w:right w:w="120.0" w:type="dxa"/>
            </w:tcMar>
            <w:vAlign w:val="center"/>
          </w:tcPr>
          <w:p w:rsidR="00000000" w:rsidDel="00000000" w:rsidP="00000000" w:rsidRDefault="00000000" w:rsidRPr="00000000" w14:paraId="00000067">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Concept</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68">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Operational definition</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69">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Control or caveat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6A">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Vulnerability</w:t>
            </w:r>
          </w:p>
        </w:tc>
        <w:tc>
          <w:tcPr>
            <w:tcMar>
              <w:top w:w="80.0" w:type="dxa"/>
              <w:left w:w="120.0" w:type="dxa"/>
              <w:bottom w:w="80.0" w:type="dxa"/>
              <w:right w:w="120.0" w:type="dxa"/>
            </w:tcMar>
            <w:vAlign w:val="center"/>
          </w:tcPr>
          <w:p w:rsidR="00000000" w:rsidDel="00000000" w:rsidP="00000000" w:rsidRDefault="00000000" w:rsidRPr="00000000" w14:paraId="0000006B">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CDC/ATSDR SVI 2022 overall and theme percentile ranks for the tract containing an H3 cell.</w:t>
            </w:r>
          </w:p>
        </w:tc>
        <w:tc>
          <w:tcPr>
            <w:tcMar>
              <w:top w:w="80.0" w:type="dxa"/>
              <w:left w:w="120.0" w:type="dxa"/>
              <w:bottom w:w="80.0" w:type="dxa"/>
              <w:right w:w="120.0" w:type="dxa"/>
            </w:tcMar>
            <w:vAlign w:val="center"/>
          </w:tcPr>
          <w:p w:rsidR="00000000" w:rsidDel="00000000" w:rsidP="00000000" w:rsidRDefault="00000000" w:rsidRPr="00000000" w14:paraId="0000006C">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Published as a tract measure; cell-level display carries a downscaling caveat.</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6D">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Exposure</w:t>
            </w:r>
          </w:p>
        </w:tc>
        <w:tc>
          <w:tcPr>
            <w:tcMar>
              <w:top w:w="80.0" w:type="dxa"/>
              <w:left w:w="120.0" w:type="dxa"/>
              <w:bottom w:w="80.0" w:type="dxa"/>
              <w:right w:w="120.0" w:type="dxa"/>
            </w:tcMar>
            <w:vAlign w:val="center"/>
          </w:tcPr>
          <w:p w:rsidR="00000000" w:rsidDel="00000000" w:rsidP="00000000" w:rsidRDefault="00000000" w:rsidRPr="00000000" w14:paraId="0000006E">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2020 decennial population by census block, allocated to H3 cells by block centroid.</w:t>
            </w:r>
          </w:p>
        </w:tc>
        <w:tc>
          <w:tcPr>
            <w:tcMar>
              <w:top w:w="80.0" w:type="dxa"/>
              <w:left w:w="120.0" w:type="dxa"/>
              <w:bottom w:w="80.0" w:type="dxa"/>
              <w:right w:w="120.0" w:type="dxa"/>
            </w:tcMar>
            <w:vAlign w:val="center"/>
          </w:tcPr>
          <w:p w:rsidR="00000000" w:rsidDel="00000000" w:rsidP="00000000" w:rsidRDefault="00000000" w:rsidRPr="00000000" w14:paraId="0000006F">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Represents pre-event residential population, not people present during the event.</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70">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Damage</w:t>
            </w:r>
          </w:p>
        </w:tc>
        <w:tc>
          <w:tcPr>
            <w:tcMar>
              <w:top w:w="80.0" w:type="dxa"/>
              <w:left w:w="120.0" w:type="dxa"/>
              <w:bottom w:w="80.0" w:type="dxa"/>
              <w:right w:w="120.0" w:type="dxa"/>
            </w:tcMar>
            <w:vAlign w:val="center"/>
          </w:tcPr>
          <w:p w:rsidR="00000000" w:rsidDel="00000000" w:rsidP="00000000" w:rsidRDefault="00000000" w:rsidRPr="00000000" w14:paraId="00000071">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Official CAL FIRE DINS classes, a repairability mapping derived from them, or human perception labels on image pairs.</w:t>
            </w:r>
          </w:p>
        </w:tc>
        <w:tc>
          <w:tcPr>
            <w:tcMar>
              <w:top w:w="80.0" w:type="dxa"/>
              <w:left w:w="120.0" w:type="dxa"/>
              <w:bottom w:w="80.0" w:type="dxa"/>
              <w:right w:w="120.0" w:type="dxa"/>
            </w:tcMar>
            <w:vAlign w:val="center"/>
          </w:tcPr>
          <w:p w:rsidR="00000000" w:rsidDel="00000000" w:rsidP="00000000" w:rsidRDefault="00000000" w:rsidRPr="00000000" w14:paraId="00000072">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Model output is typed model_derived and is not admitted as claim evidence.</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73">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Priority</w:t>
            </w:r>
          </w:p>
        </w:tc>
        <w:tc>
          <w:tcPr>
            <w:tcMar>
              <w:top w:w="80.0" w:type="dxa"/>
              <w:left w:w="120.0" w:type="dxa"/>
              <w:bottom w:w="80.0" w:type="dxa"/>
              <w:right w:w="120.0" w:type="dxa"/>
            </w:tcMar>
            <w:vAlign w:val="center"/>
          </w:tcPr>
          <w:p w:rsidR="00000000" w:rsidDel="00000000" w:rsidP="00000000" w:rsidRDefault="00000000" w:rsidRPr="00000000" w14:paraId="00000074">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 * damage + (1 - t) * SVI.</w:t>
            </w:r>
          </w:p>
        </w:tc>
        <w:tc>
          <w:tcPr>
            <w:tcMar>
              <w:top w:w="80.0" w:type="dxa"/>
              <w:left w:w="120.0" w:type="dxa"/>
              <w:bottom w:w="80.0" w:type="dxa"/>
              <w:right w:w="120.0" w:type="dxa"/>
            </w:tcMar>
            <w:vAlign w:val="center"/>
          </w:tcPr>
          <w:p w:rsidR="00000000" w:rsidDel="00000000" w:rsidP="00000000" w:rsidRDefault="00000000" w:rsidRPr="00000000" w14:paraId="00000075">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planner chooses t; the system computes and logs the selected trade-off.</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76">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Coverage status</w:t>
            </w:r>
          </w:p>
        </w:tc>
        <w:tc>
          <w:tcPr>
            <w:tcMar>
              <w:top w:w="80.0" w:type="dxa"/>
              <w:left w:w="120.0" w:type="dxa"/>
              <w:bottom w:w="80.0" w:type="dxa"/>
              <w:right w:w="120.0" w:type="dxa"/>
            </w:tcMar>
            <w:vAlign w:val="center"/>
          </w:tcPr>
          <w:p w:rsidR="00000000" w:rsidDel="00000000" w:rsidP="00000000" w:rsidRDefault="00000000" w:rsidRPr="00000000" w14:paraId="00000077">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Covered, outside evaluated areas, or not determined.</w:t>
            </w:r>
          </w:p>
        </w:tc>
        <w:tc>
          <w:tcPr>
            <w:tcMar>
              <w:top w:w="80.0" w:type="dxa"/>
              <w:left w:w="120.0" w:type="dxa"/>
              <w:bottom w:w="80.0" w:type="dxa"/>
              <w:right w:w="120.0" w:type="dxa"/>
            </w:tcMar>
            <w:vAlign w:val="center"/>
          </w:tcPr>
          <w:p w:rsidR="00000000" w:rsidDel="00000000" w:rsidP="00000000" w:rsidRDefault="00000000" w:rsidRPr="00000000" w14:paraId="00000078">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Not determined is used when a required layer cannot be read; it is not collapsed into outside.</w:t>
            </w:r>
          </w:p>
        </w:tc>
      </w:tr>
    </w:tbl>
    <w:p w:rsidR="00000000" w:rsidDel="00000000" w:rsidP="00000000" w:rsidRDefault="00000000" w:rsidRPr="00000000" w14:paraId="000000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Policy rules also limit disclosure. No role receives parcel-level claims. Residents receive exposure context and guidance, not a damage assessment of their home or street. Planners may see tile-level damage only where Tier-3 evidence is available. Facility records appear as map context, but the agent has no rule authorizing claims about hospital or shelter status. These choices reduce the risk of turning coarse or incomplete evidence into confident statements about individuals.</w:t>
      </w:r>
    </w:p>
    <w:p w:rsidR="00000000" w:rsidDel="00000000" w:rsidP="00000000" w:rsidRDefault="00000000" w:rsidRPr="00000000" w14:paraId="000000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current system has not been co-designed with affected communities, and local knowledge does not yet enter the pipeline. The policy file provides a place to encode negotiated definitions and disclosure rules, but that mechanism should not be treated as community participation by itself.</w:t>
      </w:r>
    </w:p>
    <w:p w:rsidR="00000000" w:rsidDel="00000000" w:rsidP="00000000" w:rsidRDefault="00000000" w:rsidRPr="00000000" w14:paraId="0000007B">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 Vision-Language Model Output as Governed Evidence</w:t>
      </w:r>
    </w:p>
    <w:p w:rsidR="00000000" w:rsidDel="00000000" w:rsidP="00000000" w:rsidRDefault="00000000" w:rsidRPr="00000000" w14:paraId="000000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RAY evaluates whether vision-language model output is suitable for later evidence use without granting it that status in advance. The experiments reuse RAPID's published prompts [5]: Prompt C for five-class single-image damage and Prompt B for three-class pre/post change. Each prompt is frozen by SHA-256. Six open models were served locally through one OpenAI-compatible interface on an RTX 3090 with 24 GB of memory. The test sets were Palisades (295 images), Milton (300 seeded pairs), and Eaton (630 post-event images after stratified sampling, including the complete 30-sample minority class).</w:t>
      </w:r>
    </w:p>
    <w:p w:rsidR="00000000" w:rsidDel="00000000" w:rsidP="00000000" w:rsidRDefault="00000000" w:rsidRPr="00000000" w14:paraId="000000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Every prediction record contains the input digest, truth label, prediction, response digest, latency, and model digest. Unparseable responses remain unparseable. A stage stops if more than 20% of answers are off-schema, a metric leaves [0, 1], fewer than 95% of graded samples fall inside the committed event grid, or the product lacks uncertainty. Accuracy and normalized class severity error (NCSE) are reported; lower NCSE is better.</w:t>
      </w:r>
    </w:p>
    <w:p w:rsidR="00000000" w:rsidDel="00000000" w:rsidP="00000000" w:rsidRDefault="00000000" w:rsidRPr="00000000" w14:paraId="0000007E">
      <w:pPr>
        <w:keepNext w:val="1"/>
        <w:spacing w:after="8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Table 6. </w:t>
      </w:r>
      <w:r w:rsidDel="00000000" w:rsidR="00000000" w:rsidRPr="00000000">
        <w:rPr>
          <w:rFonts w:ascii="Times New Roman" w:cs="Times New Roman" w:eastAsia="Times New Roman" w:hAnsi="Times New Roman"/>
          <w:color w:val="000000"/>
          <w:rtl w:val="0"/>
        </w:rPr>
        <w:t xml:space="preserve">Zero-shot VLM evaluation (accuracy / NCSE)</w:t>
      </w:r>
    </w:p>
    <w:tbl>
      <w:tblPr>
        <w:tblStyle w:val="Table6"/>
        <w:tblW w:w="9360.0" w:type="dxa"/>
        <w:jc w:val="left"/>
        <w:tblInd w:w="120.0" w:type="dxa"/>
        <w:tblBorders>
          <w:top w:color="d6dee8" w:space="0" w:sz="4" w:val="single"/>
          <w:left w:color="d6dee8" w:space="0" w:sz="4" w:val="single"/>
          <w:bottom w:color="d6dee8" w:space="0" w:sz="4" w:val="single"/>
          <w:right w:color="d6dee8" w:space="0" w:sz="4" w:val="single"/>
          <w:insideH w:color="d6dee8" w:space="0" w:sz="4" w:val="single"/>
          <w:insideV w:color="d6dee8" w:space="0" w:sz="4" w:val="single"/>
        </w:tblBorders>
        <w:tblLayout w:type="fixed"/>
        <w:tblLook w:val="0400"/>
      </w:tblPr>
      <w:tblGrid>
        <w:gridCol w:w="3300"/>
        <w:gridCol w:w="2020"/>
        <w:gridCol w:w="2020"/>
        <w:gridCol w:w="2020"/>
        <w:tblGridChange w:id="0">
          <w:tblGrid>
            <w:gridCol w:w="3300"/>
            <w:gridCol w:w="2020"/>
            <w:gridCol w:w="2020"/>
            <w:gridCol w:w="2020"/>
          </w:tblGrid>
        </w:tblGridChange>
      </w:tblGrid>
      <w:tr>
        <w:trPr>
          <w:cantSplit w:val="1"/>
          <w:tblHeader w:val="1"/>
        </w:trPr>
        <w:tc>
          <w:tcPr>
            <w:shd w:fill="f2f4f7" w:val="clear"/>
            <w:tcMar>
              <w:top w:w="80.0" w:type="dxa"/>
              <w:left w:w="120.0" w:type="dxa"/>
              <w:bottom w:w="80.0" w:type="dxa"/>
              <w:right w:w="120.0" w:type="dxa"/>
            </w:tcMar>
            <w:vAlign w:val="center"/>
          </w:tcPr>
          <w:p w:rsidR="00000000" w:rsidDel="00000000" w:rsidP="00000000" w:rsidRDefault="00000000" w:rsidRPr="00000000" w14:paraId="0000007F">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Model</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80">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Palisades</w:t>
              <w:br w:type="textWrapping"/>
              <w:t xml:space="preserve">5 classes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81">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Milton pairs</w:t>
              <w:br w:type="textWrapping"/>
              <w:t xml:space="preserve">3 classes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82">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Eaton</w:t>
              <w:br w:type="textWrapping"/>
              <w:t xml:space="preserve">3 classes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3">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qwen2.5vl:7b (reference)</w:t>
            </w:r>
          </w:p>
        </w:tc>
        <w:tc>
          <w:tcPr>
            <w:tcMar>
              <w:top w:w="80.0" w:type="dxa"/>
              <w:left w:w="120.0" w:type="dxa"/>
              <w:bottom w:w="80.0" w:type="dxa"/>
              <w:right w:w="120.0" w:type="dxa"/>
            </w:tcMar>
            <w:vAlign w:val="center"/>
          </w:tcPr>
          <w:p w:rsidR="00000000" w:rsidDel="00000000" w:rsidP="00000000" w:rsidRDefault="00000000" w:rsidRPr="00000000" w14:paraId="00000084">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0.475 / 0.213</w:t>
            </w:r>
          </w:p>
        </w:tc>
        <w:tc>
          <w:tcPr>
            <w:tcMar>
              <w:top w:w="80.0" w:type="dxa"/>
              <w:left w:w="120.0" w:type="dxa"/>
              <w:bottom w:w="80.0" w:type="dxa"/>
              <w:right w:w="120.0" w:type="dxa"/>
            </w:tcMar>
            <w:vAlign w:val="center"/>
          </w:tcPr>
          <w:p w:rsidR="00000000" w:rsidDel="00000000" w:rsidP="00000000" w:rsidRDefault="00000000" w:rsidRPr="00000000" w14:paraId="00000085">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0.597 / 0.238</w:t>
            </w:r>
          </w:p>
        </w:tc>
        <w:tc>
          <w:tcPr>
            <w:tcMar>
              <w:top w:w="80.0" w:type="dxa"/>
              <w:left w:w="120.0" w:type="dxa"/>
              <w:bottom w:w="80.0" w:type="dxa"/>
              <w:right w:w="120.0" w:type="dxa"/>
            </w:tcMar>
            <w:vAlign w:val="center"/>
          </w:tcPr>
          <w:p w:rsidR="00000000" w:rsidDel="00000000" w:rsidP="00000000" w:rsidRDefault="00000000" w:rsidRPr="00000000" w14:paraId="00000086">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0.910 / 0.049</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7">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qwen3-vl:32b (8k)</w:t>
            </w:r>
          </w:p>
        </w:tc>
        <w:tc>
          <w:tcPr>
            <w:tcMar>
              <w:top w:w="80.0" w:type="dxa"/>
              <w:left w:w="120.0" w:type="dxa"/>
              <w:bottom w:w="80.0" w:type="dxa"/>
              <w:right w:w="120.0" w:type="dxa"/>
            </w:tcMar>
            <w:vAlign w:val="center"/>
          </w:tcPr>
          <w:p w:rsidR="00000000" w:rsidDel="00000000" w:rsidP="00000000" w:rsidRDefault="00000000" w:rsidRPr="00000000" w14:paraId="00000088">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0.554 / 0.176</w:t>
            </w:r>
          </w:p>
        </w:tc>
        <w:tc>
          <w:tcPr>
            <w:tcMar>
              <w:top w:w="80.0" w:type="dxa"/>
              <w:left w:w="120.0" w:type="dxa"/>
              <w:bottom w:w="80.0" w:type="dxa"/>
              <w:right w:w="120.0" w:type="dxa"/>
            </w:tcMar>
            <w:vAlign w:val="center"/>
          </w:tcPr>
          <w:p w:rsidR="00000000" w:rsidDel="00000000" w:rsidP="00000000" w:rsidRDefault="00000000" w:rsidRPr="00000000" w14:paraId="00000089">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0.381 / 0.431</w:t>
            </w:r>
          </w:p>
        </w:tc>
        <w:tc>
          <w:tcPr>
            <w:tcMar>
              <w:top w:w="80.0" w:type="dxa"/>
              <w:left w:w="120.0" w:type="dxa"/>
              <w:bottom w:w="80.0" w:type="dxa"/>
              <w:right w:w="120.0" w:type="dxa"/>
            </w:tcMar>
            <w:vAlign w:val="center"/>
          </w:tcPr>
          <w:p w:rsidR="00000000" w:rsidDel="00000000" w:rsidP="00000000" w:rsidRDefault="00000000" w:rsidRPr="00000000" w14:paraId="0000008A">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0.901 / 0.053</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B">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qwen2.5vl:32b (8k)</w:t>
            </w:r>
          </w:p>
        </w:tc>
        <w:tc>
          <w:tcPr>
            <w:tcMar>
              <w:top w:w="80.0" w:type="dxa"/>
              <w:left w:w="120.0" w:type="dxa"/>
              <w:bottom w:w="80.0" w:type="dxa"/>
              <w:right w:w="120.0" w:type="dxa"/>
            </w:tcMar>
            <w:vAlign w:val="center"/>
          </w:tcPr>
          <w:p w:rsidR="00000000" w:rsidDel="00000000" w:rsidP="00000000" w:rsidRDefault="00000000" w:rsidRPr="00000000" w14:paraId="0000008C">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0.507 / 0.206</w:t>
            </w:r>
          </w:p>
        </w:tc>
        <w:tc>
          <w:tcPr>
            <w:tcMar>
              <w:top w:w="80.0" w:type="dxa"/>
              <w:left w:w="120.0" w:type="dxa"/>
              <w:bottom w:w="80.0" w:type="dxa"/>
              <w:right w:w="120.0" w:type="dxa"/>
            </w:tcMar>
            <w:vAlign w:val="center"/>
          </w:tcPr>
          <w:p w:rsidR="00000000" w:rsidDel="00000000" w:rsidP="00000000" w:rsidRDefault="00000000" w:rsidRPr="00000000" w14:paraId="0000008D">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0.560 / 0.240</w:t>
            </w:r>
          </w:p>
        </w:tc>
        <w:tc>
          <w:tcPr>
            <w:tcMar>
              <w:top w:w="80.0" w:type="dxa"/>
              <w:left w:w="120.0" w:type="dxa"/>
              <w:bottom w:w="80.0" w:type="dxa"/>
              <w:right w:w="120.0" w:type="dxa"/>
            </w:tcMar>
            <w:vAlign w:val="center"/>
          </w:tcPr>
          <w:p w:rsidR="00000000" w:rsidDel="00000000" w:rsidP="00000000" w:rsidRDefault="00000000" w:rsidRPr="00000000" w14:paraId="0000008E">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0.931 / 0.039</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F">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gemma3:27b</w:t>
            </w:r>
          </w:p>
        </w:tc>
        <w:tc>
          <w:tcPr>
            <w:tcMar>
              <w:top w:w="80.0" w:type="dxa"/>
              <w:left w:w="120.0" w:type="dxa"/>
              <w:bottom w:w="80.0" w:type="dxa"/>
              <w:right w:w="120.0" w:type="dxa"/>
            </w:tcMar>
            <w:vAlign w:val="center"/>
          </w:tcPr>
          <w:p w:rsidR="00000000" w:rsidDel="00000000" w:rsidP="00000000" w:rsidRDefault="00000000" w:rsidRPr="00000000" w14:paraId="00000090">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0.529 / 0.187</w:t>
            </w:r>
          </w:p>
        </w:tc>
        <w:tc>
          <w:tcPr>
            <w:tcMar>
              <w:top w:w="80.0" w:type="dxa"/>
              <w:left w:w="120.0" w:type="dxa"/>
              <w:bottom w:w="80.0" w:type="dxa"/>
              <w:right w:w="120.0" w:type="dxa"/>
            </w:tcMar>
            <w:vAlign w:val="center"/>
          </w:tcPr>
          <w:p w:rsidR="00000000" w:rsidDel="00000000" w:rsidP="00000000" w:rsidRDefault="00000000" w:rsidRPr="00000000" w14:paraId="00000091">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0.500 / 0.257</w:t>
            </w:r>
          </w:p>
        </w:tc>
        <w:tc>
          <w:tcPr>
            <w:tcMar>
              <w:top w:w="80.0" w:type="dxa"/>
              <w:left w:w="120.0" w:type="dxa"/>
              <w:bottom w:w="80.0" w:type="dxa"/>
              <w:right w:w="120.0" w:type="dxa"/>
            </w:tcMar>
            <w:vAlign w:val="center"/>
          </w:tcPr>
          <w:p w:rsidR="00000000" w:rsidDel="00000000" w:rsidP="00000000" w:rsidRDefault="00000000" w:rsidRPr="00000000" w14:paraId="00000092">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0.914 / 0.049</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93">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mistral-small3.2:24b</w:t>
            </w:r>
          </w:p>
        </w:tc>
        <w:tc>
          <w:tcPr>
            <w:tcMar>
              <w:top w:w="80.0" w:type="dxa"/>
              <w:left w:w="120.0" w:type="dxa"/>
              <w:bottom w:w="80.0" w:type="dxa"/>
              <w:right w:w="120.0" w:type="dxa"/>
            </w:tcMar>
            <w:vAlign w:val="center"/>
          </w:tcPr>
          <w:p w:rsidR="00000000" w:rsidDel="00000000" w:rsidP="00000000" w:rsidRDefault="00000000" w:rsidRPr="00000000" w14:paraId="00000094">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0.505 / 0.203</w:t>
            </w:r>
          </w:p>
        </w:tc>
        <w:tc>
          <w:tcPr>
            <w:tcMar>
              <w:top w:w="80.0" w:type="dxa"/>
              <w:left w:w="120.0" w:type="dxa"/>
              <w:bottom w:w="80.0" w:type="dxa"/>
              <w:right w:w="120.0" w:type="dxa"/>
            </w:tcMar>
            <w:vAlign w:val="center"/>
          </w:tcPr>
          <w:p w:rsidR="00000000" w:rsidDel="00000000" w:rsidP="00000000" w:rsidRDefault="00000000" w:rsidRPr="00000000" w14:paraId="00000095">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0.487 / 0.258</w:t>
            </w:r>
          </w:p>
        </w:tc>
        <w:tc>
          <w:tcPr>
            <w:tcMar>
              <w:top w:w="80.0" w:type="dxa"/>
              <w:left w:w="120.0" w:type="dxa"/>
              <w:bottom w:w="80.0" w:type="dxa"/>
              <w:right w:w="120.0" w:type="dxa"/>
            </w:tcMar>
            <w:vAlign w:val="center"/>
          </w:tcPr>
          <w:p w:rsidR="00000000" w:rsidDel="00000000" w:rsidP="00000000" w:rsidRDefault="00000000" w:rsidRPr="00000000" w14:paraId="00000096">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0.935 / 0.037</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97">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gemma3:12b</w:t>
            </w:r>
          </w:p>
        </w:tc>
        <w:tc>
          <w:tcPr>
            <w:tcMar>
              <w:top w:w="80.0" w:type="dxa"/>
              <w:left w:w="120.0" w:type="dxa"/>
              <w:bottom w:w="80.0" w:type="dxa"/>
              <w:right w:w="120.0" w:type="dxa"/>
            </w:tcMar>
            <w:vAlign w:val="center"/>
          </w:tcPr>
          <w:p w:rsidR="00000000" w:rsidDel="00000000" w:rsidP="00000000" w:rsidRDefault="00000000" w:rsidRPr="00000000" w14:paraId="00000098">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0.546 / 0.178</w:t>
            </w:r>
          </w:p>
        </w:tc>
        <w:tc>
          <w:tcPr>
            <w:tcMar>
              <w:top w:w="80.0" w:type="dxa"/>
              <w:left w:w="120.0" w:type="dxa"/>
              <w:bottom w:w="80.0" w:type="dxa"/>
              <w:right w:w="120.0" w:type="dxa"/>
            </w:tcMar>
            <w:vAlign w:val="center"/>
          </w:tcPr>
          <w:p w:rsidR="00000000" w:rsidDel="00000000" w:rsidP="00000000" w:rsidRDefault="00000000" w:rsidRPr="00000000" w14:paraId="00000099">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0.427 / 0.287</w:t>
            </w:r>
          </w:p>
        </w:tc>
        <w:tc>
          <w:tcPr>
            <w:tcMar>
              <w:top w:w="80.0" w:type="dxa"/>
              <w:left w:w="120.0" w:type="dxa"/>
              <w:bottom w:w="80.0" w:type="dxa"/>
              <w:right w:w="120.0" w:type="dxa"/>
            </w:tcMar>
            <w:vAlign w:val="center"/>
          </w:tcPr>
          <w:p w:rsidR="00000000" w:rsidDel="00000000" w:rsidP="00000000" w:rsidRDefault="00000000" w:rsidRPr="00000000" w14:paraId="0000009A">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0.906 / 0.051</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9B">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qwen3-vl:8b</w:t>
            </w:r>
          </w:p>
        </w:tc>
        <w:tc>
          <w:tcPr>
            <w:tcMar>
              <w:top w:w="80.0" w:type="dxa"/>
              <w:left w:w="120.0" w:type="dxa"/>
              <w:bottom w:w="80.0" w:type="dxa"/>
              <w:right w:w="120.0" w:type="dxa"/>
            </w:tcMar>
            <w:vAlign w:val="center"/>
          </w:tcPr>
          <w:p w:rsidR="00000000" w:rsidDel="00000000" w:rsidP="00000000" w:rsidRDefault="00000000" w:rsidRPr="00000000" w14:paraId="0000009C">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0.514 / 0.195</w:t>
            </w:r>
          </w:p>
        </w:tc>
        <w:tc>
          <w:tcPr>
            <w:tcMar>
              <w:top w:w="80.0" w:type="dxa"/>
              <w:left w:w="120.0" w:type="dxa"/>
              <w:bottom w:w="80.0" w:type="dxa"/>
              <w:right w:w="120.0" w:type="dxa"/>
            </w:tcMar>
            <w:vAlign w:val="center"/>
          </w:tcPr>
          <w:p w:rsidR="00000000" w:rsidDel="00000000" w:rsidP="00000000" w:rsidRDefault="00000000" w:rsidRPr="00000000" w14:paraId="0000009D">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0.462 / 0.324</w:t>
            </w:r>
          </w:p>
        </w:tc>
        <w:tc>
          <w:tcPr>
            <w:tcMar>
              <w:top w:w="80.0" w:type="dxa"/>
              <w:left w:w="120.0" w:type="dxa"/>
              <w:bottom w:w="80.0" w:type="dxa"/>
              <w:right w:w="120.0" w:type="dxa"/>
            </w:tcMar>
            <w:vAlign w:val="center"/>
          </w:tcPr>
          <w:p w:rsidR="00000000" w:rsidDel="00000000" w:rsidP="00000000" w:rsidRDefault="00000000" w:rsidRPr="00000000" w14:paraId="0000009E">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0.924 / 0.041</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9F">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RAPID reference</w:t>
            </w:r>
          </w:p>
        </w:tc>
        <w:tc>
          <w:tcPr>
            <w:tcMar>
              <w:top w:w="80.0" w:type="dxa"/>
              <w:left w:w="120.0" w:type="dxa"/>
              <w:bottom w:w="80.0" w:type="dxa"/>
              <w:right w:w="120.0" w:type="dxa"/>
            </w:tcMar>
            <w:vAlign w:val="center"/>
          </w:tcPr>
          <w:p w:rsidR="00000000" w:rsidDel="00000000" w:rsidP="00000000" w:rsidRDefault="00000000" w:rsidRPr="00000000" w14:paraId="000000A0">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0.573 GPT-5-mini</w:t>
            </w:r>
          </w:p>
        </w:tc>
        <w:tc>
          <w:tcPr>
            <w:tcMar>
              <w:top w:w="80.0" w:type="dxa"/>
              <w:left w:w="120.0" w:type="dxa"/>
              <w:bottom w:w="80.0" w:type="dxa"/>
              <w:right w:w="120.0" w:type="dxa"/>
            </w:tcMar>
            <w:vAlign w:val="center"/>
          </w:tcPr>
          <w:p w:rsidR="00000000" w:rsidDel="00000000" w:rsidP="00000000" w:rsidRDefault="00000000" w:rsidRPr="00000000" w14:paraId="000000A1">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0.591 GPT-5.1</w:t>
            </w:r>
          </w:p>
        </w:tc>
        <w:tc>
          <w:tcPr>
            <w:tcMar>
              <w:top w:w="80.0" w:type="dxa"/>
              <w:left w:w="120.0" w:type="dxa"/>
              <w:bottom w:w="80.0" w:type="dxa"/>
              <w:right w:w="120.0" w:type="dxa"/>
            </w:tcMar>
            <w:vAlign w:val="center"/>
          </w:tcPr>
          <w:p w:rsidR="00000000" w:rsidDel="00000000" w:rsidP="00000000" w:rsidRDefault="00000000" w:rsidRPr="00000000" w14:paraId="000000A2">
            <w:pPr>
              <w:keepLines w:val="1"/>
              <w:spacing w:after="0"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Not reported</w:t>
            </w:r>
          </w:p>
        </w:tc>
      </w:tr>
    </w:tbl>
    <w:p w:rsidR="00000000" w:rsidDel="00000000" w:rsidP="00000000" w:rsidRDefault="00000000" w:rsidRPr="00000000" w14:paraId="000000A3">
      <w:pPr>
        <w:spacing w:before="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One pass at temperature 0 with quantized weights and fixed prompt/sample digests. Event columns use different class systems and are not directly comparable. The closed Milton result used a different 150-pair subset.</w:t>
      </w:r>
      <w:r w:rsidDel="00000000" w:rsidR="00000000" w:rsidRPr="00000000">
        <w:rPr>
          <w:rtl w:val="0"/>
        </w:rPr>
      </w:r>
    </w:p>
    <w:p>
      <w:pPr>
        <w:jc w:val="center"/>
      </w:pPr>
      <w:r>
        <w:drawing>
          <wp:inline>
            <wp:extent cx="5486400" cy="2533985"/>
            <wp:docPr id="3" name="Picture 3" descr="Accuracy profile of six open vision-language models across Palisades, Milton pairs, and Eaton tasks"/>
            <wp:cNvGraphicFramePr>
              <a:graphicFrameLocks noChangeAspect="1"/>
            </wp:cNvGraphicFramePr>
            <a:graphic>
              <a:graphicData uri="http://schemas.openxmlformats.org/drawingml/2006/picture">
                <pic:pic>
                  <pic:nvPicPr>
                    <pic:cNvPr id="0" name="fig2_vlm_accuracy.png"/>
                    <pic:cNvPicPr/>
                  </pic:nvPicPr>
                  <pic:blipFill>
                    <a:blip r:embed="rId11"/>
                    <a:stretch>
                      <a:fillRect/>
                    </a:stretch>
                  </pic:blipFill>
                  <pic:spPr>
                    <a:xfrm>
                      <a:off x="0" y="0"/>
                      <a:ext cx="5486400" cy="2533985"/>
                    </a:xfrm>
                    <a:prstGeom prst="rect"/>
                  </pic:spPr>
                </pic:pic>
              </a:graphicData>
            </a:graphic>
          </wp:inline>
        </w:drawing>
      </w:r>
    </w:p>
    <w:p>
      <w:pPr>
        <w:jc w:val="center"/>
      </w:pPr>
      <w:r>
        <w:rPr>
          <w:i/>
          <w:color w:val="595959"/>
          <w:sz w:val="18"/>
        </w:rPr>
        <w:t>Figure 2. Accuracy profile for the six open VLMs across the three evaluation tasks. Markers share one visual axis for comparison within each task; exact accuracy/NCSE values remain in Table 6.</w:t>
      </w:r>
    </w:p>
    <w:p w:rsidR="00000000" w:rsidDel="00000000" w:rsidP="00000000" w:rsidRDefault="00000000" w:rsidRPr="00000000" w14:paraId="000000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 the Palisades single-image task, every open model exceeded the 7B reference, although the best open result (0.554) remained below the published GPT-5-mini result (0.573). Model size was not a reliable predictor: gemma3:12b reached 0.546, close to qwen3-vl:32b at 0.554. On Milton's pre/post task, no open model exceeded the 7B reference. The errors were strongly directional: qwen3-vl:32b predicted Severe for 258 of 300 pairs, while gemma3:12b predicted Moderate for 262 and mistral for 213. These distinct biases make a simple model vote difficult to justify.</w:t>
      </w:r>
    </w:p>
    <w:p w:rsidR="00000000" w:rsidDel="00000000" w:rsidP="00000000" w:rsidRDefault="00000000" w:rsidRPr="00000000" w14:paraId="000000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Eaton produced high aggregate accuracy, but the 30-sample repairable class remained weak for every model, with recall from 0.03 to 0.43. The qwen3-vl:8b Milton run also recorded 24 client timeouts (8.3%). A seventh candidate, llama3.2-vision:11b, could not be loaded by the serving stack and was recorded as a serving failure rather than scored.</w:t>
      </w:r>
    </w:p>
    <w:p w:rsidR="00000000" w:rsidDel="00000000" w:rsidP="00000000" w:rsidRDefault="00000000" w:rsidRPr="00000000" w14:paraId="000000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agreement grids are published for evaluation and carry the model_derived label. The claim policy contains no rule that admits them, and the gateway's evidence store records their exclusion. Reviewers can recalculate the reported metrics from the committed prediction records without running a GPU, but the agent cannot cite those grids as evidence about a street.</w:t>
      </w:r>
    </w:p>
    <w:p w:rsidR="00000000" w:rsidDel="00000000" w:rsidP="00000000" w:rsidRDefault="00000000" w:rsidRPr="00000000" w14:paraId="000000A7">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 Reflection, Limitations, and Conclusion</w:t>
      </w:r>
    </w:p>
    <w:p w:rsidR="00000000" w:rsidDel="00000000" w:rsidP="00000000" w:rsidRDefault="00000000" w:rsidRPr="00000000" w14:paraId="000000A8">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6.1 Recorded Failures and Design Changes</w:t>
      </w:r>
    </w:p>
    <w:p w:rsidR="00000000" w:rsidDel="00000000" w:rsidP="00000000" w:rsidRDefault="00000000" w:rsidRPr="00000000" w14:paraId="000000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repository retains failures that changed the architecture. They are more informative than a claim that the safeguards worked perfectly from the beginning.</w:t>
      </w:r>
    </w:p>
    <w:p w:rsidR="00000000" w:rsidDel="00000000" w:rsidP="00000000" w:rsidRDefault="00000000" w:rsidRPr="00000000" w14:paraId="000000AA">
      <w:pPr>
        <w:keepNext w:val="1"/>
        <w:pageBreakBefore w:val="1"/>
        <w:spacing w:after="8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Table 7. </w:t>
      </w:r>
      <w:r w:rsidDel="00000000" w:rsidR="00000000" w:rsidRPr="00000000">
        <w:rPr>
          <w:rFonts w:ascii="Times New Roman" w:cs="Times New Roman" w:eastAsia="Times New Roman" w:hAnsi="Times New Roman"/>
          <w:color w:val="000000"/>
          <w:rtl w:val="0"/>
        </w:rPr>
        <w:t xml:space="preserve">Recorded issues and resulting controls</w:t>
      </w:r>
    </w:p>
    <w:tbl>
      <w:tblPr>
        <w:tblStyle w:val="Table7"/>
        <w:tblW w:w="9360.0" w:type="dxa"/>
        <w:jc w:val="left"/>
        <w:tblInd w:w="120.0" w:type="dxa"/>
        <w:tblBorders>
          <w:top w:color="d6dee8" w:space="0" w:sz="4" w:val="single"/>
          <w:left w:color="d6dee8" w:space="0" w:sz="4" w:val="single"/>
          <w:bottom w:color="d6dee8" w:space="0" w:sz="4" w:val="single"/>
          <w:right w:color="d6dee8" w:space="0" w:sz="4" w:val="single"/>
          <w:insideH w:color="d6dee8" w:space="0" w:sz="4" w:val="single"/>
          <w:insideV w:color="d6dee8" w:space="0" w:sz="4" w:val="single"/>
        </w:tblBorders>
        <w:tblLayout w:type="fixed"/>
        <w:tblLook w:val="0400"/>
      </w:tblPr>
      <w:tblGrid>
        <w:gridCol w:w="2300"/>
        <w:gridCol w:w="3440"/>
        <w:gridCol w:w="3620"/>
        <w:tblGridChange w:id="0">
          <w:tblGrid>
            <w:gridCol w:w="2300"/>
            <w:gridCol w:w="3440"/>
            <w:gridCol w:w="3620"/>
          </w:tblGrid>
        </w:tblGridChange>
      </w:tblGrid>
      <w:tr>
        <w:trPr>
          <w:cantSplit w:val="1"/>
          <w:tblHeader w:val="1"/>
        </w:trPr>
        <w:tc>
          <w:tcPr>
            <w:shd w:fill="f2f4f7" w:val="clear"/>
            <w:tcMar>
              <w:top w:w="80.0" w:type="dxa"/>
              <w:left w:w="120.0" w:type="dxa"/>
              <w:bottom w:w="80.0" w:type="dxa"/>
              <w:right w:w="120.0" w:type="dxa"/>
            </w:tcMar>
            <w:vAlign w:val="center"/>
          </w:tcPr>
          <w:p w:rsidR="00000000" w:rsidDel="00000000" w:rsidP="00000000" w:rsidRDefault="00000000" w:rsidRPr="00000000" w14:paraId="000000AB">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Issue</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AC">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What failed</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AD">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Change and verification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AE">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Parcel-level DINS file reached the public site</w:t>
            </w:r>
          </w:p>
        </w:tc>
        <w:tc>
          <w:tcPr>
            <w:tcMar>
              <w:top w:w="80.0" w:type="dxa"/>
              <w:left w:w="120.0" w:type="dxa"/>
              <w:bottom w:w="80.0" w:type="dxa"/>
              <w:right w:w="120.0" w:type="dxa"/>
            </w:tcMar>
            <w:vAlign w:val="center"/>
          </w:tcPr>
          <w:p w:rsidR="00000000" w:rsidDel="00000000" w:rsidP="00000000" w:rsidRDefault="00000000" w:rsidRPr="00000000" w14:paraId="000000AF">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claim policy governed assertions, but the asset-copying script could publish a file without making a claim. The issue was found by external review.</w:t>
            </w:r>
          </w:p>
        </w:tc>
        <w:tc>
          <w:tcPr>
            <w:tcMar>
              <w:top w:w="80.0" w:type="dxa"/>
              <w:left w:w="120.0" w:type="dxa"/>
              <w:bottom w:w="80.0" w:type="dxa"/>
              <w:right w:w="120.0" w:type="dxa"/>
            </w:tcMar>
            <w:vAlign w:val="center"/>
          </w:tcPr>
          <w:p w:rsidR="00000000" w:rsidDel="00000000" w:rsidP="00000000" w:rsidRDefault="00000000" w:rsidRPr="00000000" w14:paraId="000000B0">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distribution plane, generated allowlist, and CI verification gate were added. The public event surface fell from 30 files to 16; the restricted URL then returned 404.</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B1">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Uncited reassurance passed the post-check</w:t>
            </w:r>
          </w:p>
        </w:tc>
        <w:tc>
          <w:tcPr>
            <w:tcMar>
              <w:top w:w="80.0" w:type="dxa"/>
              <w:left w:w="120.0" w:type="dxa"/>
              <w:bottom w:w="80.0" w:type="dxa"/>
              <w:right w:w="120.0" w:type="dxa"/>
            </w:tcMar>
            <w:vAlign w:val="center"/>
          </w:tcPr>
          <w:p w:rsidR="00000000" w:rsidDel="00000000" w:rsidP="00000000" w:rsidRDefault="00000000" w:rsidRPr="00000000" w14:paraId="000000B2">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original rule required citations only for sentences containing digits, so a qualitative damage reassurance could pass.</w:t>
            </w:r>
          </w:p>
        </w:tc>
        <w:tc>
          <w:tcPr>
            <w:tcMar>
              <w:top w:w="80.0" w:type="dxa"/>
              <w:left w:w="120.0" w:type="dxa"/>
              <w:bottom w:w="80.0" w:type="dxa"/>
              <w:right w:w="120.0" w:type="dxa"/>
            </w:tcMar>
            <w:vAlign w:val="center"/>
          </w:tcPr>
          <w:p w:rsidR="00000000" w:rsidDel="00000000" w:rsidP="00000000" w:rsidRDefault="00000000" w:rsidRPr="00000000" w14:paraId="000000B3">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Citation-by-default replaced the numeric heuristic. Acceptance on 13 draft sentences changed from 9/13 to 7/13 because the two uncited reassurances were refused.</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B4">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Gateway loaded every event on disk</w:t>
            </w:r>
          </w:p>
        </w:tc>
        <w:tc>
          <w:tcPr>
            <w:tcMar>
              <w:top w:w="80.0" w:type="dxa"/>
              <w:left w:w="120.0" w:type="dxa"/>
              <w:bottom w:w="80.0" w:type="dxa"/>
              <w:right w:w="120.0" w:type="dxa"/>
            </w:tcMar>
            <w:vAlign w:val="center"/>
          </w:tcPr>
          <w:p w:rsidR="00000000" w:rsidDel="00000000" w:rsidP="00000000" w:rsidRDefault="00000000" w:rsidRPr="00000000" w14:paraId="000000B5">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evidence store ignored published_events and model_derived, so an evaluation grid could have been cited as tile evidence.</w:t>
            </w:r>
          </w:p>
        </w:tc>
        <w:tc>
          <w:tcPr>
            <w:tcMar>
              <w:top w:w="80.0" w:type="dxa"/>
              <w:left w:w="120.0" w:type="dxa"/>
              <w:bottom w:w="80.0" w:type="dxa"/>
              <w:right w:w="120.0" w:type="dxa"/>
            </w:tcMar>
            <w:vAlign w:val="center"/>
          </w:tcPr>
          <w:p w:rsidR="00000000" w:rsidDel="00000000" w:rsidP="00000000" w:rsidRDefault="00000000" w:rsidRPr="00000000" w14:paraId="000000B6">
            <w:pPr>
              <w:keepLines w:val="1"/>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store now reads only policy-listed events, excludes model-derived grids, records each exclusion, and refuses to initialize from an unrestricted directory scan.</w:t>
            </w:r>
          </w:p>
        </w:tc>
      </w:tr>
    </w:tbl>
    <w:p w:rsidR="00000000" w:rsidDel="00000000" w:rsidP="00000000" w:rsidRDefault="00000000" w:rsidRPr="00000000" w14:paraId="000000B7">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6.2 Limitations</w:t>
      </w:r>
    </w:p>
    <w:p w:rsidR="00000000" w:rsidDel="00000000" w:rsidP="00000000" w:rsidRDefault="00000000" w:rsidRPr="00000000" w14:paraId="000000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Several limitations remain. First, the deep-case builders depend on a private 33 GB corpus on one workstation. The committed products, hashes, and audit logs can be checked, but the complete pipeline cannot be regenerated from the repository alone. Second, the VLM experiment is one pass with 4-bit local weights on one GPU; Milton and Eaton use seeded samples, and the closed-model Milton reference uses a different subset. Third, the gateway has authentication, rate limiting, CORS controls, and redacted request auditing, but it is not hosted; the public demo therefore has no chat backend. Fourth, the re-derivable evidence regime has been tested against an in-process stub, not a live restricted API. Finally, three deep cases do not establish national analytical coverage, and no affected community has yet co-designed the definitions or policies.</w:t>
      </w:r>
    </w:p>
    <w:p w:rsidR="00000000" w:rsidDel="00000000" w:rsidP="00000000" w:rsidRDefault="00000000" w:rsidRPr="00000000" w14:paraId="000000B9">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6.3 Conclusion</w:t>
      </w:r>
    </w:p>
    <w:p w:rsidR="00000000" w:rsidDel="00000000" w:rsidP="00000000" w:rsidRDefault="00000000" w:rsidRPr="00000000" w14:paraId="000000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RAY contributes a working architecture for accountable GeoAI rather than a new hazard model. It couples autonomous spatial workflows with checks on data quality, provenance, disclosure, and evidence use. The case studies show that the same harness can support multiple hazards and regions while keeping their limits visible. The VLM experiment also shows why model evaluation and operational evidence should remain separate until performance, coverage, and authorization requirements are satisfied. For public decision support, the useful standard is not whether an agent can produce an answer, but whether the answer stays within the evidence and leaves a record that can be inspected.</w:t>
      </w:r>
    </w:p>
    <w:p w:rsidR="00000000" w:rsidDel="00000000" w:rsidP="00000000" w:rsidRDefault="00000000" w:rsidRPr="00000000" w14:paraId="000000BB">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Acknowledgments</w:t>
      </w:r>
    </w:p>
    <w:p w:rsidR="00000000" w:rsidDel="00000000" w:rsidP="00000000" w:rsidRDefault="00000000" w:rsidRPr="00000000" w14:paraId="000000BC">
      <w:pPr>
        <w:keepLines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RAY is an MIT-licensed research prototype and is not an official forecasting or warning service. This research is based on work supported by the National Academies of Sciences, Engineering, and Medicine (NASEM) under the Gulf Research Program (Award Nos. SCON-10000653 and SCON-10001536) and by the U.S. National Science Foundation (Award No. 2318206). Any opinions, findings, and conclusions expressed here are those of the authors and do not necessarily reflect the views of the funders. Claude (Anthropic) and OpenAI Codex were used for language editing and document formatting. The authors designed and verified the system, analyses, and claims and take responsibility for the content.</w:t>
      </w:r>
    </w:p>
    <w:p w:rsidR="00000000" w:rsidDel="00000000" w:rsidP="00000000" w:rsidRDefault="00000000" w:rsidRPr="00000000" w14:paraId="000000BD">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References</w:t>
      </w:r>
    </w:p>
    <w:p>
      <w:pPr/>
      <w:r>
        <w:t>[1] Delforge, D., Wathelet, V., Below, R., Sofia, C. L., Tonnelier, M., van Loenhout, J. A., and Speybroeck, N. (2025). EM-DAT: The Emergency Events Database. International Journal of Disaster Risk Reduction, 124, 105509. https://doi.org/10.1016/j.ijdrr.2025.105509</w:t>
      </w:r>
    </w:p>
    <w:p>
      <w:pPr/>
      <w:r>
        <w:t>[2] European Commission Joint Research Centre and United Nations OCHA. (2026). Global Disaster Alert and Coordination System (GDACS). https://www.gdacs.org/ (accessed 1 September 2026).</w:t>
      </w:r>
    </w:p>
    <w:p>
      <w:pPr/>
      <w:r>
        <w:t>[3] Institute for a Disaster Resilient Texas. (2026). Texas Disaster Information System (TDIS) Portal. https://portal.cloud.tdis.io/ (accessed 1 September 2026).</w:t>
      </w:r>
    </w:p>
    <w:p>
      <w:pPr/>
      <w:r>
        <w:t>[4] Li, Z., and Ning, H. (2023). Autonomous GIS: The next-generation AI-powered GIS. International Journal of Digital Earth, 16(2), 4668-4686. https://doi.org/10.1080/17538947.2023.2278895</w:t>
      </w:r>
    </w:p>
    <w:p>
      <w:pPr/>
      <w:r>
        <w:t>[5] Yang, Y., Gong, W., Zhang, K., Zou, L., Tu, Z., Li, H., Li, Z., and Ye, X. (2026). RAPID: A Reproducible Multi-Agent Pipeline for Interpretable Disaster Damage Assessment from Satellite and Street-View Imagery. arXiv preprint arXiv:2606.21819. https://arxiv.org/abs/2606.21819</w:t>
      </w:r>
    </w:p>
    <w:p>
      <w:pPr/>
      <w:r>
        <w:t>[6] Yang, Y. and Zou, L. (2026). RAPIDMap: Rapid Multi-Agent Pipeline for Interpretable Disaster Mapping from Satellite and Street-View Imagery. arXiv preprint arXiv:2609.00046. https://arxiv.org/abs/2609.00046</w:t>
      </w:r>
    </w:p>
    <w:p>
      <w:pPr/>
      <w:r>
        <w:t>[7] Zhang, Y., Wei, C., He, Z., and Yu, W. (2024). GeoGPT: An assistant for understanding and processing geospatial tasks. International Journal of Applied Earth Observation and Geoinformation, 131, 103976. https://doi.org/10.1016/j.jag.2024.103976</w:t>
      </w:r>
    </w:p>
    <w:p>
      <w:pPr/>
      <w:r>
        <w:t>[8] Yang, Y., Zou, L., Gong, W., Fu, K., Li, Z., Wang, S., Zhou, B., Cai, H., and Tian, H. (2026). DamageArbiter: A Multimodal Arbitration Framework for Disaster Damage Assessment from Street-View Imagery. arXiv preprint arXiv:2603.14837. https://arxiv.org/abs/2603.14837</w:t>
      </w:r>
    </w:p>
    <w:p w:rsidR="00000000" w:rsidDel="00000000" w:rsidP="00000000" w:rsidRDefault="00000000" w:rsidRPr="00000000" w14:paraId="000000C3">
      <w:pPr>
        <w:spacing w:after="80" w:line="240" w:lineRule="auto"/>
        <w:ind w:left="36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5">
      <w:pPr>
        <w:spacing w:after="80" w:line="240" w:lineRule="auto"/>
        <w:ind w:left="36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6">
      <w:pPr>
        <w:spacing w:after="80" w:line="240" w:lineRule="auto"/>
        <w:ind w:left="36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8">
      <w:pPr>
        <w:spacing w:after="80" w:line="240" w:lineRule="auto"/>
        <w:ind w:left="36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9">
      <w:pPr>
        <w:spacing w:after="80" w:line="240" w:lineRule="auto"/>
        <w:ind w:left="360" w:hanging="360"/>
        <w:rPr>
          <w:rFonts w:ascii="Times New Roman" w:cs="Times New Roman" w:eastAsia="Times New Roman" w:hAnsi="Times New Roman"/>
          <w:color w:val="000000"/>
        </w:rPr>
      </w:pPr>
      <w:r w:rsidDel="00000000" w:rsidR="00000000" w:rsidRPr="00000000">
        <w:rPr>
          <w:rFonts w:ascii="Arial" w:cs="Arial" w:eastAsia="Arial" w:hAnsi="Arial"/>
          <w:color w:val="222222"/>
          <w:sz w:val="20"/>
          <w:szCs w:val="20"/>
          <w:rtl w:val="0"/>
        </w:rPr>
        <w:t xml:space="preserve">Yang, Y., Zou, L., Gong, W., Fu, K., Li, Z., Wang, S., ... &amp; Tian, H. (2026). DamageArbiter: A CLIP-Enhanced Multimodal Arbitration Framework for Hurricane Damage Assessment from Street-View Imagery. </w:t>
      </w:r>
      <w:r w:rsidDel="00000000" w:rsidR="00000000" w:rsidRPr="00000000">
        <w:rPr>
          <w:rFonts w:ascii="Arial" w:cs="Arial" w:eastAsia="Arial" w:hAnsi="Arial"/>
          <w:i w:val="1"/>
          <w:iCs w:val="1"/>
          <w:color w:val="222222"/>
          <w:sz w:val="20"/>
          <w:szCs w:val="20"/>
          <w:rtl w:val="0"/>
        </w:rPr>
        <w:t xml:space="preserve">arXiv preprint arXiv:2603.14837</w:t>
      </w:r>
      <w:r w:rsidDel="00000000" w:rsidR="00000000" w:rsidRPr="00000000">
        <w:rPr>
          <w:rFonts w:ascii="Arial" w:cs="Arial" w:eastAsia="Arial" w:hAnsi="Arial"/>
          <w:color w:val="222222"/>
          <w:sz w:val="20"/>
          <w:szCs w:val="20"/>
          <w:rtl w:val="0"/>
        </w:rPr>
        <w:t xml:space="preserve">.</w:t>
      </w:r>
      <w:r w:rsidDel="00000000" w:rsidR="00000000" w:rsidRPr="00000000">
        <w:rPr>
          <w:rFonts w:ascii="Times New Roman" w:cs="Times New Roman" w:eastAsia="Times New Roman" w:hAnsi="Times New Roman"/>
          <w:color w:val="000000"/>
          <w:rtl w:val="0"/>
        </w:rPr>
        <w:t xml:space="preserve"> </w:t>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12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f6368"/>
        <w:sz w:val="17"/>
        <w:szCs w:val="17"/>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202124"/>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0212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f6368"/>
        <w:sz w:val="17"/>
        <w:szCs w:val="17"/>
        <w:u w:val="none"/>
        <w:shd w:fill="auto" w:val="clear"/>
        <w:vertAlign w:val="baseline"/>
        <w:rtl w:val="0"/>
      </w:rPr>
      <w:t xml:space="preserve">RAY | OASIS 2026 - Track 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124"/>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60" w:before="160" w:line="240" w:lineRule="auto"/>
    </w:pPr>
    <w:rPr>
      <w:rFonts w:ascii="Calibri" w:cs="Calibri" w:eastAsia="Calibri" w:hAnsi="Calibri"/>
      <w:b w:val="1"/>
      <w:bCs w:val="1"/>
      <w:color w:val="1f3a5f"/>
      <w:sz w:val="48"/>
      <w:szCs w:val="48"/>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60" w:before="60" w:line="240" w:lineRule="auto"/>
    </w:pPr>
    <w:rPr>
      <w:b w:val="1"/>
      <w:bCs w:val="1"/>
      <w:i w:val="1"/>
      <w:color w:val="5f6368"/>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keepNext w:val="1"/>
      <w:spacing w:after="240" w:lineRule="auto"/>
    </w:pPr>
    <w:rPr>
      <w:rFonts w:ascii="Calibri" w:cs="Calibri" w:eastAsia="Calibri" w:hAnsi="Calibri"/>
      <w:i w:val="1"/>
      <w:iCs w:val="1"/>
      <w:color w:val="5f6368"/>
      <w:sz w:val="27"/>
      <w:szCs w:val="27"/>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i.org/10.1016/j.jag.2024.103976" TargetMode="Externa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aD20lHZFDtioVQ/8XcvzZxnoAg==">CgMxLjA4AHIhMVZnU3BnaHhxRmotY2Y5RVlWUnY3Q2VYVE1EcURxbm5G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2026-09-05T00:32:00Z</dcterms:created>
  <dc:creator>Yifan Yang;Lei Zou;Wenjing Gong;Ziyi Wang</dc:creator>
</cp:coreProperties>
</file>