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2.png" ContentType="image/png"/>
  <Override PartName="/word/media/rId19.png" ContentType="image/png"/>
  <Override PartName="/word/media/rId22.png" ContentType="image/png"/>
  <Override PartName="/word/media/rId27.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RAY: Resilience Assistant for You</w:t>
      </w:r>
    </w:p>
    <w:p>
      <w:pPr>
        <w:pStyle w:val="Subtitle"/>
      </w:pPr>
      <w:r>
        <w:t xml:space="preserve">An Accountable GeoAI System for Place-Based Disaster Intelligence</w:t>
      </w:r>
    </w:p>
    <w:p>
      <w:pPr>
        <w:pStyle w:val="Author"/>
      </w:pPr>
      <w:r>
        <w:t xml:space="preserve">Yifan Yang — Department of Geography, Texas A&amp;M University — yyang295@tamu.edu</w:t>
      </w:r>
    </w:p>
    <w:p>
      <w:pPr>
        <w:pStyle w:val="Author"/>
      </w:pPr>
      <w:r>
        <w:t xml:space="preserve">Lei Zou — Department of Geography, Texas A&amp;M University — lzou@tamu.edu</w:t>
      </w:r>
    </w:p>
    <w:p>
      <w:pPr>
        <w:pStyle w:val="Author"/>
      </w:pPr>
      <w:r>
        <w:t xml:space="preserve">Wenjing Gong — Department of Landscape Architecture and Urban Planning, Texas A&amp;M University — wenjinggong@tamu.edu</w:t>
      </w:r>
    </w:p>
    <w:p>
      <w:pPr>
        <w:pStyle w:val="Author"/>
      </w:pPr>
      <w:r>
        <w:t xml:space="preserve">Ziyi Wang — Department of Computer Science and Engineering, Texas A&amp;M University — ziyiwang@tamu.edu</w:t>
      </w:r>
    </w:p>
    <w:p>
      <w:pPr>
        <w:pStyle w:val="Date"/>
      </w:pPr>
      <w:r>
        <w:t xml:space="preserve">Draft for co-author editing — single column; the LaTeX source remains the submission format</w:t>
      </w:r>
    </w:p>
    <w:p>
      <w:pPr>
        <w:pStyle w:val="AbstractTitle"/>
      </w:pPr>
      <w:r>
        <w:t xml:space="preserve">Abstract</w:t>
      </w:r>
    </w:p>
    <w:p>
      <w:pPr>
        <w:pStyle w:val="Abstract"/>
      </w:pPr>
      <w:r>
        <w:t xml:space="preserve">Vulnerability, risk and priority are value-laden; a system that computes</w:t>
      </w:r>
      <w:r>
        <w:t xml:space="preserve"> </w:t>
      </w:r>
      <w:r>
        <w:t xml:space="preserve">them for the public owes the public an account of</w:t>
      </w:r>
      <w:r>
        <w:t xml:space="preserve"> </w:t>
      </w:r>
      <w:r>
        <w:rPr>
          <w:i/>
          <w:iCs/>
        </w:rPr>
        <w:t xml:space="preserve">who</w:t>
      </w:r>
      <w:r>
        <w:t xml:space="preserve"> </w:t>
      </w:r>
      <w:r>
        <w:t xml:space="preserve">decided</w:t>
      </w:r>
      <w:r>
        <w:t xml:space="preserve"> </w:t>
      </w:r>
      <w:r>
        <w:rPr>
          <w:i/>
          <w:iCs/>
        </w:rPr>
        <w:t xml:space="preserve">what</w:t>
      </w:r>
      <w:r>
        <w:t xml:space="preserve">, on</w:t>
      </w:r>
      <w:r>
        <w:t xml:space="preserve"> </w:t>
      </w:r>
      <w:r>
        <w:rPr>
          <w:i/>
          <w:iCs/>
        </w:rPr>
        <w:t xml:space="preserve">which</w:t>
      </w:r>
      <w:r>
        <w:t xml:space="preserve"> </w:t>
      </w:r>
      <w:r>
        <w:t xml:space="preserve">evidence, at</w:t>
      </w:r>
      <w:r>
        <w:t xml:space="preserve"> </w:t>
      </w:r>
      <w:r>
        <w:rPr>
          <w:i/>
          <w:iCs/>
        </w:rPr>
        <w:t xml:space="preserve">what</w:t>
      </w:r>
      <w:r>
        <w:t xml:space="preserve"> </w:t>
      </w:r>
      <w:r>
        <w:t xml:space="preserve">resolution. RAY</w:t>
      </w:r>
      <w:r>
        <w:t xml:space="preserve"> </w:t>
      </w:r>
      <w:r>
        <w:t xml:space="preserve">(Resilience Assistant for You) is a disaster-resilience agent built around</w:t>
      </w:r>
      <w:r>
        <w:t xml:space="preserve"> </w:t>
      </w:r>
      <w:r>
        <w:t xml:space="preserve">that obligation. Its pipelines run autonomously — hourly federal hazard</w:t>
      </w:r>
      <w:r>
        <w:t xml:space="preserve"> </w:t>
      </w:r>
      <w:r>
        <w:t xml:space="preserve">feeds, and deep-case builders that turn raw damage registries, social</w:t>
      </w:r>
      <w:r>
        <w:t xml:space="preserve"> </w:t>
      </w:r>
      <w:r>
        <w:t xml:space="preserve">vulnerability, census population and street imagery into H3 grids across</w:t>
      </w:r>
      <w:r>
        <w:t xml:space="preserve"> </w:t>
      </w:r>
      <w:r>
        <w:t xml:space="preserve">three events in two hazard types — but every stage runs inside the</w:t>
      </w:r>
      <w:r>
        <w:t xml:space="preserve"> </w:t>
      </w:r>
      <w:r>
        <w:rPr>
          <w:i/>
          <w:iCs/>
        </w:rPr>
        <w:t xml:space="preserve">Steward Harness</w:t>
      </w:r>
      <w:r>
        <w:t xml:space="preserve">, which enforces outcome, process and institutional</w:t>
      </w:r>
      <w:r>
        <w:t xml:space="preserve"> </w:t>
      </w:r>
      <w:r>
        <w:t xml:space="preserve">validity in code: spatial checks and mandatory uncertainty per tile,</w:t>
      </w:r>
      <w:r>
        <w:t xml:space="preserve"> </w:t>
      </w:r>
      <w:r>
        <w:t xml:space="preserve">SHA-256 lineage in an append-only audit, a declarative policy of who may</w:t>
      </w:r>
      <w:r>
        <w:t xml:space="preserve"> </w:t>
      </w:r>
      <w:r>
        <w:t xml:space="preserve">be told what at which resolution, a distribution policy verified by a CI</w:t>
      </w:r>
      <w:r>
        <w:t xml:space="preserve"> </w:t>
      </w:r>
      <w:r>
        <w:t xml:space="preserve">gate, and citation-by-default for every sentence the agent utters. The</w:t>
      </w:r>
      <w:r>
        <w:t xml:space="preserve"> </w:t>
      </w:r>
      <w:r>
        <w:t xml:space="preserve">value judgements are made explicit and handed back to people: vulnerability</w:t>
      </w:r>
      <w:r>
        <w:t xml:space="preserve"> </w:t>
      </w:r>
      <w:r>
        <w:t xml:space="preserve">is CDC SVI as published, exposure is the 2020 census, priority is a</w:t>
      </w:r>
      <w:r>
        <w:t xml:space="preserve"> </w:t>
      </w:r>
      <w:r>
        <w:t xml:space="preserve">trade-off a planner sets on a slider, and residents receive context and</w:t>
      </w:r>
      <w:r>
        <w:t xml:space="preserve"> </w:t>
      </w:r>
      <w:r>
        <w:t xml:space="preserve">guidance rather than assessments of their own parcel. We then ask what it</w:t>
      </w:r>
      <w:r>
        <w:t xml:space="preserve"> </w:t>
      </w:r>
      <w:r>
        <w:t xml:space="preserve">takes for a vision–language model’s output to count as evidence, grading</w:t>
      </w:r>
      <w:r>
        <w:t xml:space="preserve"> </w:t>
      </w:r>
      <w:r>
        <w:t xml:space="preserve">1</w:t>
      </w:r>
      <w:r>
        <w:t xml:space="preserve">,</w:t>
      </w:r>
      <w:r>
        <w:t xml:space="preserve">225 labelled samples per model with six open VLMs on one GPU under</w:t>
      </w:r>
      <w:r>
        <w:t xml:space="preserve"> </w:t>
      </w:r>
      <w:r>
        <w:t xml:space="preserve">verbatim published prompts; the results are published as an evaluation</w:t>
      </w:r>
      <w:r>
        <w:t xml:space="preserve"> </w:t>
      </w:r>
      <w:r>
        <w:t xml:space="preserve">and refused as a claim. The audit record preserves three incidents where</w:t>
      </w:r>
      <w:r>
        <w:t xml:space="preserve"> </w:t>
      </w:r>
      <w:r>
        <w:t xml:space="preserve">the harness caught the system violating its own rules, and 363 Python and</w:t>
      </w:r>
      <w:r>
        <w:t xml:space="preserve"> </w:t>
      </w:r>
      <w:r>
        <w:t xml:space="preserve">67 app tests form a verifiable evaluation environment. We close with what</w:t>
      </w:r>
      <w:r>
        <w:t xml:space="preserve"> </w:t>
      </w:r>
      <w:r>
        <w:t xml:space="preserve">this architecture cannot do, and why we think an agent in public</w:t>
      </w:r>
      <w:r>
        <w:t xml:space="preserve"> </w:t>
      </w:r>
      <w:r>
        <w:t xml:space="preserve">decision-making should be a steward rather than an oracle.</w:t>
      </w:r>
    </w:p>
    <w:p>
      <w:pPr>
        <w:pStyle w:val="FirstParagraph"/>
      </w:pPr>
      <w:r>
        <w:rPr>
          <w:b/>
          <w:bCs/>
        </w:rPr>
        <w:t xml:space="preserve">Keywords:</w:t>
      </w:r>
      <w:r>
        <w:t xml:space="preserve"> </w:t>
      </w:r>
      <w:r>
        <w:t xml:space="preserve">GeoAI agents, accountability, disaster resilience, social vulnerability, provenance, policy enforcement, vision–language models, H3</w:t>
      </w:r>
    </w:p>
    <w:bookmarkStart w:id="11" w:name="introduction"/>
    <w:p>
      <w:pPr>
        <w:pStyle w:val="Heading1"/>
      </w:pPr>
      <w:r>
        <w:t xml:space="preserve">Introduction</w:t>
      </w:r>
    </w:p>
    <w:p>
      <w:pPr>
        <w:pStyle w:val="FirstParagraph"/>
      </w:pPr>
      <w:r>
        <w:t xml:space="preserve">Large-language-model agents can now operate geographic information</w:t>
      </w:r>
      <w:r>
        <w:t xml:space="preserve"> </w:t>
      </w:r>
      <w:r>
        <w:t xml:space="preserve">systems with little human intervention</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In disaster response that</w:t>
      </w:r>
      <w:r>
        <w:t xml:space="preserve"> </w:t>
      </w:r>
      <w:r>
        <w:t xml:space="preserve">capability meets an unforgiving audience: an emergency manager acting on a</w:t>
      </w:r>
      <w:r>
        <w:t xml:space="preserve"> </w:t>
      </w:r>
      <w:r>
        <w:t xml:space="preserve">tile-level damage estimate, or a resident reading a sentence about their</w:t>
      </w:r>
      <w:r>
        <w:t xml:space="preserve"> </w:t>
      </w:r>
      <w:r>
        <w:t xml:space="preserve">own street, cannot audit a transformer. The prevailing answer is a</w:t>
      </w:r>
      <w:r>
        <w:t xml:space="preserve"> </w:t>
      </w:r>
      <w:r>
        <w:t xml:space="preserve">disclaimer, which locates accountability in the reader. RAY locates it in</w:t>
      </w:r>
      <w:r>
        <w:t xml:space="preserve"> </w:t>
      </w:r>
      <w:r>
        <w:t xml:space="preserve">the system. Following</w:t>
      </w:r>
      <w:r>
        <w:t xml:space="preserve"> </w:t>
      </w:r>
      <w:r>
        <w:t xml:space="preserve">[</w:t>
      </w:r>
      <w:hyperlink w:anchor="ref-yang2026accountable">
        <w:r>
          <w:rPr>
            <w:rStyle w:val="Hyperlink"/>
          </w:rPr>
          <w:t xml:space="preserve">6</w:t>
        </w:r>
      </w:hyperlink>
      <w:r>
        <w:t xml:space="preserve">]</w:t>
      </w:r>
      <w:r>
        <w:t xml:space="preserve">, we treat an agent’s</w:t>
      </w:r>
      <w:r>
        <w:t xml:space="preserve"> </w:t>
      </w:r>
      <w:r>
        <w:t xml:space="preserve">claim as valid only when the</w:t>
      </w:r>
      <w:r>
        <w:t xml:space="preserve"> </w:t>
      </w:r>
      <w:r>
        <w:rPr>
          <w:i/>
          <w:iCs/>
        </w:rPr>
        <w:t xml:space="preserve">outcome</w:t>
      </w:r>
      <w:r>
        <w:t xml:space="preserve"> </w:t>
      </w:r>
      <w:r>
        <w:t xml:space="preserve">passes executable spatial</w:t>
      </w:r>
      <w:r>
        <w:t xml:space="preserve"> </w:t>
      </w:r>
      <w:r>
        <w:t xml:space="preserve">checks, the</w:t>
      </w:r>
      <w:r>
        <w:t xml:space="preserve"> </w:t>
      </w:r>
      <w:r>
        <w:rPr>
          <w:i/>
          <w:iCs/>
        </w:rPr>
        <w:t xml:space="preserve">process</w:t>
      </w:r>
      <w:r>
        <w:t xml:space="preserve"> </w:t>
      </w:r>
      <w:r>
        <w:t xml:space="preserve">is preserved and inspectable, and the claim is</w:t>
      </w:r>
      <w:r>
        <w:t xml:space="preserve"> </w:t>
      </w:r>
      <w:r>
        <w:rPr>
          <w:i/>
          <w:iCs/>
        </w:rPr>
        <w:t xml:space="preserve">institutionally</w:t>
      </w:r>
      <w:r>
        <w:t xml:space="preserve"> </w:t>
      </w:r>
      <w:r>
        <w:t xml:space="preserve">authorized — the right actor asserting the right</w:t>
      </w:r>
      <w:r>
        <w:t xml:space="preserve"> </w:t>
      </w:r>
      <w:r>
        <w:t xml:space="preserve">thing at the right resolution — and we add a fourth question raised by</w:t>
      </w:r>
      <w:r>
        <w:t xml:space="preserve"> </w:t>
      </w:r>
      <w:r>
        <w:t xml:space="preserve">third-party data: what can a</w:t>
      </w:r>
      <w:r>
        <w:t xml:space="preserve"> </w:t>
      </w:r>
      <w:r>
        <w:rPr>
          <w:i/>
          <w:iCs/>
        </w:rPr>
        <w:t xml:space="preserve">reader</w:t>
      </w:r>
      <w:r>
        <w:t xml:space="preserve"> </w:t>
      </w:r>
      <w:r>
        <w:t xml:space="preserve">do to check this, and may the</w:t>
      </w:r>
      <w:r>
        <w:t xml:space="preserve"> </w:t>
      </w:r>
      <w:r>
        <w:t xml:space="preserve">evidence be kept at all?</w:t>
      </w:r>
    </w:p>
    <w:p>
      <w:pPr>
        <w:pStyle w:val="BodyText"/>
      </w:pPr>
      <w:r>
        <w:t xml:space="preserve">This paper describes the deployed system</w:t>
      </w:r>
      <w:r>
        <w:rPr>
          <w:rStyle w:val="FootnoteReference"/>
        </w:rPr>
        <w:footnoteReference w:id="9"/>
      </w:r>
      <w:r>
        <w:t xml:space="preserve"> </w:t>
      </w:r>
      <w:r>
        <w:t xml:space="preserve">along the</w:t>
      </w:r>
      <w:r>
        <w:t xml:space="preserve"> </w:t>
      </w:r>
      <w:r>
        <w:t xml:space="preserve">four axes of the Track A rubric.</w:t>
      </w:r>
      <w:r>
        <w:t xml:space="preserve"> </w:t>
      </w:r>
      <w:r>
        <w:rPr>
          <w:i/>
          <w:iCs/>
        </w:rPr>
        <w:t xml:space="preserve">Autonomy</w:t>
      </w:r>
      <w:r>
        <w:t xml:space="preserve"> </w:t>
      </w:r>
      <w:r>
        <w:t xml:space="preserve">(§2):</w:t>
      </w:r>
      <w:r>
        <w:t xml:space="preserve"> </w:t>
      </w:r>
      <w:r>
        <w:t xml:space="preserve">the pipelines write, run and check spatial analysis on their own, and the</w:t>
      </w:r>
      <w:r>
        <w:t xml:space="preserve"> </w:t>
      </w:r>
      <w:r>
        <w:t xml:space="preserve">places where a human sets a parameter are deliberate.</w:t>
      </w:r>
      <w:r>
        <w:t xml:space="preserve"> </w:t>
      </w:r>
      <w:r>
        <w:rPr>
          <w:i/>
          <w:iCs/>
        </w:rPr>
        <w:t xml:space="preserve">Robustness and</w:t>
      </w:r>
      <w:r>
        <w:rPr>
          <w:i/>
          <w:iCs/>
        </w:rPr>
        <w:t xml:space="preserve"> </w:t>
      </w:r>
      <w:r>
        <w:rPr>
          <w:i/>
          <w:iCs/>
        </w:rPr>
        <w:t xml:space="preserve">generalizability</w:t>
      </w:r>
      <w:r>
        <w:t xml:space="preserve"> </w:t>
      </w:r>
      <w:r>
        <w:t xml:space="preserve">(§3): missing data, failing endpoints and</w:t>
      </w:r>
      <w:r>
        <w:t xml:space="preserve"> </w:t>
      </w:r>
      <w:r>
        <w:t xml:space="preserve">mismatched geographies are declared rather than smoothed, by one harness</w:t>
      </w:r>
      <w:r>
        <w:t xml:space="preserve"> </w:t>
      </w:r>
      <w:r>
        <w:t xml:space="preserve">that produced three cases in two states and two hazard types.</w:t>
      </w:r>
      <w:r>
        <w:t xml:space="preserve"> </w:t>
      </w:r>
      <w:r>
        <w:rPr>
          <w:i/>
          <w:iCs/>
        </w:rPr>
        <w:t xml:space="preserve">Social good alignment</w:t>
      </w:r>
      <w:r>
        <w:t xml:space="preserve"> </w:t>
      </w:r>
      <w:r>
        <w:t xml:space="preserve">(§4): vulnerability, exposure</w:t>
      </w:r>
      <w:r>
        <w:t xml:space="preserve"> </w:t>
      </w:r>
      <w:r>
        <w:t xml:space="preserve">and priority are defined operationally, the trade-off is the user’s, and</w:t>
      </w:r>
      <w:r>
        <w:t xml:space="preserve"> </w:t>
      </w:r>
      <w:r>
        <w:t xml:space="preserve">equity is enforced as rules about who may be told what.</w:t>
      </w:r>
      <w:r>
        <w:t xml:space="preserve"> </w:t>
      </w:r>
      <w:r>
        <w:rPr>
          <w:i/>
          <w:iCs/>
        </w:rPr>
        <w:t xml:space="preserve">Innovation</w:t>
      </w:r>
      <w:r>
        <w:rPr>
          <w:i/>
          <w:iCs/>
        </w:rPr>
        <w:t xml:space="preserve"> </w:t>
      </w:r>
      <w:r>
        <w:rPr>
          <w:i/>
          <w:iCs/>
        </w:rPr>
        <w:t xml:space="preserve">and reflection</w:t>
      </w:r>
      <w:r>
        <w:t xml:space="preserve"> </w:t>
      </w:r>
      <w:r>
        <w:t xml:space="preserve">(§5–6): model output treated</w:t>
      </w:r>
      <w:r>
        <w:t xml:space="preserve"> </w:t>
      </w:r>
      <w:r>
        <w:t xml:space="preserve">as governed evidence, three self-caught violations, and the limits of the</w:t>
      </w:r>
      <w:r>
        <w:t xml:space="preserve"> </w:t>
      </w:r>
      <w:r>
        <w:t xml:space="preserve">whole approach.</w:t>
      </w:r>
    </w:p>
    <w:bookmarkEnd w:id="11"/>
    <w:bookmarkStart w:id="15" w:name="sec:autonomy"/>
    <w:p>
      <w:pPr>
        <w:pStyle w:val="Heading1"/>
      </w:pPr>
      <w:r>
        <w:t xml:space="preserve">Autonomy Under Constraint</w:t>
      </w:r>
    </w:p>
    <w:p>
      <w:pPr>
        <w:pStyle w:val="FirstParagraph"/>
      </w:pPr>
      <w:r>
        <w:rPr>
          <w:b/>
          <w:bCs/>
        </w:rPr>
        <w:t xml:space="preserve">What runs without a human.</w:t>
      </w:r>
      <w:r>
        <w:t xml:space="preserve"> </w:t>
      </w:r>
      <w:r>
        <w:t xml:space="preserve">The data plane is a set of GitHub</w:t>
      </w:r>
      <w:r>
        <w:t xml:space="preserve"> </w:t>
      </w:r>
      <w:r>
        <w:t xml:space="preserve">Actions pipelines. Four keyless federal connectors (USGS earthquakes, NWS</w:t>
      </w:r>
      <w:r>
        <w:t xml:space="preserve"> </w:t>
      </w:r>
      <w:r>
        <w:t xml:space="preserve">alerts, NHC tropical cyclones, NIFC/WFIGS wildfires) refresh hourly and</w:t>
      </w:r>
      <w:r>
        <w:t xml:space="preserve"> </w:t>
      </w:r>
      <w:r>
        <w:t xml:space="preserve">write append-only snapshots and a national watch product. Deep-case</w:t>
      </w:r>
      <w:r>
        <w:t xml:space="preserve"> </w:t>
      </w:r>
      <w:r>
        <w:t xml:space="preserve">builders ingest raw registries and execute the spatial logic end to end:</w:t>
      </w:r>
      <w:r>
        <w:t xml:space="preserve"> </w:t>
      </w:r>
      <w:r>
        <w:t xml:space="preserve">18</w:t>
      </w:r>
      <w:r>
        <w:t xml:space="preserve">,</w:t>
      </w:r>
      <w:r>
        <w:t xml:space="preserve">428 CAL FIRE DINS structure points binned to a 265-cell H3 r9 grid</w:t>
      </w:r>
      <w:r>
        <w:t xml:space="preserve"> </w:t>
      </w:r>
      <w:r>
        <w:t xml:space="preserve">with per-severity counts; CDC SVI tract ranks assigned to cells by</w:t>
      </w:r>
      <w:r>
        <w:t xml:space="preserve"> </w:t>
      </w:r>
      <w:r>
        <w:t xml:space="preserve">point-in-polygon; 2020 census blocks allocated to tiles by centroid;</w:t>
      </w:r>
      <w:r>
        <w:t xml:space="preserve"> </w:t>
      </w:r>
      <w:r>
        <w:t xml:space="preserve">2</w:t>
      </w:r>
      <w:r>
        <w:t xml:space="preserve">,</w:t>
      </w:r>
      <w:r>
        <w:t xml:space="preserve">244 reliability-gated cross-view street samples matched to a coverage</w:t>
      </w:r>
      <w:r>
        <w:t xml:space="preserve"> </w:t>
      </w:r>
      <w:r>
        <w:t xml:space="preserve">grid; and, in §5, six vision–language models grading 1</w:t>
      </w:r>
      <w:r>
        <w:t xml:space="preserve">,</w:t>
      </w:r>
      <w:r>
        <w:t xml:space="preserve">225</w:t>
      </w:r>
      <w:r>
        <w:t xml:space="preserve"> </w:t>
      </w:r>
      <w:r>
        <w:t xml:space="preserve">labelled images per model through one endpoint contract. No low-level</w:t>
      </w:r>
      <w:r>
        <w:t xml:space="preserve"> </w:t>
      </w:r>
      <w:r>
        <w:t xml:space="preserve">cleaning is done by hand. A hashed dataset registry (134</w:t>
      </w:r>
      <w:r>
        <w:t xml:space="preserve">,</w:t>
      </w:r>
      <w:r>
        <w:t xml:space="preserve">272 files,</w:t>
      </w:r>
      <w:r>
        <w:t xml:space="preserve"> </w:t>
      </w:r>
      <m:oMath>
        <m:r>
          <m:rPr>
            <m:sty m:val="p"/>
          </m:rPr>
          <m:t>∼</m:t>
        </m:r>
      </m:oMath>
      <w:r>
        <w:t xml:space="preserve">33 GB) carries a label crosswalk onto one canonical severity scale;</w:t>
      </w:r>
      <w:r>
        <w:t xml:space="preserve"> </w:t>
      </w:r>
      <w:r>
        <w:t xml:space="preserve">CDC’s</w:t>
      </w:r>
      <w:r>
        <w:t xml:space="preserve"> </w:t>
      </w:r>
      <m:oMath>
        <m:r>
          <m:rPr>
            <m:sty m:val="p"/>
          </m:rPr>
          <m:t>−</m:t>
        </m:r>
        <m:r>
          <m:t>999</m:t>
        </m:r>
      </m:oMath>
      <w:r>
        <w:t xml:space="preserve"> </w:t>
      </w:r>
      <w:r>
        <w:t xml:space="preserve">sentinel becomes a counted missing value, never a number; and</w:t>
      </w:r>
      <w:r>
        <w:t xml:space="preserve"> </w:t>
      </w:r>
      <w:r>
        <w:t xml:space="preserve">when the Hugging Face repackaging of the Milton pair set disagreed with</w:t>
      </w:r>
      <w:r>
        <w:t xml:space="preserve"> </w:t>
      </w:r>
      <w:r>
        <w:t xml:space="preserve">the Figshare pair table on 182 of 2</w:t>
      </w:r>
      <w:r>
        <w:t xml:space="preserve">,</w:t>
      </w:r>
      <w:r>
        <w:t xml:space="preserve">556 pairs, the builder took the</w:t>
      </w:r>
      <w:r>
        <w:t xml:space="preserve"> </w:t>
      </w:r>
      <w:r>
        <w:t xml:space="preserve">table as truth and</w:t>
      </w:r>
      <w:r>
        <w:t xml:space="preserve"> </w:t>
      </w:r>
      <w:r>
        <w:rPr>
          <w:i/>
          <w:iCs/>
        </w:rPr>
        <w:t xml:space="preserve">recorded</w:t>
      </w:r>
      <w:r>
        <w:t xml:space="preserve"> </w:t>
      </w:r>
      <w:r>
        <w:t xml:space="preserve">the disagreement instead of</w:t>
      </w:r>
      <w:r>
        <w:t xml:space="preserve"> </w:t>
      </w:r>
      <w:r>
        <w:t xml:space="preserve">reconciling it.</w:t>
      </w:r>
    </w:p>
    <w:p>
      <w:pPr>
        <w:pStyle w:val="BodyText"/>
      </w:pPr>
      <w:r>
        <w:rPr>
          <w:b/>
          <w:bCs/>
        </w:rPr>
        <w:t xml:space="preserve">Debugging as a first-class record.</w:t>
      </w:r>
      <w:r>
        <w:t xml:space="preserve"> </w:t>
      </w:r>
      <w:r>
        <w:t xml:space="preserve">Autonomous code fails. The</w:t>
      </w:r>
      <w:r>
        <w:t xml:space="preserve"> </w:t>
      </w:r>
      <w:r>
        <w:t xml:space="preserve">harness’s answer is not a retry loop but fail-closed stages whose</w:t>
      </w:r>
      <w:r>
        <w:t xml:space="preserve"> </w:t>
      </w:r>
      <w:r>
        <w:t xml:space="preserve">failures are written down: an over-strict tract-join assertion during the</w:t>
      </w:r>
      <w:r>
        <w:t xml:space="preserve"> </w:t>
      </w:r>
      <w:r>
        <w:t xml:space="preserve">Eaton SVI build was rejected, logged, and corrected in a later run, and</w:t>
      </w:r>
      <w:r>
        <w:t xml:space="preserve"> </w:t>
      </w:r>
      <w:r>
        <w:t xml:space="preserve">the log keeps both rows. Every artifact carries a SHA-256 digest and an</w:t>
      </w:r>
      <w:r>
        <w:t xml:space="preserve"> </w:t>
      </w:r>
      <w:r>
        <w:t xml:space="preserve">audit row (agent, inputs, UTC time); every grid cell must carry an</w:t>
      </w:r>
      <w:r>
        <w:t xml:space="preserve"> </w:t>
      </w:r>
      <w:r>
        <w:t xml:space="preserve">uncertainty block or the build fails.</w:t>
      </w:r>
    </w:p>
    <w:p>
      <w:pPr>
        <w:pStyle w:val="BodyText"/>
      </w:pPr>
      <w:r>
        <w:rPr>
          <w:b/>
          <w:bCs/>
        </w:rPr>
        <w:t xml:space="preserve">Where the human is, on purpose.</w:t>
      </w:r>
      <w:r>
        <w:t xml:space="preserve"> </w:t>
      </w:r>
      <w:r>
        <w:t xml:space="preserve">The language-model agent, Ray,</w:t>
      </w:r>
      <w:r>
        <w:t xml:space="preserve"> </w:t>
      </w:r>
      <w:r>
        <w:t xml:space="preserve">answers questions; it does not choose which pipelines run. We declined an</w:t>
      </w:r>
      <w:r>
        <w:t xml:space="preserve"> </w:t>
      </w:r>
      <w:r>
        <w:t xml:space="preserve">LLM task planner deliberately: a model deciding which analyses execute</w:t>
      </w:r>
      <w:r>
        <w:t xml:space="preserve"> </w:t>
      </w:r>
      <w:r>
        <w:t xml:space="preserve">cannot be reconciled with a policy that decides what may be asserted. The</w:t>
      </w:r>
      <w:r>
        <w:t xml:space="preserve"> </w:t>
      </w:r>
      <w:r>
        <w:t xml:space="preserve">human-in-the-loop points are explicit. A user selects a role (resident or</w:t>
      </w:r>
      <w:r>
        <w:t xml:space="preserve"> </w:t>
      </w:r>
      <w:r>
        <w:t xml:space="preserve">planner), which changes what the agent may say. A planner sets the one</w:t>
      </w:r>
      <w:r>
        <w:t xml:space="preserve"> </w:t>
      </w:r>
      <w:r>
        <w:t xml:space="preserve">value-laden parameter the system computes with — an inspection priority</w:t>
      </w:r>
      <w:r>
        <w:t xml:space="preserve"> </w:t>
      </w:r>
      <m:oMath>
        <m:r>
          <m:t>t</m:t>
        </m:r>
        <m:r>
          <m:rPr>
            <m:sty m:val="p"/>
          </m:rPr>
          <m:t>⋅</m:t>
        </m:r>
        <m:r>
          <m:rPr>
            <m:sty m:val="p"/>
          </m:rPr>
          <m:t>d</m:t>
        </m:r>
        <m:r>
          <m:rPr>
            <m:sty m:val="p"/>
          </m:rPr>
          <m:t>a</m:t>
        </m:r>
        <m:r>
          <m:rPr>
            <m:sty m:val="p"/>
          </m:rPr>
          <m:t>m</m:t>
        </m:r>
        <m:r>
          <m:rPr>
            <m:sty m:val="p"/>
          </m:rPr>
          <m:t>a</m:t>
        </m:r>
        <m:r>
          <m:rPr>
            <m:sty m:val="p"/>
          </m:rPr>
          <m:t>g</m:t>
        </m:r>
        <m:r>
          <m:rPr>
            <m:sty m:val="p"/>
          </m:rPr>
          <m:t>e</m:t>
        </m:r>
        <m:r>
          <m:rPr>
            <m:sty m:val="p"/>
          </m:rPr>
          <m:t>+</m:t>
        </m:r>
        <m:r>
          <m:rPr>
            <m:sty m:val="p"/>
          </m:rPr>
          <m:t>(</m:t>
        </m:r>
        <m:r>
          <m:t>1</m:t>
        </m:r>
        <m:r>
          <m:rPr>
            <m:sty m:val="p"/>
          </m:rPr>
          <m:t>−</m:t>
        </m:r>
        <m:r>
          <m:t>t</m:t>
        </m:r>
        <m:r>
          <m:rPr>
            <m:sty m:val="p"/>
          </m:rPr>
          <m:t>)</m:t>
        </m:r>
        <m:r>
          <m:rPr>
            <m:sty m:val="p"/>
          </m:rPr>
          <m:t>⋅</m:t>
        </m:r>
        <m:r>
          <m:rPr>
            <m:sty m:val="p"/>
          </m:rPr>
          <m:t>S</m:t>
        </m:r>
        <m:r>
          <m:rPr>
            <m:sty m:val="p"/>
          </m:rPr>
          <m:t>V</m:t>
        </m:r>
        <m:r>
          <m:rPr>
            <m:sty m:val="p"/>
          </m:rPr>
          <m:t>I</m:t>
        </m:r>
      </m:oMath>
      <w:r>
        <w:t xml:space="preserve"> </w:t>
      </w:r>
      <w:r>
        <w:t xml:space="preserve">on a live slider, tiles</w:t>
      </w:r>
      <w:r>
        <w:t xml:space="preserve"> </w:t>
      </w:r>
      <w:r>
        <w:t xml:space="preserve">scored with partial data flagged, every adjustment audit-logged — and can</w:t>
      </w:r>
      <w:r>
        <w:t xml:space="preserve"> </w:t>
      </w:r>
      <w:r>
        <w:t xml:space="preserve">draw an area and ask about it, receiving an answer that covers only the</w:t>
      </w:r>
      <w:r>
        <w:t xml:space="preserve"> </w:t>
      </w:r>
      <w:r>
        <w:t xml:space="preserve">evaluated tiles inside it and highlights the tiles it cited. A resident</w:t>
      </w:r>
      <w:r>
        <w:t xml:space="preserve"> </w:t>
      </w:r>
      <w:r>
        <w:t xml:space="preserve">enters an address and receives one of three answers: covered, outside the</w:t>
      </w:r>
      <w:r>
        <w:t xml:space="preserve"> </w:t>
      </w:r>
      <w:r>
        <w:t xml:space="preserve">evaluated areas, or</w:t>
      </w:r>
      <w:r>
        <w:t xml:space="preserve"> </w:t>
      </w:r>
      <w:r>
        <w:rPr>
          <w:i/>
          <w:iCs/>
        </w:rPr>
        <w:t xml:space="preserve">not determined</w:t>
      </w:r>
      <w:r>
        <w:t xml:space="preserve"> </w:t>
      </w:r>
      <w:r>
        <w:t xml:space="preserve">when a layer could not be read.</w:t>
      </w:r>
      <w:r>
        <w:t xml:space="preserve"> </w:t>
      </w:r>
      <w:r>
        <w:t xml:space="preserve">The system will not claim an address is outside areas it failed to look</w:t>
      </w:r>
      <w:r>
        <w:t xml:space="preserve"> </w:t>
      </w:r>
      <w:r>
        <w:t xml:space="preserve">at.</w:t>
      </w:r>
    </w:p>
    <w:p>
      <w:pPr>
        <w:pStyle w:val="CaptionedFigure"/>
      </w:pPr>
      <w:r>
        <w:drawing>
          <wp:inline>
            <wp:extent cx="5334000" cy="2631439"/>
            <wp:effectExtent b="0" l="0" r="0" t="0"/>
            <wp:docPr descr="" title="" id="13" name="Picture"/>
            <a:graphic>
              <a:graphicData uri="http://schemas.openxmlformats.org/drawingml/2006/picture">
                <pic:pic>
                  <pic:nvPicPr>
                    <pic:cNvPr descr="figures/fig2_lifecycle.png" id="14" name="Picture"/>
                    <pic:cNvPicPr>
                      <a:picLocks noChangeArrowheads="1" noChangeAspect="1"/>
                    </pic:cNvPicPr>
                  </pic:nvPicPr>
                  <pic:blipFill>
                    <a:blip r:embed="rId12"/>
                    <a:stretch>
                      <a:fillRect/>
                    </a:stretch>
                  </pic:blipFill>
                  <pic:spPr bwMode="auto">
                    <a:xfrm>
                      <a:off x="0" y="0"/>
                      <a:ext cx="5334000" cy="2631439"/>
                    </a:xfrm>
                    <a:prstGeom prst="rect">
                      <a:avLst/>
                    </a:prstGeom>
                    <a:noFill/>
                    <a:ln w="9525">
                      <a:noFill/>
                      <a:headEnd/>
                      <a:tailEnd/>
                    </a:ln>
                  </pic:spPr>
                </pic:pic>
              </a:graphicData>
            </a:graphic>
          </wp:inline>
        </w:drawing>
      </w:r>
    </w:p>
    <w:p>
      <w:pPr>
        <w:pStyle w:val="ImageCaption"/>
      </w:pPr>
      <w:r>
        <w:t xml:space="preserve">Figure 1. One question through the agent gateway. Two deterministic gates bracket the model: the claim-plane pre-check decides whether this role may ask this of this place at this resolution before any model call, and the citation post-check refuses any factual sentence without an artifact identifier. The audit stores the H3 cell, not the point, and the question as a digest.</w:t>
      </w:r>
    </w:p>
    <w:bookmarkEnd w:id="15"/>
    <w:bookmarkStart w:id="25" w:name="sec:robust"/>
    <w:p>
      <w:pPr>
        <w:pStyle w:val="Heading1"/>
      </w:pPr>
      <w:r>
        <w:t xml:space="preserve">Robustness and Generalizability</w:t>
      </w:r>
    </w:p>
    <w:p>
      <w:pPr>
        <w:pStyle w:val="FirstParagraph"/>
      </w:pPr>
      <w:r>
        <w:rPr>
          <w:b/>
          <w:bCs/>
        </w:rPr>
        <w:t xml:space="preserve">The Steward Harness</w:t>
      </w:r>
      <w:r>
        <w:t xml:space="preserve"> </w:t>
      </w:r>
      <w:r>
        <w:t xml:space="preserve">sits between every pipeline stage, and</w:t>
      </w:r>
      <w:r>
        <w:t xml:space="preserve"> </w:t>
      </w:r>
      <w:r>
        <w:t xml:space="preserve">between the model and every sentence it emits.</w:t>
      </w:r>
      <w:r>
        <w:t xml:space="preserve"> </w:t>
      </w:r>
      <w:r>
        <w:rPr>
          <w:i/>
          <w:iCs/>
        </w:rPr>
        <w:t xml:space="preserve">Outcome validity</w:t>
      </w:r>
      <w:r>
        <w:t xml:space="preserve">:</w:t>
      </w:r>
      <w:r>
        <w:t xml:space="preserve"> </w:t>
      </w:r>
      <w:r>
        <w:t xml:space="preserve">CRS assertions, join integrity, sanity bounds, mandatory per-tile</w:t>
      </w:r>
      <w:r>
        <w:t xml:space="preserve"> </w:t>
      </w:r>
      <w:r>
        <w:t xml:space="preserve">uncertainty.</w:t>
      </w:r>
      <w:r>
        <w:t xml:space="preserve"> </w:t>
      </w:r>
      <w:r>
        <w:rPr>
          <w:i/>
          <w:iCs/>
        </w:rPr>
        <w:t xml:space="preserve">Process validity</w:t>
      </w:r>
      <w:r>
        <w:t xml:space="preserve">: SHA-256 lineage in an append-only</w:t>
      </w:r>
      <w:r>
        <w:t xml:space="preserve"> </w:t>
      </w:r>
      <w:r>
        <w:t xml:space="preserve">audit the app renders from any layer back to source snapshots; the</w:t>
      </w:r>
      <w:r>
        <w:t xml:space="preserve"> </w:t>
      </w:r>
      <w:r>
        <w:t xml:space="preserve">gateway’s audit stores a point as its H3 cell and a question as a digest,</w:t>
      </w:r>
      <w:r>
        <w:t xml:space="preserve"> </w:t>
      </w:r>
      <w:r>
        <w:t xml:space="preserve">so a caller can prove their question produced a row without the log</w:t>
      </w:r>
      <w:r>
        <w:t xml:space="preserve"> </w:t>
      </w:r>
      <w:r>
        <w:t xml:space="preserve">retaining what a resident typed about their own home.</w:t>
      </w:r>
      <w:r>
        <w:t xml:space="preserve"> </w:t>
      </w:r>
      <w:r>
        <w:rPr>
          <w:i/>
          <w:iCs/>
        </w:rPr>
        <w:t xml:space="preserve">Institutional</w:t>
      </w:r>
      <w:r>
        <w:rPr>
          <w:i/>
          <w:iCs/>
        </w:rPr>
        <w:t xml:space="preserve"> </w:t>
      </w:r>
      <w:r>
        <w:rPr>
          <w:i/>
          <w:iCs/>
        </w:rPr>
        <w:t xml:space="preserve">validity</w:t>
      </w:r>
      <w:r>
        <w:t xml:space="preserve">: one YAML policy with two planes of ordered, first-match rules,</w:t>
      </w:r>
      <w:r>
        <w:t xml:space="preserve"> </w:t>
      </w:r>
      <w:r>
        <w:t xml:space="preserve">default deny, validated at load. The</w:t>
      </w:r>
      <w:r>
        <w:t xml:space="preserve"> </w:t>
      </w:r>
      <w:r>
        <w:rPr>
          <w:i/>
          <w:iCs/>
        </w:rPr>
        <w:t xml:space="preserve">claim plane</w:t>
      </w:r>
      <w:r>
        <w:t xml:space="preserve"> </w:t>
      </w:r>
      <w:r>
        <w:t xml:space="preserve">scopes what may be</w:t>
      </w:r>
      <w:r>
        <w:t xml:space="preserve"> </w:t>
      </w:r>
      <w:r>
        <w:t xml:space="preserve">asserted by role, evidence tier, resolution and geography; the</w:t>
      </w:r>
      <w:r>
        <w:t xml:space="preserve"> </w:t>
      </w:r>
      <w:r>
        <w:rPr>
          <w:i/>
          <w:iCs/>
        </w:rPr>
        <w:t xml:space="preserve">distribution plane</w:t>
      </w:r>
      <w:r>
        <w:t xml:space="preserve"> </w:t>
      </w:r>
      <w:r>
        <w:t xml:space="preserve">scopes what a build may</w:t>
      </w:r>
      <w:r>
        <w:t xml:space="preserve"> </w:t>
      </w:r>
      <w:r>
        <w:rPr>
          <w:i/>
          <w:iCs/>
        </w:rPr>
        <w:t xml:space="preserve">publish</w:t>
      </w:r>
      <w:r>
        <w:t xml:space="preserve">, and CI</w:t>
      </w:r>
      <w:r>
        <w:t xml:space="preserve"> </w:t>
      </w:r>
      <w:r>
        <w:t xml:space="preserve">verifies the assembled site against it and fails the deploy on violation.</w:t>
      </w:r>
      <w:r>
        <w:t xml:space="preserve"> </w:t>
      </w:r>
      <w:r>
        <w:t xml:space="preserve">One</w:t>
      </w:r>
      <w:r>
        <w:t xml:space="preserve"> </w:t>
      </w:r>
      <w:r>
        <w:rPr>
          <w:rStyle w:val="VerbatimChar"/>
        </w:rPr>
        <w:t xml:space="preserve">published_events</w:t>
      </w:r>
      <w:r>
        <w:t xml:space="preserve"> </w:t>
      </w:r>
      <w:r>
        <w:t xml:space="preserve">list feeds both planes.</w:t>
      </w:r>
      <w:r>
        <w:t xml:space="preserve"> </w:t>
      </w:r>
      <w:r>
        <w:rPr>
          <w:i/>
          <w:iCs/>
        </w:rPr>
        <w:t xml:space="preserve">Citation by</w:t>
      </w:r>
      <w:r>
        <w:rPr>
          <w:i/>
          <w:iCs/>
        </w:rPr>
        <w:t xml:space="preserve"> </w:t>
      </w:r>
      <w:r>
        <w:rPr>
          <w:i/>
          <w:iCs/>
        </w:rPr>
        <w:t xml:space="preserve">default</w:t>
      </w:r>
      <w:r>
        <w:t xml:space="preserve">: every factual sentence cites an artifact identifier or is</w:t>
      </w:r>
      <w:r>
        <w:t xml:space="preserve"> </w:t>
      </w:r>
      <w:r>
        <w:t xml:space="preserve">refused; the exemption set is closed, so an unanticipated sentence form</w:t>
      </w:r>
      <w:r>
        <w:t xml:space="preserve"> </w:t>
      </w:r>
      <w:r>
        <w:t xml:space="preserve">costs a refusal, not an uncited claim.</w:t>
      </w:r>
      <w:r>
        <w:t xml:space="preserve"> </w:t>
      </w:r>
      <w:r>
        <w:rPr>
          <w:i/>
          <w:iCs/>
        </w:rPr>
        <w:t xml:space="preserve">Verifiability</w:t>
      </w:r>
      <w:r>
        <w:t xml:space="preserve">: each artifact</w:t>
      </w:r>
      <w:r>
        <w:t xml:space="preserve"> </w:t>
      </w:r>
      <w:r>
        <w:t xml:space="preserve">carries</w:t>
      </w:r>
      <w:r>
        <w:t xml:space="preserve"> </w:t>
      </w:r>
      <w:r>
        <w:rPr>
          <w:rStyle w:val="VerbatimChar"/>
        </w:rPr>
        <w:t xml:space="preserve">retained</w:t>
      </w:r>
      <w:r>
        <w:t xml:space="preserve"> </w:t>
      </w:r>
      <m:oMath>
        <m:r>
          <m:rPr>
            <m:sty m:val="p"/>
          </m:rPr>
          <m:t>&gt;</m:t>
        </m:r>
      </m:oMath>
      <w:r>
        <w:t xml:space="preserve"> </w:t>
      </w:r>
      <w:r>
        <w:rPr>
          <w:rStyle w:val="VerbatimChar"/>
        </w:rPr>
        <w:t xml:space="preserve">re-derivable</w:t>
      </w:r>
      <w:r>
        <w:t xml:space="preserve"> </w:t>
      </w:r>
      <m:oMath>
        <m:r>
          <m:rPr>
            <m:sty m:val="p"/>
          </m:rPr>
          <m:t>&gt;</m:t>
        </m:r>
      </m:oMath>
      <w:r>
        <w:t xml:space="preserve"> </w:t>
      </w:r>
      <w:r>
        <w:rPr>
          <w:rStyle w:val="VerbatimChar"/>
        </w:rPr>
        <w:t xml:space="preserve">cited-only</w:t>
      </w:r>
      <w:r>
        <w:t xml:space="preserve"> </w:t>
      </w:r>
      <w:r>
        <w:t xml:space="preserve">with weakest-link aggregation and a</w:t>
      </w:r>
      <w:r>
        <w:t xml:space="preserve"> </w:t>
      </w:r>
      <w:r>
        <w:rPr>
          <w:rStyle w:val="VerbatimChar"/>
        </w:rPr>
        <w:t xml:space="preserve">license</w:t>
      </w:r>
      <w:r>
        <w:t xml:space="preserve"> </w:t>
      </w:r>
      <w:r>
        <w:t xml:space="preserve">attribute; where map-platform terms forbid retention, the harness attests</w:t>
      </w:r>
      <w:r>
        <w:t xml:space="preserve"> </w:t>
      </w:r>
      <w:r>
        <w:t xml:space="preserve">to the request plus a response digest, a record publishable because it</w:t>
      </w:r>
      <w:r>
        <w:t xml:space="preserve"> </w:t>
      </w:r>
      <w:r>
        <w:t xml:space="preserve">holds no content, and a property test proves no payload reaches the audit.</w:t>
      </w:r>
    </w:p>
    <w:p>
      <w:pPr>
        <w:pStyle w:val="CaptionedFigure"/>
      </w:pPr>
      <w:r>
        <w:drawing>
          <wp:inline>
            <wp:extent cx="5334000" cy="3555999"/>
            <wp:effectExtent b="0" l="0" r="0" t="0"/>
            <wp:docPr descr="" title="" id="17" name="Picture"/>
            <a:graphic>
              <a:graphicData uri="http://schemas.openxmlformats.org/drawingml/2006/picture">
                <pic:pic>
                  <pic:nvPicPr>
                    <pic:cNvPr descr="figures/fig1_architecture.png" id="18" name="Picture"/>
                    <pic:cNvPicPr>
                      <a:picLocks noChangeArrowheads="1" noChangeAspect="1"/>
                    </pic:cNvPicPr>
                  </pic:nvPicPr>
                  <pic:blipFill>
                    <a:blip r:embed="rId16"/>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 RAY is three loosely coupled planes on top of one harness. The Steward Harness sits between every pipeline stage and between the model and every sentence it emits, enforcing outcome, process, and institutional validity, plus a per-claim verifiability axis. The distribution plane is verified by a CI gate that fails the deploy on violation.</w:t>
      </w:r>
    </w:p>
    <w:p>
      <w:pPr>
        <w:pStyle w:val="BodyText"/>
      </w:pPr>
      <w:r>
        <w:rPr>
          <w:b/>
          <w:bCs/>
        </w:rPr>
        <w:t xml:space="preserve">Real-world complications, declared.</w:t>
      </w:r>
      <w:r>
        <w:t xml:space="preserve"> </w:t>
      </w:r>
      <w:r>
        <w:rPr>
          <w:i/>
          <w:iCs/>
        </w:rPr>
        <w:t xml:space="preserve">Missing data</w:t>
      </w:r>
      <w:r>
        <w:t xml:space="preserve">: 42 of</w:t>
      </w:r>
      <w:r>
        <w:t xml:space="preserve"> </w:t>
      </w:r>
      <w:r>
        <w:t xml:space="preserve">295 Palisades images lack EXIF GPS, so the grid covers photographed</w:t>
      </w:r>
      <w:r>
        <w:t xml:space="preserve"> </w:t>
      </w:r>
      <w:r>
        <w:t xml:space="preserve">structures and says so; a source that fails leaves the watch badge</w:t>
      </w:r>
      <w:r>
        <w:t xml:space="preserve"> </w:t>
      </w:r>
      <w:r>
        <w:t xml:space="preserve">reporting</w:t>
      </w:r>
      <w:r>
        <w:t xml:space="preserve"> </w:t>
      </w:r>
      <w:r>
        <w:rPr>
          <w:i/>
          <w:iCs/>
        </w:rPr>
        <w:t xml:space="preserve">mapped-of-total</w:t>
      </w:r>
      <w:r>
        <w:t xml:space="preserve"> </w:t>
      </w:r>
      <w:r>
        <w:t xml:space="preserve">and naming the source; a class with</w:t>
      </w:r>
      <w:r>
        <w:t xml:space="preserve"> </w:t>
      </w:r>
      <m:oMath>
        <m:r>
          <m:t>n</m:t>
        </m:r>
        <m:r>
          <m:rPr>
            <m:sty m:val="p"/>
          </m:rPr>
          <m:t>=</m:t>
        </m:r>
        <m:r>
          <m:t>30</m:t>
        </m:r>
      </m:oMath>
      <w:r>
        <w:t xml:space="preserve"> </w:t>
      </w:r>
      <w:r>
        <w:t xml:space="preserve">is declared as lacking power.</w:t>
      </w:r>
      <w:r>
        <w:t xml:space="preserve"> </w:t>
      </w:r>
      <w:r>
        <w:rPr>
          <w:i/>
          <w:iCs/>
        </w:rPr>
        <w:t xml:space="preserve">Endpoints</w:t>
      </w:r>
      <w:r>
        <w:t xml:space="preserve">: an ArcGIS error</w:t>
      </w:r>
      <w:r>
        <w:t xml:space="preserve"> </w:t>
      </w:r>
      <w:r>
        <w:t xml:space="preserve">envelope fails the wildfire connector closed instead of reporting zero</w:t>
      </w:r>
      <w:r>
        <w:t xml:space="preserve"> </w:t>
      </w:r>
      <w:r>
        <w:t xml:space="preserve">fires; live adapters time out at 30–60 s and record the timeout; a</w:t>
      </w:r>
      <w:r>
        <w:t xml:space="preserve"> </w:t>
      </w:r>
      <w:r>
        <w:t xml:space="preserve">model call that times out is a recorded</w:t>
      </w:r>
      <w:r>
        <w:t xml:space="preserve"> </w:t>
      </w:r>
      <w:r>
        <w:rPr>
          <w:rStyle w:val="VerbatimChar"/>
        </w:rPr>
        <w:t xml:space="preserve">LLMUnavailable</w:t>
      </w:r>
      <w:r>
        <w:t xml:space="preserve">, and a</w:t>
      </w:r>
      <w:r>
        <w:t xml:space="preserve"> </w:t>
      </w:r>
      <w:r>
        <w:t xml:space="preserve">model the serving stack cannot load is a declared failure, not a zero.</w:t>
      </w:r>
      <w:r>
        <w:t xml:space="preserve"> </w:t>
      </w:r>
      <w:r>
        <w:rPr>
          <w:i/>
          <w:iCs/>
        </w:rPr>
        <w:t xml:space="preserve">Spatial misalignment</w:t>
      </w:r>
      <w:r>
        <w:t xml:space="preserve">: tract-level SVI on an H3 cell is a downscaling</w:t>
      </w:r>
      <w:r>
        <w:t xml:space="preserve"> </w:t>
      </w:r>
      <w:r>
        <w:t xml:space="preserve">approximation stated per feature; a census block straddling tiles is</w:t>
      </w:r>
      <w:r>
        <w:t xml:space="preserve"> </w:t>
      </w:r>
      <w:r>
        <w:t xml:space="preserve">wholly assigned to its centroid’s tile, and no areal interpolation is</w:t>
      </w:r>
      <w:r>
        <w:t xml:space="preserve"> </w:t>
      </w:r>
      <w:r>
        <w:t xml:space="preserve">invented; population outside the evaluated tiles is reported as a total,</w:t>
      </w:r>
      <w:r>
        <w:t xml:space="preserve"> </w:t>
      </w:r>
      <w:r>
        <w:t xml:space="preserve">never mapped into cells the event has no evidence for; post-event Milton</w:t>
      </w:r>
      <w:r>
        <w:t xml:space="preserve"> </w:t>
      </w:r>
      <w:r>
        <w:t xml:space="preserve">imagery is season-cumulative (Debby, Helene, Milton) and every feature</w:t>
      </w:r>
      <w:r>
        <w:t xml:space="preserve"> </w:t>
      </w:r>
      <w:r>
        <w:t xml:space="preserve">carries that attribution caveat.</w:t>
      </w:r>
    </w:p>
    <w:p>
      <w:pPr>
        <w:pStyle w:val="CaptionedFigure"/>
      </w:pPr>
      <w:r>
        <w:drawing>
          <wp:inline>
            <wp:extent cx="5334000" cy="2915919"/>
            <wp:effectExtent b="0" l="0" r="0" t="0"/>
            <wp:docPr descr="" title="" id="20" name="Picture"/>
            <a:graphic>
              <a:graphicData uri="http://schemas.openxmlformats.org/drawingml/2006/picture">
                <pic:pic>
                  <pic:nvPicPr>
                    <pic:cNvPr descr="figures/fig3_verifiability.png" id="21" name="Picture"/>
                    <pic:cNvPicPr>
                      <a:picLocks noChangeArrowheads="1" noChangeAspect="1"/>
                    </pic:cNvPicPr>
                  </pic:nvPicPr>
                  <pic:blipFill>
                    <a:blip r:embed="rId19"/>
                    <a:stretch>
                      <a:fillRect/>
                    </a:stretch>
                  </pic:blipFill>
                  <pic:spPr bwMode="auto">
                    <a:xfrm>
                      <a:off x="0" y="0"/>
                      <a:ext cx="5334000" cy="2915919"/>
                    </a:xfrm>
                    <a:prstGeom prst="rect">
                      <a:avLst/>
                    </a:prstGeom>
                    <a:noFill/>
                    <a:ln w="9525">
                      <a:noFill/>
                      <a:headEnd/>
                      <a:tailEnd/>
                    </a:ln>
                  </pic:spPr>
                </pic:pic>
              </a:graphicData>
            </a:graphic>
          </wp:inline>
        </w:drawing>
      </w:r>
    </w:p>
    <w:p>
      <w:pPr>
        <w:pStyle w:val="ImageCaption"/>
      </w:pPr>
      <w:r>
        <w:t xml:space="preserve">Figure 3. The verifiability axis states what a reader can do to check a claim, with weakest-link aggregation across an answer’s citations. Re-derivable evidence covers the case where license terms forbid retention: the harness attests to the request plus a response digest, a record that is publishable precisely because it holds no content. The license attribute gates redistribution by rule.</w:t>
      </w:r>
    </w:p>
    <w:p>
      <w:pPr>
        <w:pStyle w:val="BodyText"/>
      </w:pPr>
      <w:r>
        <w:rPr>
          <w:b/>
          <w:bCs/>
        </w:rPr>
        <w:t xml:space="preserve">Generalizability.</w:t>
      </w:r>
      <w:r>
        <w:t xml:space="preserve"> </w:t>
      </w:r>
      <w:r>
        <w:t xml:space="preserve">The same harness, policy and app produced the</w:t>
      </w:r>
      <w:r>
        <w:t xml:space="preserve"> </w:t>
      </w:r>
      <w:r>
        <w:t xml:space="preserve">Eaton Fire 2025 (CA, wildfire), Hurricane Milton 2024 (FL) and Hurricane</w:t>
      </w:r>
      <w:r>
        <w:t xml:space="preserve"> </w:t>
      </w:r>
      <w:r>
        <w:t xml:space="preserve">Ian 2022 (FL) cases; adding an event is a dossier directory and one entry</w:t>
      </w:r>
      <w:r>
        <w:t xml:space="preserve"> </w:t>
      </w:r>
      <w:r>
        <w:t xml:space="preserve">in</w:t>
      </w:r>
      <w:r>
        <w:t xml:space="preserve"> </w:t>
      </w:r>
      <w:r>
        <w:rPr>
          <w:rStyle w:val="VerbatimChar"/>
        </w:rPr>
        <w:t xml:space="preserve">published_events</w:t>
      </w:r>
      <w:r>
        <w:t xml:space="preserve">, and the policy contains no geography. The</w:t>
      </w:r>
      <w:r>
        <w:t xml:space="preserve"> </w:t>
      </w:r>
      <w:r>
        <w:t xml:space="preserve">Tier-1 watch is nationwide by construction. Where evidence does not</w:t>
      </w:r>
      <w:r>
        <w:t xml:space="preserve"> </w:t>
      </w:r>
      <w:r>
        <w:t xml:space="preserve">generalize the system says so: Ian’s 4</w:t>
      </w:r>
      <w:r>
        <w:t xml:space="preserve">,</w:t>
      </w:r>
      <w:r>
        <w:t xml:space="preserve">121 further street-view positions</w:t>
      </w:r>
      <w:r>
        <w:t xml:space="preserve"> </w:t>
      </w:r>
      <w:r>
        <w:t xml:space="preserve">ship as a density-only layer because no verifiable per-point severity link</w:t>
      </w:r>
      <w:r>
        <w:t xml:space="preserve"> </w:t>
      </w:r>
      <w:r>
        <w:t xml:space="preserve">exists. The test suite is the robustness evidence: 363 Python and 67 app</w:t>
      </w:r>
      <w:r>
        <w:t xml:space="preserve"> </w:t>
      </w:r>
      <w:r>
        <w:t xml:space="preserve">tests in CI, including a cell-by-cell policy-matrix sweep (every role</w:t>
      </w:r>
      <w:r>
        <w:t xml:space="preserve"> </w:t>
      </w:r>
      <m:oMath>
        <m:r>
          <m:rPr>
            <m:sty m:val="p"/>
          </m:rPr>
          <m:t>×</m:t>
        </m:r>
      </m:oMath>
      <w:r>
        <w:t xml:space="preserve"> </w:t>
      </w:r>
      <w:r>
        <w:t xml:space="preserve">tier</w:t>
      </w:r>
      <w:r>
        <w:t xml:space="preserve"> </w:t>
      </w:r>
      <m:oMath>
        <m:r>
          <m:rPr>
            <m:sty m:val="p"/>
          </m:rPr>
          <m:t>×</m:t>
        </m:r>
      </m:oMath>
      <w:r>
        <w:t xml:space="preserve"> </w:t>
      </w:r>
      <w:r>
        <w:t xml:space="preserve">resolution), adversarial claim checks, connector</w:t>
      </w:r>
      <w:r>
        <w:t xml:space="preserve"> </w:t>
      </w:r>
      <w:r>
        <w:t xml:space="preserve">tests against real error envelopes, and an allowlist drift check that</w:t>
      </w:r>
      <w:r>
        <w:t xml:space="preserve"> </w:t>
      </w:r>
      <w:r>
        <w:t xml:space="preserve">fails on any hand edit. Judges can run it in two commands from the README.</w:t>
      </w:r>
    </w:p>
    <w:p>
      <w:pPr>
        <w:pStyle w:val="CaptionedFigure"/>
      </w:pPr>
      <w:r>
        <w:drawing>
          <wp:inline>
            <wp:extent cx="5334000" cy="3271519"/>
            <wp:effectExtent b="0" l="0" r="0" t="0"/>
            <wp:docPr descr="" title="" id="23" name="Picture"/>
            <a:graphic>
              <a:graphicData uri="http://schemas.openxmlformats.org/drawingml/2006/picture">
                <pic:pic>
                  <pic:nvPicPr>
                    <pic:cNvPr descr="figures/fig4_cases.png" id="24" name="Picture"/>
                    <pic:cNvPicPr>
                      <a:picLocks noChangeArrowheads="1" noChangeAspect="1"/>
                    </pic:cNvPicPr>
                  </pic:nvPicPr>
                  <pic:blipFill>
                    <a:blip r:embed="rId22"/>
                    <a:stretch>
                      <a:fillRect/>
                    </a:stretch>
                  </pic:blipFill>
                  <pic:spPr bwMode="auto">
                    <a:xfrm>
                      <a:off x="0" y="0"/>
                      <a:ext cx="5334000" cy="3271519"/>
                    </a:xfrm>
                    <a:prstGeom prst="rect">
                      <a:avLst/>
                    </a:prstGeom>
                    <a:noFill/>
                    <a:ln w="9525">
                      <a:noFill/>
                      <a:headEnd/>
                      <a:tailEnd/>
                    </a:ln>
                  </pic:spPr>
                </pic:pic>
              </a:graphicData>
            </a:graphic>
          </wp:inline>
        </w:drawing>
      </w:r>
    </w:p>
    <w:p>
      <w:pPr>
        <w:pStyle w:val="ImageCaption"/>
      </w:pPr>
      <w:r>
        <w:t xml:space="preserve">Figure 4. Three deep cases across two hazard types, behind a nationwide hourly watch. Every number is a committed, hashed artifact; every card carries a declared unknown alongside its findings.</w:t>
      </w:r>
    </w:p>
    <w:bookmarkEnd w:id="25"/>
    <w:bookmarkStart w:id="26" w:name="sec:social"/>
    <w:p>
      <w:pPr>
        <w:pStyle w:val="Heading1"/>
      </w:pPr>
      <w:r>
        <w:t xml:space="preserve">Social Good Alignment</w:t>
      </w:r>
    </w:p>
    <w:p>
      <w:pPr>
        <w:pStyle w:val="FirstParagraph"/>
      </w:pPr>
      <w:r>
        <w:rPr>
          <w:b/>
          <w:bCs/>
        </w:rPr>
        <w:t xml:space="preserve">Definitions, operationalized.</w:t>
      </w:r>
      <w:r>
        <w:t xml:space="preserve"> </w:t>
      </w:r>
      <w:r>
        <w:rPr>
          <w:i/>
          <w:iCs/>
        </w:rPr>
        <w:t xml:space="preserve">Vulnerability</w:t>
      </w:r>
      <w:r>
        <w:t xml:space="preserve"> </w:t>
      </w:r>
      <w:r>
        <w:t xml:space="preserve">is the CDC/ATSDR</w:t>
      </w:r>
      <w:r>
        <w:t xml:space="preserve"> </w:t>
      </w:r>
      <w:r>
        <w:t xml:space="preserve">SVI 2022 percentile rank (overall and four themes) of the census tract a</w:t>
      </w:r>
      <w:r>
        <w:t xml:space="preserve"> </w:t>
      </w:r>
      <w:r>
        <w:t xml:space="preserve">cell falls in, published as a tract quantity and downscaled with the</w:t>
      </w:r>
      <w:r>
        <w:t xml:space="preserve"> </w:t>
      </w:r>
      <w:r>
        <w:t xml:space="preserve">approximation declared; the system adds no index of its own.</w:t>
      </w:r>
      <w:r>
        <w:t xml:space="preserve"> </w:t>
      </w:r>
      <w:r>
        <w:rPr>
          <w:i/>
          <w:iCs/>
        </w:rPr>
        <w:t xml:space="preserve">Exposure</w:t>
      </w:r>
      <w:r>
        <w:t xml:space="preserve"> </w:t>
      </w:r>
      <w:r>
        <w:t xml:space="preserve">is 2020 decennial population by block, declared as</w:t>
      </w:r>
      <w:r>
        <w:t xml:space="preserve"> </w:t>
      </w:r>
      <w:r>
        <w:t xml:space="preserve">pre-event population, not who was present.</w:t>
      </w:r>
      <w:r>
        <w:t xml:space="preserve"> </w:t>
      </w:r>
      <w:r>
        <w:rPr>
          <w:i/>
          <w:iCs/>
        </w:rPr>
        <w:t xml:space="preserve">Damage</w:t>
      </w:r>
      <w:r>
        <w:t xml:space="preserve"> </w:t>
      </w:r>
      <w:r>
        <w:t xml:space="preserve">is an official</w:t>
      </w:r>
      <w:r>
        <w:t xml:space="preserve"> </w:t>
      </w:r>
      <w:r>
        <w:t xml:space="preserve">or human label — CAL FIRE DINS classes, a repairability label derived</w:t>
      </w:r>
      <w:r>
        <w:t xml:space="preserve"> </w:t>
      </w:r>
      <w:r>
        <w:t xml:space="preserve">from them, or a human perception label on a street-view pair — never a</w:t>
      </w:r>
      <w:r>
        <w:t xml:space="preserve"> </w:t>
      </w:r>
      <w:r>
        <w:t xml:space="preserve">model’s guess (§5).</w:t>
      </w:r>
      <w:r>
        <w:t xml:space="preserve"> </w:t>
      </w:r>
      <w:r>
        <w:rPr>
          <w:i/>
          <w:iCs/>
        </w:rPr>
        <w:t xml:space="preserve">Priority</w:t>
      </w:r>
      <w:r>
        <w:t xml:space="preserve"> </w:t>
      </w:r>
      <w:r>
        <w:t xml:space="preserve">is</w:t>
      </w:r>
      <w:r>
        <w:t xml:space="preserve"> </w:t>
      </w:r>
      <m:oMath>
        <m:r>
          <m:t>t</m:t>
        </m:r>
        <m:r>
          <m:rPr>
            <m:sty m:val="p"/>
          </m:rPr>
          <m:t>⋅</m:t>
        </m:r>
        <m:r>
          <m:rPr>
            <m:sty m:val="p"/>
          </m:rPr>
          <m:t>d</m:t>
        </m:r>
        <m:r>
          <m:rPr>
            <m:sty m:val="p"/>
          </m:rPr>
          <m:t>a</m:t>
        </m:r>
        <m:r>
          <m:rPr>
            <m:sty m:val="p"/>
          </m:rPr>
          <m:t>m</m:t>
        </m:r>
        <m:r>
          <m:rPr>
            <m:sty m:val="p"/>
          </m:rPr>
          <m:t>a</m:t>
        </m:r>
        <m:r>
          <m:rPr>
            <m:sty m:val="p"/>
          </m:rPr>
          <m:t>g</m:t>
        </m:r>
        <m:r>
          <m:rPr>
            <m:sty m:val="p"/>
          </m:rPr>
          <m:t>e</m:t>
        </m:r>
        <m:r>
          <m:rPr>
            <m:sty m:val="p"/>
          </m:rPr>
          <m:t>+</m:t>
        </m:r>
        <m:r>
          <m:rPr>
            <m:sty m:val="p"/>
          </m:rPr>
          <m:t>(</m:t>
        </m:r>
        <m:r>
          <m:t>1</m:t>
        </m:r>
        <m:r>
          <m:rPr>
            <m:sty m:val="p"/>
          </m:rPr>
          <m:t>−</m:t>
        </m:r>
        <m:r>
          <m:t>t</m:t>
        </m:r>
        <m:r>
          <m:rPr>
            <m:sty m:val="p"/>
          </m:rPr>
          <m:t>)</m:t>
        </m:r>
        <m:r>
          <m:rPr>
            <m:sty m:val="p"/>
          </m:rPr>
          <m:t>⋅</m:t>
        </m:r>
        <m:r>
          <m:rPr>
            <m:sty m:val="p"/>
          </m:rPr>
          <m:t>S</m:t>
        </m:r>
        <m:r>
          <m:rPr>
            <m:sty m:val="p"/>
          </m:rPr>
          <m:t>V</m:t>
        </m:r>
        <m:r>
          <m:rPr>
            <m:sty m:val="p"/>
          </m:rPr>
          <m:t>I</m:t>
        </m:r>
      </m:oMath>
      <w:r>
        <w:t xml:space="preserve"> </w:t>
      </w:r>
      <w:r>
        <w:t xml:space="preserve">with</w:t>
      </w:r>
      <w:r>
        <w:t xml:space="preserve"> </w:t>
      </w:r>
      <m:oMath>
        <m:r>
          <m:t>t</m:t>
        </m:r>
      </m:oMath>
      <w:r>
        <w:t xml:space="preserve"> </w:t>
      </w:r>
      <w:r>
        <w:t xml:space="preserve">chosen by the</w:t>
      </w:r>
      <w:r>
        <w:t xml:space="preserve"> </w:t>
      </w:r>
      <w:r>
        <w:t xml:space="preserve">planner; the system computes the trade-off, it does not own it. Each</w:t>
      </w:r>
      <w:r>
        <w:t xml:space="preserve"> </w:t>
      </w:r>
      <w:r>
        <w:t xml:space="preserve">definition is a committed artifact with a hashed source snapshot, so a</w:t>
      </w:r>
      <w:r>
        <w:t xml:space="preserve"> </w:t>
      </w:r>
      <w:r>
        <w:t xml:space="preserve">reader who disagrees with a definition can see exactly what to disagree</w:t>
      </w:r>
      <w:r>
        <w:t xml:space="preserve"> </w:t>
      </w:r>
      <w:r>
        <w:t xml:space="preserve">with.</w:t>
      </w:r>
    </w:p>
    <w:p>
      <w:pPr>
        <w:pStyle w:val="BodyText"/>
      </w:pPr>
      <w:r>
        <w:rPr>
          <w:b/>
          <w:bCs/>
        </w:rPr>
        <w:t xml:space="preserve">Equity as enforced rules.</w:t>
      </w:r>
      <w:r>
        <w:t xml:space="preserve"> </w:t>
      </w:r>
      <w:r>
        <w:t xml:space="preserve">Fairness here is not a metric but a set</w:t>
      </w:r>
      <w:r>
        <w:t xml:space="preserve"> </w:t>
      </w:r>
      <w:r>
        <w:t xml:space="preserve">of institutional constraints about who may be told what, each a named</w:t>
      </w:r>
      <w:r>
        <w:t xml:space="preserve"> </w:t>
      </w:r>
      <w:r>
        <w:t xml:space="preserve">rule.</w:t>
      </w:r>
      <w:r>
        <w:t xml:space="preserve"> </w:t>
      </w:r>
      <w:r>
        <w:rPr>
          <w:i/>
          <w:iCs/>
        </w:rPr>
        <w:t xml:space="preserve">No parcel for anyone</w:t>
      </w:r>
      <w:r>
        <w:t xml:space="preserve">: no role receives a parcel-level claim;</w:t>
      </w:r>
      <w:r>
        <w:t xml:space="preserve"> </w:t>
      </w:r>
      <w:r>
        <w:t xml:space="preserve">tile evidence never becomes a statement about a house.</w:t>
      </w:r>
      <w:r>
        <w:t xml:space="preserve"> </w:t>
      </w:r>
      <w:r>
        <w:rPr>
          <w:i/>
          <w:iCs/>
        </w:rPr>
        <w:t xml:space="preserve">No damage</w:t>
      </w:r>
      <w:r>
        <w:rPr>
          <w:i/>
          <w:iCs/>
        </w:rPr>
        <w:t xml:space="preserve"> </w:t>
      </w:r>
      <w:r>
        <w:rPr>
          <w:i/>
          <w:iCs/>
        </w:rPr>
        <w:t xml:space="preserve">assessment for residents</w:t>
      </w:r>
      <w:r>
        <w:t xml:space="preserve">: they receive exposure context and guidance,</w:t>
      </w:r>
      <w:r>
        <w:t xml:space="preserve"> </w:t>
      </w:r>
      <w:r>
        <w:t xml:space="preserve">not raw damage assessments of their own street, because a false</w:t>
      </w:r>
      <w:r>
        <w:t xml:space="preserve"> </w:t>
      </w:r>
      <w:r>
        <w:t xml:space="preserve">“not</w:t>
      </w:r>
      <w:r>
        <w:t xml:space="preserve"> </w:t>
      </w:r>
      <w:r>
        <w:t xml:space="preserve">significantly affected”</w:t>
      </w:r>
      <w:r>
        <w:t xml:space="preserve"> </w:t>
      </w:r>
      <w:r>
        <w:t xml:space="preserve">costs the reader more than a refusal.</w:t>
      </w:r>
      <w:r>
        <w:t xml:space="preserve"> </w:t>
      </w:r>
      <w:r>
        <w:rPr>
          <w:i/>
          <w:iCs/>
        </w:rPr>
        <w:t xml:space="preserve">Planner damage at Tier 3 only</w:t>
      </w:r>
      <w:r>
        <w:t xml:space="preserve">: planners see tile-level damage where</w:t>
      </w:r>
      <w:r>
        <w:t xml:space="preserve"> </w:t>
      </w:r>
      <w:r>
        <w:t xml:space="preserve">Tier-3 cross-view evidence exists. Declared unknowns</w:t>
      </w:r>
      <w:r>
        <w:t xml:space="preserve"> </w:t>
      </w:r>
      <w:r>
        <w:t xml:space="preserve">render as prominently as findings;</w:t>
      </w:r>
      <w:r>
        <w:t xml:space="preserve"> </w:t>
      </w:r>
      <w:r>
        <w:rPr>
          <w:i/>
          <w:iCs/>
        </w:rPr>
        <w:t xml:space="preserve">not determined</w:t>
      </w:r>
      <w:r>
        <w:t xml:space="preserve"> </w:t>
      </w:r>
      <w:r>
        <w:t xml:space="preserve">is a distinct</w:t>
      </w:r>
      <w:r>
        <w:t xml:space="preserve"> </w:t>
      </w:r>
      <w:r>
        <w:t xml:space="preserve">answer from</w:t>
      </w:r>
      <w:r>
        <w:t xml:space="preserve"> </w:t>
      </w:r>
      <w:r>
        <w:rPr>
          <w:i/>
          <w:iCs/>
        </w:rPr>
        <w:t xml:space="preserve">outside</w:t>
      </w:r>
      <w:r>
        <w:t xml:space="preserve">; and no rule authorizes facility claims, so</w:t>
      </w:r>
      <w:r>
        <w:t xml:space="preserve"> </w:t>
      </w:r>
      <w:r>
        <w:t xml:space="preserve">answers about hospitals and shelters default-deny rather than guess.</w:t>
      </w:r>
    </w:p>
    <w:p>
      <w:pPr>
        <w:pStyle w:val="BodyText"/>
      </w:pPr>
      <w:r>
        <w:rPr>
          <w:b/>
          <w:bCs/>
        </w:rPr>
        <w:t xml:space="preserve">Community perspectives, honestly.</w:t>
      </w:r>
      <w:r>
        <w:t xml:space="preserve"> </w:t>
      </w:r>
      <w:r>
        <w:t xml:space="preserve">The Milton truth labels are</w:t>
      </w:r>
      <w:r>
        <w:t xml:space="preserve"> </w:t>
      </w:r>
      <w:r>
        <w:t xml:space="preserve">human damage perception, not an instrument reading, and the resident mode</w:t>
      </w:r>
      <w:r>
        <w:t xml:space="preserve"> </w:t>
      </w:r>
      <w:r>
        <w:t xml:space="preserve">speaks in plain language with every qualifier attached. Beyond that we</w:t>
      </w:r>
      <w:r>
        <w:t xml:space="preserve"> </w:t>
      </w:r>
      <w:r>
        <w:t xml:space="preserve">claim little: no community co-designed these definitions, and no local</w:t>
      </w:r>
      <w:r>
        <w:t xml:space="preserve"> </w:t>
      </w:r>
      <w:r>
        <w:t xml:space="preserve">knowledge enters the pipeline yet. What the architecture offers is the</w:t>
      </w:r>
      <w:r>
        <w:t xml:space="preserve"> </w:t>
      </w:r>
      <w:r>
        <w:rPr>
          <w:i/>
          <w:iCs/>
        </w:rPr>
        <w:t xml:space="preserve">place</w:t>
      </w:r>
      <w:r>
        <w:t xml:space="preserve"> </w:t>
      </w:r>
      <w:r>
        <w:t xml:space="preserve">where negotiated definitions would go — a declarative,</w:t>
      </w:r>
      <w:r>
        <w:t xml:space="preserve"> </w:t>
      </w:r>
      <w:r>
        <w:t xml:space="preserve">human-readable policy file in which a community’s answer to</w:t>
      </w:r>
      <w:r>
        <w:t xml:space="preserve"> </w:t>
      </w:r>
      <w:r>
        <w:t xml:space="preserve">“who may be</w:t>
      </w:r>
      <w:r>
        <w:t xml:space="preserve"> </w:t>
      </w:r>
      <w:r>
        <w:t xml:space="preserve">told what”</w:t>
      </w:r>
      <w:r>
        <w:t xml:space="preserve"> </w:t>
      </w:r>
      <w:r>
        <w:t xml:space="preserve">is a rule, not a prompt — and the record that would let a</w:t>
      </w:r>
      <w:r>
        <w:t xml:space="preserve"> </w:t>
      </w:r>
      <w:r>
        <w:t xml:space="preserve">community check whether the system kept its word.</w:t>
      </w:r>
    </w:p>
    <w:bookmarkEnd w:id="26"/>
    <w:bookmarkStart w:id="37" w:name="sec:vlm"/>
    <w:p>
      <w:pPr>
        <w:pStyle w:val="Heading1"/>
      </w:pPr>
      <w:r>
        <w:t xml:space="preserve">Model Output as Governed Evidence</w:t>
      </w:r>
    </w:p>
    <w:p>
      <w:pPr>
        <w:pStyle w:val="FirstParagraph"/>
      </w:pPr>
      <w:r>
        <w:t xml:space="preserve">The obvious next step for an imagery-rich system is to let a</w:t>
      </w:r>
      <w:r>
        <w:t xml:space="preserve"> </w:t>
      </w:r>
      <w:r>
        <w:t xml:space="preserve">vision–language model (VLM) grade damage. The harness turns that step</w:t>
      </w:r>
      <w:r>
        <w:t xml:space="preserve"> </w:t>
      </w:r>
      <w:r>
        <w:t xml:space="preserve">into a question: under what conditions may a model’s guess become</w:t>
      </w:r>
      <w:r>
        <w:t xml:space="preserve"> </w:t>
      </w:r>
      <w:r>
        <w:t xml:space="preserve">evidence? Model output is a distinct class,</w:t>
      </w:r>
      <w:r>
        <w:t xml:space="preserve"> </w:t>
      </w:r>
      <w:r>
        <w:rPr>
          <w:rStyle w:val="VerbatimChar"/>
        </w:rPr>
        <w:t xml:space="preserve">model_derived</w:t>
      </w:r>
      <w:r>
        <w:t xml:space="preserve">, that</w:t>
      </w:r>
      <w:r>
        <w:t xml:space="preserve"> </w:t>
      </w:r>
      <w:r>
        <w:t xml:space="preserve">carries its own measured accuracy or carries nothing; no claim-plane rule</w:t>
      </w:r>
      <w:r>
        <w:t xml:space="preserve"> </w:t>
      </w:r>
      <w:r>
        <w:t xml:space="preserve">admits it; the gateway’s evidence store refuses to load it. We ported the</w:t>
      </w:r>
      <w:r>
        <w:t xml:space="preserve"> </w:t>
      </w:r>
      <w:r>
        <w:t xml:space="preserve">Damage Recognition prompts of RAPID </w:t>
      </w:r>
      <w:r>
        <w:t xml:space="preserve">[</w:t>
      </w:r>
      <w:hyperlink w:anchor="ref-yang2026rapid">
        <w:r>
          <w:rPr>
            <w:rStyle w:val="Hyperlink"/>
          </w:rPr>
          <w:t xml:space="preserve">5</w:t>
        </w:r>
      </w:hyperlink>
      <w:r>
        <w:t xml:space="preserve">]</w:t>
      </w:r>
      <w:r>
        <w:t xml:space="preserve"> </w:t>
      </w:r>
      <w:r>
        <w:t xml:space="preserve">verbatim (Prompt C</w:t>
      </w:r>
      <w:r>
        <w:t xml:space="preserve"> </w:t>
      </w:r>
      <w:r>
        <w:t xml:space="preserve">single image, five DINS classes; Prompt B pre/post pair, three</w:t>
      </w:r>
      <w:r>
        <w:t xml:space="preserve"> </w:t>
      </w:r>
      <w:r>
        <w:t xml:space="preserve">human-perception classes), froze each as a</w:t>
      </w:r>
      <w:r>
        <w:t xml:space="preserve"> </w:t>
      </w:r>
      <w:r>
        <w:rPr>
          <w:rStyle w:val="VerbatimChar"/>
        </w:rPr>
        <w:t xml:space="preserve">prompt_sha256</w:t>
      </w:r>
      <w:r>
        <w:t xml:space="preserve"> </w:t>
      </w:r>
      <w:r>
        <w:t xml:space="preserve">in every</w:t>
      </w:r>
      <w:r>
        <w:t xml:space="preserve"> </w:t>
      </w:r>
      <w:r>
        <w:t xml:space="preserve">record, and served open weights with Ollama on one RTX 3090 (24 GB), so</w:t>
      </w:r>
      <w:r>
        <w:t xml:space="preserve"> </w:t>
      </w:r>
      <w:r>
        <w:t xml:space="preserve">the run is keyless and repeatable. Three cases: Palisades 2025 (RAPID</w:t>
      </w:r>
      <w:r>
        <w:t xml:space="preserve"> </w:t>
      </w:r>
      <w:r>
        <w:t xml:space="preserve">Dataset C2, 295 images, all graded); Milton 2024 (100 pairs per class,</w:t>
      </w:r>
      <w:r>
        <w:t xml:space="preserve"> </w:t>
      </w:r>
      <w:r>
        <w:t xml:space="preserve">seed 2026); Eaton 2025 (300 per class, the</w:t>
      </w:r>
      <w:r>
        <w:t xml:space="preserve"> </w:t>
      </w:r>
      <m:oMath>
        <m:r>
          <m:t>n</m:t>
        </m:r>
        <m:r>
          <m:rPr>
            <m:sty m:val="p"/>
          </m:rPr>
          <m:t>=</m:t>
        </m:r>
        <m:r>
          <m:t>30</m:t>
        </m:r>
      </m:oMath>
      <w:r>
        <w:t xml:space="preserve"> </w:t>
      </w:r>
      <w:r>
        <w:t xml:space="preserve">minority class fully</w:t>
      </w:r>
      <w:r>
        <w:t xml:space="preserve"> </w:t>
      </w:r>
      <w:r>
        <w:t xml:space="preserve">included; the post-event image only, declared; five classes collapsed</w:t>
      </w:r>
      <w:r>
        <w:t xml:space="preserve"> </w:t>
      </w:r>
      <w:r>
        <w:t xml:space="preserve">onto the set’s three repairability classes). Every prediction is a record</w:t>
      </w:r>
      <w:r>
        <w:t xml:space="preserve"> </w:t>
      </w:r>
      <w:r>
        <w:t xml:space="preserve">with image sha256, truth, prediction, response digest, latency and model</w:t>
      </w:r>
      <w:r>
        <w:t xml:space="preserve"> </w:t>
      </w:r>
      <w:r>
        <w:t xml:space="preserve">digest; an unparseable answer is recorded as such, never coerced. A stage</w:t>
      </w:r>
      <w:r>
        <w:t xml:space="preserve"> </w:t>
      </w:r>
      <w:r>
        <w:t xml:space="preserve">aborts if more than 20 % of answers are off-schema, a metric leaves</w:t>
      </w:r>
      <w:r>
        <w:t xml:space="preserve"> </w:t>
      </w:r>
      <m:oMath>
        <m:r>
          <m:rPr>
            <m:sty m:val="p"/>
          </m:rPr>
          <m:t>[</m:t>
        </m:r>
        <m:r>
          <m:t>0</m:t>
        </m:r>
        <m:r>
          <m:rPr>
            <m:sty m:val="p"/>
          </m:rPr>
          <m:t>,</m:t>
        </m:r>
        <m:r>
          <m:t>1</m:t>
        </m:r>
        <m:r>
          <m:rPr>
            <m:sty m:val="p"/>
          </m:rPr>
          <m:t>]</m:t>
        </m:r>
      </m:oMath>
      <w:r>
        <w:t xml:space="preserve">, fewer than 95 % of graded samples fall inside the event’s</w:t>
      </w:r>
      <w:r>
        <w:t xml:space="preserve"> </w:t>
      </w:r>
      <w:r>
        <w:t xml:space="preserve">committed grid, or any product lacks an uncertainty block. We report</w:t>
      </w:r>
      <w:r>
        <w:t xml:space="preserve"> </w:t>
      </w:r>
      <w:r>
        <w:t xml:space="preserve">accuracy and RAPID’s</w:t>
      </w:r>
      <w:r>
        <w:t xml:space="preserve"> </w:t>
      </w:r>
      <m:oMath>
        <m:r>
          <m:rPr>
            <m:sty m:val="p"/>
          </m:rPr>
          <m:t>N</m:t>
        </m:r>
        <m:r>
          <m:rPr>
            <m:sty m:val="p"/>
          </m:rPr>
          <m:t>C</m:t>
        </m:r>
        <m:r>
          <m:rPr>
            <m:sty m:val="p"/>
          </m:rPr>
          <m:t>S</m:t>
        </m:r>
        <m:r>
          <m:rPr>
            <m:sty m:val="p"/>
          </m:rPr>
          <m:t>E</m:t>
        </m:r>
        <m:r>
          <m:rPr>
            <m:sty m:val="p"/>
          </m:rPr>
          <m:t>=</m:t>
        </m:r>
        <m:bar>
          <m:barPr>
            <m:pos m:val="top"/>
          </m:barPr>
          <m:e>
            <m:r>
              <m:rPr>
                <m:sty m:val="p"/>
              </m:rPr>
              <m:t>|</m:t>
            </m:r>
            <m:r>
              <m:t>y</m:t>
            </m:r>
            <m:r>
              <m:rPr>
                <m:sty m:val="p"/>
              </m:rPr>
              <m:t>−</m:t>
            </m:r>
            <m:acc>
              <m:accPr>
                <m:chr m:val="̂"/>
              </m:accPr>
              <m:e>
                <m:r>
                  <m:t>y</m:t>
                </m:r>
              </m:e>
            </m:acc>
            <m:r>
              <m:rPr>
                <m:sty m:val="p"/>
              </m:rPr>
              <m:t>|</m:t>
            </m:r>
          </m:e>
        </m:bar>
        <m:r>
          <m:rPr>
            <m:sty m:val="p"/>
          </m:rPr>
          <m:t>/</m:t>
        </m:r>
        <m:r>
          <m:rPr>
            <m:sty m:val="p"/>
          </m:rPr>
          <m:t>(</m:t>
        </m:r>
        <m:r>
          <m:t>K</m:t>
        </m:r>
        <m:r>
          <m:rPr>
            <m:sty m:val="p"/>
          </m:rPr>
          <m:t>−</m:t>
        </m:r>
        <m:r>
          <m:t>1</m:t>
        </m:r>
        <m:r>
          <m:rPr>
            <m:sty m:val="p"/>
          </m:rPr>
          <m:t>)</m:t>
        </m:r>
      </m:oMath>
      <w:r>
        <w:t xml:space="preserve">.</w:t>
      </w:r>
    </w:p>
    <w:p>
      <w:pPr>
        <w:pStyle w:val="CaptionedFigure"/>
      </w:pPr>
      <w:r>
        <w:drawing>
          <wp:inline>
            <wp:extent cx="5334000" cy="3235959"/>
            <wp:effectExtent b="0" l="0" r="0" t="0"/>
            <wp:docPr descr="" title="" id="28" name="Picture"/>
            <a:graphic>
              <a:graphicData uri="http://schemas.openxmlformats.org/drawingml/2006/picture">
                <pic:pic>
                  <pic:nvPicPr>
                    <pic:cNvPr descr="figures/fig5_governed.png" id="29" name="Picture"/>
                    <pic:cNvPicPr>
                      <a:picLocks noChangeArrowheads="1" noChangeAspect="1"/>
                    </pic:cNvPicPr>
                  </pic:nvPicPr>
                  <pic:blipFill>
                    <a:blip r:embed="rId27"/>
                    <a:stretch>
                      <a:fillRect/>
                    </a:stretch>
                  </pic:blipFill>
                  <pic:spPr bwMode="auto">
                    <a:xfrm>
                      <a:off x="0" y="0"/>
                      <a:ext cx="5334000" cy="3235959"/>
                    </a:xfrm>
                    <a:prstGeom prst="rect">
                      <a:avLst/>
                    </a:prstGeom>
                    <a:noFill/>
                    <a:ln w="9525">
                      <a:noFill/>
                      <a:headEnd/>
                      <a:tailEnd/>
                    </a:ln>
                  </pic:spPr>
                </pic:pic>
              </a:graphicData>
            </a:graphic>
          </wp:inline>
        </w:drawing>
      </w:r>
    </w:p>
    <w:p>
      <w:pPr>
        <w:pStyle w:val="ImageCaption"/>
      </w:pPr>
      <w:r>
        <w:t xml:space="preserve">Figure 5. A model’s guess on its way to becoming evidence, and where it stops. Prompts are frozen by digest, every prediction is a record, the evaluation fails closed, and the resulting grid is flagged model-derived: the publication planner ships it as an evaluation, the claim plane has no rule that admits it, and the gateway’s evidence store skips it and records the exclusion.</w:t>
      </w:r>
    </w:p>
    <w:bookmarkStart w:id="30" w:name="tab:vlm"/>
    <w:p>
      <w:pPr>
        <w:pStyle w:val="TableCaption"/>
      </w:pPr>
      <w:r>
        <w:t xml:space="preserve">Six open VLMs and a 7B reference, one pass at temperature 0,</w:t>
      </w:r>
      <w:r>
        <w:t xml:space="preserve"> </w:t>
      </w:r>
      <w:r>
        <w:t xml:space="preserve">quantised weights, same seeded samples and prompt digests. Accuracy /</w:t>
      </w:r>
      <w:r>
        <w:t xml:space="preserve"> </w:t>
      </w:r>
      <w:r>
        <w:t xml:space="preserve">NCSE; columns are not comparable with each other. The closed-model row is</w:t>
      </w:r>
      <w:r>
        <w:t xml:space="preserve"> </w:t>
      </w:r>
      <w:r>
        <w:t xml:space="preserve">RAPID’s published number (same Palisades images; a 150-pair Milton</w:t>
      </w:r>
      <w:r>
        <w:t xml:space="preserve"> </w:t>
      </w:r>
      <w:r>
        <w:t xml:space="preserve">subset).</w:t>
      </w:r>
    </w:p>
    <w:tbl>
      <w:tblPr>
        <w:tblStyle w:val="Table"/>
        <w:tblW w:type="auto" w:w="0"/>
        <w:tblLook w:firstRow="1" w:lastRow="0" w:firstColumn="0" w:lastColumn="0" w:noHBand="0" w:noVBand="0" w:val="0020"/>
        <w:tblCaption w:val="Six open VLMs and a 7B reference, one pass at temperature 0, quantised weights, same seeded samples and prompt digests. Accuracy / NCSE; columns are not comparable with each other. The closed-model row is RAPID’s published number (same Palisades images; a 150-pair Milton subse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Palisades (5 cl.)</w:t>
            </w:r>
          </w:p>
        </w:tc>
        <w:tc>
          <w:tcPr/>
          <w:p>
            <w:pPr>
              <w:pStyle w:val="Compact"/>
              <w:jc w:val="center"/>
            </w:pPr>
            <w:r>
              <w:t xml:space="preserve">Milton pairs (3 cl.)</w:t>
            </w:r>
          </w:p>
        </w:tc>
        <w:tc>
          <w:tcPr/>
          <w:p>
            <w:pPr>
              <w:pStyle w:val="Compact"/>
              <w:jc w:val="center"/>
            </w:pPr>
            <w:r>
              <w:t xml:space="preserve">Eaton (3 cl.)</w:t>
            </w:r>
          </w:p>
        </w:tc>
      </w:tr>
      <w:tr>
        <w:tc>
          <w:tcPr/>
          <w:p>
            <w:pPr>
              <w:pStyle w:val="Compact"/>
              <w:jc w:val="left"/>
            </w:pPr>
            <w:r>
              <w:t xml:space="preserve">qwen2.5vl:7b (ref.)</w:t>
            </w:r>
          </w:p>
        </w:tc>
        <w:tc>
          <w:tcPr/>
          <w:p>
            <w:pPr>
              <w:pStyle w:val="Compact"/>
              <w:jc w:val="center"/>
            </w:pPr>
            <w:r>
              <w:t xml:space="preserve">0.475 / 0.213</w:t>
            </w:r>
          </w:p>
        </w:tc>
        <w:tc>
          <w:tcPr/>
          <w:p>
            <w:pPr>
              <w:pStyle w:val="Compact"/>
              <w:jc w:val="center"/>
            </w:pPr>
            <w:r>
              <w:rPr>
                <w:b/>
                <w:bCs/>
              </w:rPr>
              <w:t xml:space="preserve">0.597</w:t>
            </w:r>
            <w:r>
              <w:t xml:space="preserve"> </w:t>
            </w:r>
            <w:r>
              <w:t xml:space="preserve">/ 0.238</w:t>
            </w:r>
          </w:p>
        </w:tc>
        <w:tc>
          <w:tcPr/>
          <w:p>
            <w:pPr>
              <w:pStyle w:val="Compact"/>
              <w:jc w:val="center"/>
            </w:pPr>
            <w:r>
              <w:t xml:space="preserve">0.910 / 0.049</w:t>
            </w:r>
          </w:p>
        </w:tc>
      </w:tr>
      <w:tr>
        <w:tc>
          <w:tcPr/>
          <w:p>
            <w:pPr>
              <w:pStyle w:val="Compact"/>
              <w:jc w:val="left"/>
            </w:pPr>
            <w:r>
              <w:t xml:space="preserve">qwen3-vl:32b</w:t>
            </w:r>
            <m:oMath>
              <m:sSup>
                <m:e>
                  <m:r>
                    <m:t>​</m:t>
                  </m:r>
                </m:e>
                <m:sup>
                  <m:r>
                    <m:rPr>
                      <m:sty m:val="p"/>
                    </m:rPr>
                    <m:t>†</m:t>
                  </m:r>
                </m:sup>
              </m:sSup>
            </m:oMath>
          </w:p>
        </w:tc>
        <w:tc>
          <w:tcPr/>
          <w:p>
            <w:pPr>
              <w:pStyle w:val="Compact"/>
              <w:jc w:val="center"/>
            </w:pPr>
            <w:r>
              <w:rPr>
                <w:b/>
                <w:bCs/>
              </w:rPr>
              <w:t xml:space="preserve">0.554</w:t>
            </w:r>
            <w:r>
              <w:t xml:space="preserve"> </w:t>
            </w:r>
            <w:r>
              <w:t xml:space="preserve">/ 0.176</w:t>
            </w:r>
          </w:p>
        </w:tc>
        <w:tc>
          <w:tcPr/>
          <w:p>
            <w:pPr>
              <w:pStyle w:val="Compact"/>
              <w:jc w:val="center"/>
            </w:pPr>
            <w:r>
              <w:t xml:space="preserve">0.381 / 0.431</w:t>
            </w:r>
          </w:p>
        </w:tc>
        <w:tc>
          <w:tcPr/>
          <w:p>
            <w:pPr>
              <w:pStyle w:val="Compact"/>
              <w:jc w:val="center"/>
            </w:pPr>
            <w:r>
              <w:t xml:space="preserve">0.901 / 0.053</w:t>
            </w:r>
          </w:p>
        </w:tc>
      </w:tr>
      <w:tr>
        <w:tc>
          <w:tcPr/>
          <w:p>
            <w:pPr>
              <w:pStyle w:val="Compact"/>
              <w:jc w:val="left"/>
            </w:pPr>
            <w:r>
              <w:t xml:space="preserve">qwen2.5vl:32b</w:t>
            </w:r>
            <m:oMath>
              <m:sSup>
                <m:e>
                  <m:r>
                    <m:t>​</m:t>
                  </m:r>
                </m:e>
                <m:sup>
                  <m:r>
                    <m:rPr>
                      <m:sty m:val="p"/>
                    </m:rPr>
                    <m:t>†</m:t>
                  </m:r>
                  <m:r>
                    <m:rPr>
                      <m:sty m:val="p"/>
                    </m:rPr>
                    <m:t>‡</m:t>
                  </m:r>
                </m:sup>
              </m:sSup>
            </m:oMath>
          </w:p>
        </w:tc>
        <w:tc>
          <w:tcPr/>
          <w:p>
            <w:pPr>
              <w:pStyle w:val="Compact"/>
              <w:jc w:val="center"/>
            </w:pPr>
            <w:r>
              <w:t xml:space="preserve">0.507 / 0.206</w:t>
            </w:r>
          </w:p>
        </w:tc>
        <w:tc>
          <w:tcPr/>
          <w:p>
            <w:pPr>
              <w:pStyle w:val="Compact"/>
              <w:jc w:val="center"/>
            </w:pPr>
            <w:r>
              <w:t xml:space="preserve">0.560 / 0.240</w:t>
            </w:r>
          </w:p>
        </w:tc>
        <w:tc>
          <w:tcPr/>
          <w:p>
            <w:pPr>
              <w:pStyle w:val="Compact"/>
              <w:jc w:val="center"/>
            </w:pPr>
            <w:r>
              <w:t xml:space="preserve">0.931 / 0.039</w:t>
            </w:r>
          </w:p>
        </w:tc>
      </w:tr>
      <w:tr>
        <w:tc>
          <w:tcPr/>
          <w:p>
            <w:pPr>
              <w:pStyle w:val="Compact"/>
              <w:jc w:val="left"/>
            </w:pPr>
            <w:r>
              <w:t xml:space="preserve">gemma3:27b</w:t>
            </w:r>
          </w:p>
        </w:tc>
        <w:tc>
          <w:tcPr/>
          <w:p>
            <w:pPr>
              <w:pStyle w:val="Compact"/>
              <w:jc w:val="center"/>
            </w:pPr>
            <w:r>
              <w:t xml:space="preserve">0.529 / 0.187</w:t>
            </w:r>
          </w:p>
        </w:tc>
        <w:tc>
          <w:tcPr/>
          <w:p>
            <w:pPr>
              <w:pStyle w:val="Compact"/>
              <w:jc w:val="center"/>
            </w:pPr>
            <w:r>
              <w:t xml:space="preserve">0.500 / 0.257</w:t>
            </w:r>
          </w:p>
        </w:tc>
        <w:tc>
          <w:tcPr/>
          <w:p>
            <w:pPr>
              <w:pStyle w:val="Compact"/>
              <w:jc w:val="center"/>
            </w:pPr>
            <w:r>
              <w:t xml:space="preserve">0.914 / 0.049</w:t>
            </w:r>
          </w:p>
        </w:tc>
      </w:tr>
      <w:tr>
        <w:tc>
          <w:tcPr/>
          <w:p>
            <w:pPr>
              <w:pStyle w:val="Compact"/>
              <w:jc w:val="left"/>
            </w:pPr>
            <w:r>
              <w:t xml:space="preserve">mistral-small3.2:24b</w:t>
            </w:r>
          </w:p>
        </w:tc>
        <w:tc>
          <w:tcPr/>
          <w:p>
            <w:pPr>
              <w:pStyle w:val="Compact"/>
              <w:jc w:val="center"/>
            </w:pPr>
            <w:r>
              <w:t xml:space="preserve">0.505 / 0.203</w:t>
            </w:r>
          </w:p>
        </w:tc>
        <w:tc>
          <w:tcPr/>
          <w:p>
            <w:pPr>
              <w:pStyle w:val="Compact"/>
              <w:jc w:val="center"/>
            </w:pPr>
            <w:r>
              <w:t xml:space="preserve">0.487 / 0.258</w:t>
            </w:r>
          </w:p>
        </w:tc>
        <w:tc>
          <w:tcPr/>
          <w:p>
            <w:pPr>
              <w:pStyle w:val="Compact"/>
              <w:jc w:val="center"/>
            </w:pPr>
            <w:r>
              <w:rPr>
                <w:b/>
                <w:bCs/>
              </w:rPr>
              <w:t xml:space="preserve">0.935</w:t>
            </w:r>
            <w:r>
              <w:t xml:space="preserve"> </w:t>
            </w:r>
            <w:r>
              <w:t xml:space="preserve">/ 0.037</w:t>
            </w:r>
          </w:p>
        </w:tc>
      </w:tr>
      <w:tr>
        <w:tc>
          <w:tcPr/>
          <w:p>
            <w:pPr>
              <w:pStyle w:val="Compact"/>
              <w:jc w:val="left"/>
            </w:pPr>
            <w:r>
              <w:t xml:space="preserve">gemma3:12b</w:t>
            </w:r>
          </w:p>
        </w:tc>
        <w:tc>
          <w:tcPr/>
          <w:p>
            <w:pPr>
              <w:pStyle w:val="Compact"/>
              <w:jc w:val="center"/>
            </w:pPr>
            <w:r>
              <w:t xml:space="preserve">0.546 / 0.178</w:t>
            </w:r>
          </w:p>
        </w:tc>
        <w:tc>
          <w:tcPr/>
          <w:p>
            <w:pPr>
              <w:pStyle w:val="Compact"/>
              <w:jc w:val="center"/>
            </w:pPr>
            <w:r>
              <w:t xml:space="preserve">0.427 / 0.287</w:t>
            </w:r>
          </w:p>
        </w:tc>
        <w:tc>
          <w:tcPr/>
          <w:p>
            <w:pPr>
              <w:pStyle w:val="Compact"/>
              <w:jc w:val="center"/>
            </w:pPr>
            <w:r>
              <w:t xml:space="preserve">0.906 / 0.051</w:t>
            </w:r>
          </w:p>
        </w:tc>
      </w:tr>
      <w:tr>
        <w:tc>
          <w:tcPr/>
          <w:p>
            <w:pPr>
              <w:pStyle w:val="Compact"/>
              <w:jc w:val="left"/>
            </w:pPr>
            <w:r>
              <w:t xml:space="preserve">qwen3-vl:8b</w:t>
            </w:r>
          </w:p>
        </w:tc>
        <w:tc>
          <w:tcPr/>
          <w:p>
            <w:pPr>
              <w:pStyle w:val="Compact"/>
              <w:jc w:val="center"/>
            </w:pPr>
            <w:r>
              <w:t xml:space="preserve">0.514 / 0.195</w:t>
            </w:r>
          </w:p>
        </w:tc>
        <w:tc>
          <w:tcPr/>
          <w:p>
            <w:pPr>
              <w:pStyle w:val="Compact"/>
              <w:jc w:val="center"/>
            </w:pPr>
            <w:r>
              <w:t xml:space="preserve">0.462 / 0.324</w:t>
            </w:r>
          </w:p>
        </w:tc>
        <w:tc>
          <w:tcPr/>
          <w:p>
            <w:pPr>
              <w:pStyle w:val="Compact"/>
              <w:jc w:val="center"/>
            </w:pPr>
            <w:r>
              <w:t xml:space="preserve">0.924 / 0.041</w:t>
            </w:r>
          </w:p>
        </w:tc>
      </w:tr>
      <w:tr>
        <w:tc>
          <w:tcPr/>
          <w:p>
            <w:pPr>
              <w:pStyle w:val="Compact"/>
              <w:jc w:val="left"/>
            </w:pPr>
            <w:r>
              <w:t xml:space="preserve">closed (RAPID)</w:t>
            </w:r>
          </w:p>
        </w:tc>
        <w:tc>
          <w:tcPr/>
          <w:p>
            <w:pPr>
              <w:pStyle w:val="Compact"/>
              <w:jc w:val="center"/>
            </w:pPr>
            <w:r>
              <w:t xml:space="preserve">0.573 GPT-5-mini</w:t>
            </w:r>
          </w:p>
        </w:tc>
        <w:tc>
          <w:tcPr/>
          <w:p>
            <w:pPr>
              <w:pStyle w:val="Compact"/>
              <w:jc w:val="center"/>
            </w:pPr>
            <w:r>
              <w:t xml:space="preserve">0.591 GPT-5.1</w:t>
            </w:r>
          </w:p>
        </w:tc>
        <w:tc>
          <w:tcPr/>
          <w:p>
            <w:pPr>
              <w:pStyle w:val="Compact"/>
              <w:jc w:val="center"/>
            </w:pPr>
            <w:r>
              <w:t xml:space="preserve">—</w:t>
            </w:r>
          </w:p>
        </w:tc>
      </w:tr>
    </w:tbl>
    <w:bookmarkEnd w:id="30"/>
    <w:p>
      <w:pPr>
        <w:pStyle w:val="BodyText"/>
      </w:pPr>
      <m:oMath>
        <m:sSup>
          <m:e>
            <m:r>
              <m:t>​</m:t>
            </m:r>
          </m:e>
          <m:sup>
            <m:r>
              <m:rPr>
                <m:sty m:val="p"/>
              </m:rPr>
              <m:t>†</m:t>
            </m:r>
          </m:sup>
        </m:sSup>
      </m:oMath>
      <w:r>
        <w:t xml:space="preserve">8k context so the weights fit the card;</w:t>
      </w:r>
      <w:r>
        <w:t xml:space="preserve"> </w:t>
      </w:r>
      <m:oMath>
        <m:sSup>
          <m:e>
            <m:r>
              <m:t>​</m:t>
            </m:r>
          </m:e>
          <m:sup>
            <m:r>
              <m:rPr>
                <m:sty m:val="p"/>
              </m:rPr>
              <m:t>‡</m:t>
            </m:r>
          </m:sup>
        </m:sSup>
      </m:oMath>
      <w:r>
        <w:t xml:space="preserve">95 % in</w:t>
      </w:r>
      <w:r>
        <w:t xml:space="preserve"> </w:t>
      </w:r>
      <w:r>
        <w:t xml:space="preserve">VRAM, recorded, because a spilled model is a different run. A seventh</w:t>
      </w:r>
      <w:r>
        <w:t xml:space="preserve"> </w:t>
      </w:r>
      <w:r>
        <w:t xml:space="preserve">model (llama3.2-vision:11b) could not be loaded by the serving stack and</w:t>
      </w:r>
      <w:r>
        <w:t xml:space="preserve"> </w:t>
      </w:r>
      <w:r>
        <w:t xml:space="preserve">is declared a serving failure, not scored.</w:t>
      </w:r>
    </w:p>
    <w:p>
      <w:pPr>
        <w:pStyle w:val="BodyText"/>
      </w:pPr>
      <w:r>
        <w:rPr>
          <w:b/>
          <w:bCs/>
        </w:rPr>
        <w:t xml:space="preserve">What the runs say.</w:t>
      </w:r>
      <w:r>
        <w:t xml:space="preserve"> </w:t>
      </w:r>
      <w:r>
        <w:t xml:space="preserve">Table 1: (i) on a single</w:t>
      </w:r>
      <w:r>
        <w:t xml:space="preserve"> </w:t>
      </w:r>
      <w:r>
        <w:t xml:space="preserve">post-event image every open model beats the 7B reference and the best is</w:t>
      </w:r>
      <w:r>
        <w:t xml:space="preserve"> </w:t>
      </w:r>
      <w:r>
        <w:t xml:space="preserve">within two points of the paper’s closed models, with no monotone size</w:t>
      </w:r>
      <w:r>
        <w:t xml:space="preserve"> </w:t>
      </w:r>
      <w:r>
        <w:t xml:space="preserve">effect — gemma3:12b (0.546) is within a point of qwen3-vl:32b (0.554);</w:t>
      </w:r>
      <w:r>
        <w:t xml:space="preserve"> </w:t>
      </w:r>
      <w:r>
        <w:t xml:space="preserve">(ii) on pre/post pairs no open model beats the 7B reference, and each</w:t>
      </w:r>
      <w:r>
        <w:t xml:space="preserve"> </w:t>
      </w:r>
      <w:r>
        <w:t xml:space="preserve">fails with a different fixed bias — qwen3-vl:32b calls 258 of 300 pairs</w:t>
      </w:r>
      <w:r>
        <w:t xml:space="preserve"> </w:t>
      </w:r>
      <w:r>
        <w:t xml:space="preserve">Severe (Mild recall 0.01), gemma3:12b calls 262 Moderate, mistral 213 —</w:t>
      </w:r>
      <w:r>
        <w:t xml:space="preserve"> </w:t>
      </w:r>
      <w:r>
        <w:t xml:space="preserve">so a vote across models would not be a fix; (iii) Eaton’s</w:t>
      </w:r>
      <w:r>
        <w:t xml:space="preserve"> </w:t>
      </w:r>
      <m:oMath>
        <m:r>
          <m:t>n</m:t>
        </m:r>
        <m:r>
          <m:rPr>
            <m:sty m:val="p"/>
          </m:rPr>
          <m:t>=</m:t>
        </m:r>
        <m:r>
          <m:t>30</m:t>
        </m:r>
      </m:oMath>
      <w:r>
        <w:t xml:space="preserve"> </w:t>
      </w:r>
      <w:r>
        <w:t xml:space="preserve">class</w:t>
      </w:r>
      <w:r>
        <w:t xml:space="preserve"> </w:t>
      </w:r>
      <w:r>
        <w:t xml:space="preserve">is weak for every model (recall 0.03–0.43) while the large classes sit</w:t>
      </w:r>
      <w:r>
        <w:t xml:space="preserve"> </w:t>
      </w:r>
      <w:r>
        <w:t xml:space="preserve">above 0.9; (iv) the qwen3 family spends its time in hidden reasoning</w:t>
      </w:r>
      <w:r>
        <w:t xml:space="preserve"> </w:t>
      </w:r>
      <w:r>
        <w:t xml:space="preserve">before a 60-character answer, and on Milton 24 of qwen3-vl:8b’s pairs hit</w:t>
      </w:r>
      <w:r>
        <w:t xml:space="preserve"> </w:t>
      </w:r>
      <w:r>
        <w:t xml:space="preserve">the client timeout, recorded as unanswered (8.3 %, under the bound).</w:t>
      </w:r>
    </w:p>
    <w:p>
      <w:pPr>
        <w:pStyle w:val="CaptionedFigure"/>
      </w:pPr>
      <w:r>
        <w:drawing>
          <wp:inline>
            <wp:extent cx="5334000" cy="3627119"/>
            <wp:effectExtent b="0" l="0" r="0" t="0"/>
            <wp:docPr descr="" title="" id="32" name="Picture"/>
            <a:graphic>
              <a:graphicData uri="http://schemas.openxmlformats.org/drawingml/2006/picture">
                <pic:pic>
                  <pic:nvPicPr>
                    <pic:cNvPr descr="figures/fig6_results.png" id="33" name="Picture"/>
                    <pic:cNvPicPr>
                      <a:picLocks noChangeArrowheads="1" noChangeAspect="1"/>
                    </pic:cNvPicPr>
                  </pic:nvPicPr>
                  <pic:blipFill>
                    <a:blip r:embed="rId31"/>
                    <a:stretch>
                      <a:fillRect/>
                    </a:stretch>
                  </pic:blipFill>
                  <pic:spPr bwMode="auto">
                    <a:xfrm>
                      <a:off x="0" y="0"/>
                      <a:ext cx="5334000" cy="3627119"/>
                    </a:xfrm>
                    <a:prstGeom prst="rect">
                      <a:avLst/>
                    </a:prstGeom>
                    <a:noFill/>
                    <a:ln w="9525">
                      <a:noFill/>
                      <a:headEnd/>
                      <a:tailEnd/>
                    </a:ln>
                  </pic:spPr>
                </pic:pic>
              </a:graphicData>
            </a:graphic>
          </wp:inline>
        </w:drawing>
      </w:r>
    </w:p>
    <w:p>
      <w:pPr>
        <w:pStyle w:val="ImageCaption"/>
      </w:pPr>
      <w:r>
        <w:t xml:space="preserve">Figure 6. Six open VLMs against the 7B reference on the three cases (accuracy, with NCSE inside each bar) and seconds per sample. The hatched bar is the reference run; the dashed line is the closed model’s published accuracy from RAPID. Panels have different class counts and are not comparable with each other. Every value is read from the committed eval files.</w:t>
      </w:r>
    </w:p>
    <w:p>
      <w:pPr>
        <w:pStyle w:val="BodyText"/>
      </w:pPr>
      <w:r>
        <w:rPr>
          <w:b/>
          <w:bCs/>
        </w:rPr>
        <w:t xml:space="preserve">What the harness did with it.</w:t>
      </w:r>
      <w:r>
        <w:t xml:space="preserve"> </w:t>
      </w:r>
      <w:r>
        <w:t xml:space="preserve">the agreement grids sit beside the</w:t>
      </w:r>
      <w:r>
        <w:t xml:space="preserve"> </w:t>
      </w:r>
      <w:r>
        <w:t xml:space="preserve">human-labelled grids they are evaluated against, flagged</w:t>
      </w:r>
      <w:r>
        <w:t xml:space="preserve"> </w:t>
      </w:r>
      <w:r>
        <w:rPr>
          <w:rStyle w:val="VerbatimChar"/>
        </w:rPr>
        <w:t xml:space="preserve">model_derived</w:t>
      </w:r>
      <w:r>
        <w:t xml:space="preserve">; the publication planner ships them as an</w:t>
      </w:r>
      <w:r>
        <w:t xml:space="preserve"> </w:t>
      </w:r>
      <w:r>
        <w:t xml:space="preserve">evaluation; the claim plane has no rule that admits them; the gateway</w:t>
      </w:r>
      <w:r>
        <w:t xml:space="preserve"> </w:t>
      </w:r>
      <w:r>
        <w:t xml:space="preserve">skips them and records the exclusion. A reader can verify every number</w:t>
      </w:r>
      <w:r>
        <w:t xml:space="preserve"> </w:t>
      </w:r>
      <w:r>
        <w:t xml:space="preserve">from the records without a GPU. What no one can do — and what the system</w:t>
      </w:r>
      <w:r>
        <w:t xml:space="preserve"> </w:t>
      </w:r>
      <w:r>
        <w:t xml:space="preserve">therefore does not do — is turn a 0.93 into a sentence about a street.</w:t>
      </w:r>
    </w:p>
    <w:p>
      <w:pPr>
        <w:pStyle w:val="CaptionedFigure"/>
      </w:pPr>
      <w:r>
        <w:drawing>
          <wp:inline>
            <wp:extent cx="5334000" cy="1955800"/>
            <wp:effectExtent b="0" l="0" r="0" t="0"/>
            <wp:docPr descr="" title="" id="35" name="Picture"/>
            <a:graphic>
              <a:graphicData uri="http://schemas.openxmlformats.org/drawingml/2006/picture">
                <pic:pic>
                  <pic:nvPicPr>
                    <pic:cNvPr descr="figures/fig7_milton_bias.png" id="36" name="Picture"/>
                    <pic:cNvPicPr>
                      <a:picLocks noChangeArrowheads="1" noChangeAspect="1"/>
                    </pic:cNvPicPr>
                  </pic:nvPicPr>
                  <pic:blipFill>
                    <a:blip r:embed="rId34"/>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7. Milton pre/post pairs: row-normalised confusion for every model. Each fails in its own fixed direction (qwen3-vl:32b toward Severe; gemma3:12b and mistral toward Moderate), so no vote across models would repair the change task. Unanswered pairs are counted in the panel title, not folded into a class.</w:t>
      </w:r>
    </w:p>
    <w:bookmarkEnd w:id="37"/>
    <w:bookmarkStart w:id="38" w:name="sec:reflect"/>
    <w:p>
      <w:pPr>
        <w:pStyle w:val="Heading1"/>
      </w:pPr>
      <w:r>
        <w:t xml:space="preserve">Reflection</w:t>
      </w:r>
    </w:p>
    <w:p>
      <w:pPr>
        <w:pStyle w:val="FirstParagraph"/>
      </w:pPr>
      <w:r>
        <w:rPr>
          <w:b/>
          <w:bCs/>
        </w:rPr>
        <w:t xml:space="preserve">Three times the harness caught its own system.</w:t>
      </w:r>
      <w:r>
        <w:t xml:space="preserve"> </w:t>
      </w:r>
      <w:r>
        <w:t xml:space="preserve">(1) A</w:t>
      </w:r>
      <w:r>
        <w:t xml:space="preserve"> </w:t>
      </w:r>
      <w:r>
        <w:t xml:space="preserve">parcel-level DINS file reached the public site through an asset-copying</w:t>
      </w:r>
      <w:r>
        <w:t xml:space="preserve"> </w:t>
      </w:r>
      <w:r>
        <w:t xml:space="preserve">script, violating four written statements while breaking zero policy</w:t>
      </w:r>
      <w:r>
        <w:t xml:space="preserve"> </w:t>
      </w:r>
      <w:r>
        <w:t xml:space="preserve">rules, because the claim plane governs what the agent</w:t>
      </w:r>
      <w:r>
        <w:t xml:space="preserve"> </w:t>
      </w:r>
      <w:r>
        <w:rPr>
          <w:i/>
          <w:iCs/>
        </w:rPr>
        <w:t xml:space="preserve">asserts</w:t>
      </w:r>
      <w:r>
        <w:t xml:space="preserve"> </w:t>
      </w:r>
      <w:r>
        <w:t xml:space="preserve">and</w:t>
      </w:r>
      <w:r>
        <w:t xml:space="preserve"> </w:t>
      </w:r>
      <w:r>
        <w:t xml:space="preserve">nothing had asserted the file. The fix was a new plane — distribution —</w:t>
      </w:r>
      <w:r>
        <w:t xml:space="preserve"> </w:t>
      </w:r>
      <w:r>
        <w:t xml:space="preserve">with a planner and a CI gate; the public surface fell from 30 files to 16,</w:t>
      </w:r>
      <w:r>
        <w:t xml:space="preserve"> </w:t>
      </w:r>
      <w:r>
        <w:t xml:space="preserve">and the incident report is committed beside the code it indicts. (2) The</w:t>
      </w:r>
      <w:r>
        <w:t xml:space="preserve"> </w:t>
      </w:r>
      <w:r>
        <w:t xml:space="preserve">citation check originally fired only on sentences with digits, so</w:t>
      </w:r>
      <w:r>
        <w:t xml:space="preserve"> </w:t>
      </w:r>
      <w:r>
        <w:t xml:space="preserve">“</w:t>
      </w:r>
      <w:r>
        <w:rPr>
          <w:i/>
          <w:iCs/>
        </w:rPr>
        <w:t xml:space="preserve">your neighborhood was not significantly affected</w:t>
      </w:r>
      <w:r>
        <w:t xml:space="preserve">”</w:t>
      </w:r>
      <w:r>
        <w:t xml:space="preserve"> </w:t>
      </w:r>
      <w:r>
        <w:t xml:space="preserve">passed</w:t>
      </w:r>
      <w:r>
        <w:t xml:space="preserve"> </w:t>
      </w:r>
      <w:r>
        <w:t xml:space="preserve">uncited; inverted to citation-by-default, acceptance on a draft set fell</w:t>
      </w:r>
      <w:r>
        <w:t xml:space="preserve"> </w:t>
      </w:r>
      <w:r>
        <w:t xml:space="preserve">from 9/13 to 7/13 sentences, the two refusals being exactly the uncited</w:t>
      </w:r>
      <w:r>
        <w:t xml:space="preserve"> </w:t>
      </w:r>
      <w:r>
        <w:t xml:space="preserve">reassurances a resident should not receive. (3) The gateway’s evidence</w:t>
      </w:r>
      <w:r>
        <w:t xml:space="preserve"> </w:t>
      </w:r>
      <w:r>
        <w:t xml:space="preserve">store read every event on disk, ignoring</w:t>
      </w:r>
      <w:r>
        <w:t xml:space="preserve"> </w:t>
      </w:r>
      <w:r>
        <w:rPr>
          <w:rStyle w:val="VerbatimChar"/>
        </w:rPr>
        <w:t xml:space="preserve">published_events</w:t>
      </w:r>
      <w:r>
        <w:t xml:space="preserve"> </w:t>
      </w:r>
      <w:r>
        <w:t xml:space="preserve">and</w:t>
      </w:r>
      <w:r>
        <w:t xml:space="preserve"> </w:t>
      </w:r>
      <w:r>
        <w:rPr>
          <w:rStyle w:val="VerbatimChar"/>
        </w:rPr>
        <w:t xml:space="preserve">model_derived</w:t>
      </w:r>
      <w:r>
        <w:t xml:space="preserve">; the Palisades VLM run would have been cited as</w:t>
      </w:r>
      <w:r>
        <w:t xml:space="preserve"> </w:t>
      </w:r>
      <w:r>
        <w:t xml:space="preserve">tile facts. Both planes now publish from one list, the store records</w:t>
      </w:r>
      <w:r>
        <w:t xml:space="preserve"> </w:t>
      </w:r>
      <w:r>
        <w:t xml:space="preserve">every exclusion and refuses to start over</w:t>
      </w:r>
      <w:r>
        <w:t xml:space="preserve"> </w:t>
      </w:r>
      <w:r>
        <w:t xml:space="preserve">“everything on disk”</w:t>
      </w:r>
      <w:r>
        <w:t xml:space="preserve">. The</w:t>
      </w:r>
      <w:r>
        <w:t xml:space="preserve"> </w:t>
      </w:r>
      <w:r>
        <w:t xml:space="preserve">lesson repeats: a constraint written in one place and enforced in another</w:t>
      </w:r>
      <w:r>
        <w:t xml:space="preserve"> </w:t>
      </w:r>
      <w:r>
        <w:t xml:space="preserve">is enforced nowhere.</w:t>
      </w:r>
    </w:p>
    <w:p>
      <w:pPr>
        <w:pStyle w:val="BodyText"/>
      </w:pPr>
      <w:r>
        <w:rPr>
          <w:b/>
          <w:bCs/>
        </w:rPr>
        <w:t xml:space="preserve">Limitations.</w:t>
      </w:r>
      <w:r>
        <w:t xml:space="preserve"> </w:t>
      </w:r>
      <w:r>
        <w:t xml:space="preserve">The builders read a</w:t>
      </w:r>
      <w:r>
        <w:t xml:space="preserve"> </w:t>
      </w:r>
      <m:oMath>
        <m:r>
          <m:rPr>
            <m:sty m:val="p"/>
          </m:rPr>
          <m:t>∼</m:t>
        </m:r>
      </m:oMath>
      <w:r>
        <w:t xml:space="preserve">33 GB corpus on one</w:t>
      </w:r>
      <w:r>
        <w:t xml:space="preserve"> </w:t>
      </w:r>
      <w:r>
        <w:t xml:space="preserve">workstation, so third parties can verify the committed artifacts and</w:t>
      </w:r>
      <w:r>
        <w:t xml:space="preserve"> </w:t>
      </w:r>
      <w:r>
        <w:t xml:space="preserve">audit logs but not regenerate them. The VLM numbers are one pass on 4-bit</w:t>
      </w:r>
      <w:r>
        <w:t xml:space="preserve"> </w:t>
      </w:r>
      <w:r>
        <w:t xml:space="preserve">weights on a 24 GB card; Milton and Eaton are seeded samples, and the</w:t>
      </w:r>
      <w:r>
        <w:t xml:space="preserve"> </w:t>
      </w:r>
      <w:r>
        <w:t xml:space="preserve">closed-model Milton reference used a different subset. The gateway runs</w:t>
      </w:r>
      <w:r>
        <w:t xml:space="preserve"> </w:t>
      </w:r>
      <w:r>
        <w:t xml:space="preserve">locally without a hosted endpoint, auth or rate limiting, so the public</w:t>
      </w:r>
      <w:r>
        <w:t xml:space="preserve"> </w:t>
      </w:r>
      <w:r>
        <w:t xml:space="preserve">demo ships without chat; the re-derivable regime has run only against a</w:t>
      </w:r>
      <w:r>
        <w:t xml:space="preserve"> </w:t>
      </w:r>
      <w:r>
        <w:t xml:space="preserve">stub. Three deep cases are not national analysis capability, and the app</w:t>
      </w:r>
      <w:r>
        <w:t xml:space="preserve"> </w:t>
      </w:r>
      <w:r>
        <w:t xml:space="preserve">says so.</w:t>
      </w:r>
    </w:p>
    <w:p>
      <w:pPr>
        <w:pStyle w:val="BodyText"/>
      </w:pPr>
      <w:r>
        <w:rPr>
          <w:b/>
          <w:bCs/>
        </w:rPr>
        <w:t xml:space="preserve">Ethics and the societal role of the agent.</w:t>
      </w:r>
      <w:r>
        <w:t xml:space="preserve"> </w:t>
      </w:r>
      <w:r>
        <w:t xml:space="preserve">The disclosure risk in</w:t>
      </w:r>
      <w:r>
        <w:t xml:space="preserve"> </w:t>
      </w:r>
      <w:r>
        <w:t xml:space="preserve">this domain is concrete: per-structure damage is a statement about a</w:t>
      </w:r>
      <w:r>
        <w:t xml:space="preserve"> </w:t>
      </w:r>
      <w:r>
        <w:t xml:space="preserve">family’s home, and our first incident shows how easily it leaks without a</w:t>
      </w:r>
      <w:r>
        <w:t xml:space="preserve"> </w:t>
      </w:r>
      <w:r>
        <w:t xml:space="preserve">rule that names it. We therefore treat the resolution cap, the role</w:t>
      </w:r>
      <w:r>
        <w:t xml:space="preserve"> </w:t>
      </w:r>
      <w:r>
        <w:t xml:space="preserve">denials and the content-free audit not as features but as the conditions</w:t>
      </w:r>
      <w:r>
        <w:t xml:space="preserve"> </w:t>
      </w:r>
      <w:r>
        <w:t xml:space="preserve">under which an agent may speak to the public at all. The value judgements</w:t>
      </w:r>
      <w:r>
        <w:t xml:space="preserve"> </w:t>
      </w:r>
      <w:r>
        <w:t xml:space="preserve">— which index counts as vulnerability, how damage trades against it —</w:t>
      </w:r>
      <w:r>
        <w:t xml:space="preserve"> </w:t>
      </w:r>
      <w:r>
        <w:t xml:space="preserve">are handed to people, in a file they can read and a slider they can move,</w:t>
      </w:r>
      <w:r>
        <w:t xml:space="preserve"> </w:t>
      </w:r>
      <w:r>
        <w:t xml:space="preserve">and the system records that they did. Autonomous-GIS agents</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w:t>
      </w:r>
      <w:r>
        <w:t xml:space="preserve">and operational platforms such as</w:t>
      </w:r>
      <w:r>
        <w:t xml:space="preserve"> </w:t>
      </w:r>
      <w:r>
        <w:t xml:space="preserve">TDIS </w:t>
      </w:r>
      <w:r>
        <w:t xml:space="preserve">[</w:t>
      </w:r>
      <w:hyperlink w:anchor="ref-tdis2026">
        <w:r>
          <w:rPr>
            <w:rStyle w:val="Hyperlink"/>
          </w:rPr>
          <w:t xml:space="preserve">3</w:t>
        </w:r>
      </w:hyperlink>
      <w:r>
        <w:t xml:space="preserve">]</w:t>
      </w:r>
      <w:r>
        <w:t xml:space="preserve"> </w:t>
      </w:r>
      <w:r>
        <w:t xml:space="preserve">show what such systems can compute; registries</w:t>
      </w:r>
      <w:r>
        <w:t xml:space="preserve"> </w:t>
      </w:r>
      <w:r>
        <w:t xml:space="preserve">(EM-DAT </w:t>
      </w:r>
      <w:r>
        <w:t xml:space="preserve">[</w:t>
      </w:r>
      <w:hyperlink w:anchor="ref-delforge2025emdat">
        <w:r>
          <w:rPr>
            <w:rStyle w:val="Hyperlink"/>
          </w:rPr>
          <w:t xml:space="preserve">1</w:t>
        </w:r>
      </w:hyperlink>
      <w:r>
        <w:t xml:space="preserve">]</w:t>
      </w:r>
      <w:r>
        <w:t xml:space="preserve">, GDACS </w:t>
      </w:r>
      <w:r>
        <w:t xml:space="preserve">[</w:t>
      </w:r>
      <w:hyperlink w:anchor="ref-gdacs">
        <w:r>
          <w:rPr>
            <w:rStyle w:val="Hyperlink"/>
          </w:rPr>
          <w:t xml:space="preserve">2</w:t>
        </w:r>
      </w:hyperlink>
      <w:r>
        <w:t xml:space="preserve">]</w:t>
      </w:r>
      <w:r>
        <w:t xml:space="preserve">) show what they can</w:t>
      </w:r>
      <w:r>
        <w:t xml:space="preserve"> </w:t>
      </w:r>
      <w:r>
        <w:t xml:space="preserve">record. What none carries, per row, is what resolution of claim the</w:t>
      </w:r>
      <w:r>
        <w:t xml:space="preserve"> </w:t>
      </w:r>
      <w:r>
        <w:t xml:space="preserve">evidence authorizes and whether a reader may keep it. Our position is</w:t>
      </w:r>
      <w:r>
        <w:t xml:space="preserve"> </w:t>
      </w:r>
      <w:r>
        <w:t xml:space="preserve">that an agent in public decision-making should be a steward of evidence</w:t>
      </w:r>
      <w:r>
        <w:t xml:space="preserve"> </w:t>
      </w:r>
      <w:r>
        <w:t xml:space="preserve">rather than an oracle: it should compute more than it is allowed to say,</w:t>
      </w:r>
      <w:r>
        <w:t xml:space="preserve"> </w:t>
      </w:r>
      <w:r>
        <w:t xml:space="preserve">say only what it can cite, and leave a record — including of its own</w:t>
      </w:r>
      <w:r>
        <w:t xml:space="preserve"> </w:t>
      </w:r>
      <w:r>
        <w:t xml:space="preserve">failures — that the public it serves can check.</w:t>
      </w:r>
    </w:p>
    <w:bookmarkEnd w:id="38"/>
    <w:bookmarkStart w:id="39" w:name="acknowledgments"/>
    <w:p>
      <w:pPr>
        <w:pStyle w:val="Heading1"/>
      </w:pPr>
      <w:r>
        <w:t xml:space="preserve">Acknowledgments</w:t>
      </w:r>
    </w:p>
    <w:p>
      <w:pPr>
        <w:pStyle w:val="FirstParagraph"/>
      </w:pPr>
      <w:r>
        <w:t xml:space="preserve">RAY is an MIT-licensed research prototype; it is not an official</w:t>
      </w:r>
      <w:r>
        <w:t xml:space="preserve"> </w:t>
      </w:r>
      <w:r>
        <w:t xml:space="preserve">forecasting or warning service. This research is based on work supported</w:t>
      </w:r>
      <w:r>
        <w:t xml:space="preserve"> </w:t>
      </w:r>
      <w:r>
        <w:t xml:space="preserve">by the National Academies of Sciences, Engineering, and Medicine (NASEM)</w:t>
      </w:r>
      <w:r>
        <w:t xml:space="preserve"> </w:t>
      </w:r>
      <w:r>
        <w:t xml:space="preserve">under the Gulf Research Program (Award Nos. SCON-10000653 and</w:t>
      </w:r>
      <w:r>
        <w:t xml:space="preserve"> </w:t>
      </w:r>
      <w:r>
        <w:t xml:space="preserve">SCON-10001536) and by the U.S. National Science Foundation (Award</w:t>
      </w:r>
      <w:r>
        <w:t xml:space="preserve"> </w:t>
      </w:r>
      <w:r>
        <w:t xml:space="preserve">No. 2318206). Any opinions, findings, and conclusions expressed here are</w:t>
      </w:r>
      <w:r>
        <w:t xml:space="preserve"> </w:t>
      </w:r>
      <w:r>
        <w:t xml:space="preserve">those of the authors and do not necessarily reflect the views of the</w:t>
      </w:r>
      <w:r>
        <w:t xml:space="preserve"> </w:t>
      </w:r>
      <w:r>
        <w:t xml:space="preserve">funders. The authors used Claude (Anthropic) to polish the language of</w:t>
      </w:r>
      <w:r>
        <w:t xml:space="preserve"> </w:t>
      </w:r>
      <w:r>
        <w:t xml:space="preserve">this manuscript; the system, analyses, and claims were designed, written,</w:t>
      </w:r>
      <w:r>
        <w:t xml:space="preserve"> </w:t>
      </w:r>
      <w:r>
        <w:t xml:space="preserve">and verified by the authors, who take full responsibility for the content.</w:t>
      </w:r>
    </w:p>
    <w:bookmarkEnd w:id="39"/>
    <w:bookmarkStart w:id="54" w:name="bibliography"/>
    <w:p>
      <w:pPr>
        <w:pStyle w:val="Heading1"/>
      </w:pPr>
      <w:r>
        <w:t xml:space="preserve">References</w:t>
      </w:r>
    </w:p>
    <w:bookmarkStart w:id="53" w:name="refs"/>
    <w:bookmarkStart w:id="41" w:name="ref-delforge2025emdat"/>
    <w:p>
      <w:pPr>
        <w:pStyle w:val="Bibliography"/>
      </w:pPr>
      <w:r>
        <w:t xml:space="preserve">[1]</w:t>
      </w:r>
      <w:r>
        <w:t xml:space="preserve"> </w:t>
      </w:r>
      <w:r>
        <w:t xml:space="preserve">	</w:t>
      </w:r>
      <w:r>
        <w:t xml:space="preserve">Delforge, D. et al. 2025.</w:t>
      </w:r>
      <w:r>
        <w:t xml:space="preserve"> </w:t>
      </w:r>
      <w:r>
        <w:t xml:space="preserve">EM-DAT</w:t>
      </w:r>
      <w:r>
        <w:t xml:space="preserve">: The emergency events database.</w:t>
      </w:r>
      <w:r>
        <w:t xml:space="preserve"> </w:t>
      </w:r>
      <w:r>
        <w:rPr>
          <w:i/>
          <w:iCs/>
        </w:rPr>
        <w:t xml:space="preserve">International Journal of Disaster Risk Reduction</w:t>
      </w:r>
      <w:r>
        <w:t xml:space="preserve">. 124, (2025), 105509. https://doi.org/</w:t>
      </w:r>
      <w:hyperlink r:id="rId40">
        <w:r>
          <w:rPr>
            <w:rStyle w:val="Hyperlink"/>
          </w:rPr>
          <w:t xml:space="preserve">10.1016/j.ijdrr.2025.105509</w:t>
        </w:r>
      </w:hyperlink>
      <w:r>
        <w:t xml:space="preserve">.</w:t>
      </w:r>
    </w:p>
    <w:bookmarkEnd w:id="41"/>
    <w:bookmarkStart w:id="43" w:name="ref-gdacs"/>
    <w:p>
      <w:pPr>
        <w:pStyle w:val="Bibliography"/>
      </w:pPr>
      <w:r>
        <w:t xml:space="preserve">[2]</w:t>
      </w:r>
      <w:r>
        <w:t xml:space="preserve"> </w:t>
      </w:r>
      <w:r>
        <w:t xml:space="preserve">	</w:t>
      </w:r>
      <w:r>
        <w:t xml:space="preserve">European Commission Joint Research Centre and United Nations OCHA 2026. Global disaster alert and coordination system (</w:t>
      </w:r>
      <w:r>
        <w:t xml:space="preserve">GDACS</w:t>
      </w:r>
      <w:r>
        <w:t xml:space="preserve">).</w:t>
      </w:r>
      <w:r>
        <w:t xml:space="preserve"> </w:t>
      </w:r>
      <w:hyperlink r:id="rId42">
        <w:r>
          <w:rPr>
            <w:rStyle w:val="Hyperlink"/>
          </w:rPr>
          <w:t xml:space="preserve">https://www.gdacs.org/</w:t>
        </w:r>
      </w:hyperlink>
      <w:r>
        <w:t xml:space="preserve">.</w:t>
      </w:r>
    </w:p>
    <w:bookmarkEnd w:id="43"/>
    <w:bookmarkStart w:id="45" w:name="ref-tdis2026"/>
    <w:p>
      <w:pPr>
        <w:pStyle w:val="Bibliography"/>
      </w:pPr>
      <w:r>
        <w:t xml:space="preserve">[3]</w:t>
      </w:r>
      <w:r>
        <w:t xml:space="preserve"> </w:t>
      </w:r>
      <w:r>
        <w:t xml:space="preserve">	</w:t>
      </w:r>
      <w:r>
        <w:t xml:space="preserve">Institute for a Disaster Resilient Texas 2026. Texas disaster information system (</w:t>
      </w:r>
      <w:r>
        <w:t xml:space="preserve">TDIS</w:t>
      </w:r>
      <w:r>
        <w:t xml:space="preserve">) portal.</w:t>
      </w:r>
      <w:r>
        <w:t xml:space="preserve"> </w:t>
      </w:r>
      <w:hyperlink r:id="rId44">
        <w:r>
          <w:rPr>
            <w:rStyle w:val="Hyperlink"/>
          </w:rPr>
          <w:t xml:space="preserve">https://portal.cloud.tdis.io/</w:t>
        </w:r>
      </w:hyperlink>
      <w:r>
        <w:t xml:space="preserve">.</w:t>
      </w:r>
    </w:p>
    <w:bookmarkEnd w:id="45"/>
    <w:bookmarkStart w:id="47" w:name="ref-li2023autonomous"/>
    <w:p>
      <w:pPr>
        <w:pStyle w:val="Bibliography"/>
      </w:pPr>
      <w:r>
        <w:t xml:space="preserve">[4]</w:t>
      </w:r>
      <w:r>
        <w:t xml:space="preserve"> </w:t>
      </w:r>
      <w:r>
        <w:t xml:space="preserve">	</w:t>
      </w:r>
      <w:r>
        <w:t xml:space="preserve">Li, Z. and Ning, H. 2023. Autonomous</w:t>
      </w:r>
      <w:r>
        <w:t xml:space="preserve"> </w:t>
      </w:r>
      <w:r>
        <w:t xml:space="preserve">GIS</w:t>
      </w:r>
      <w:r>
        <w:t xml:space="preserve">: The next-generation</w:t>
      </w:r>
      <w:r>
        <w:t xml:space="preserve"> </w:t>
      </w:r>
      <w:r>
        <w:t xml:space="preserve">AI</w:t>
      </w:r>
      <w:r>
        <w:t xml:space="preserve">-powered</w:t>
      </w:r>
      <w:r>
        <w:t xml:space="preserve"> </w:t>
      </w:r>
      <w:r>
        <w:t xml:space="preserve">GIS</w:t>
      </w:r>
      <w:r>
        <w:t xml:space="preserve">.</w:t>
      </w:r>
      <w:r>
        <w:t xml:space="preserve"> </w:t>
      </w:r>
      <w:r>
        <w:rPr>
          <w:i/>
          <w:iCs/>
        </w:rPr>
        <w:t xml:space="preserve">International Journal of Digital Earth</w:t>
      </w:r>
      <w:r>
        <w:t xml:space="preserve">. 16, 2 (2023), 4668–4686. https://doi.org/</w:t>
      </w:r>
      <w:hyperlink r:id="rId46">
        <w:r>
          <w:rPr>
            <w:rStyle w:val="Hyperlink"/>
          </w:rPr>
          <w:t xml:space="preserve">10.1080/17538947.2023.2278895</w:t>
        </w:r>
      </w:hyperlink>
      <w:r>
        <w:t xml:space="preserve">.</w:t>
      </w:r>
    </w:p>
    <w:bookmarkEnd w:id="47"/>
    <w:bookmarkStart w:id="49" w:name="ref-yang2026rapid"/>
    <w:p>
      <w:pPr>
        <w:pStyle w:val="Bibliography"/>
      </w:pPr>
      <w:r>
        <w:t xml:space="preserve">[5]</w:t>
      </w:r>
      <w:r>
        <w:t xml:space="preserve"> </w:t>
      </w:r>
      <w:r>
        <w:t xml:space="preserve">	</w:t>
      </w:r>
      <w:r>
        <w:t xml:space="preserve">Yang, Y. et al. 2026.</w:t>
      </w:r>
      <w:r>
        <w:t xml:space="preserve"> </w:t>
      </w:r>
      <w:hyperlink r:id="rId48">
        <w:r>
          <w:rPr>
            <w:rStyle w:val="Hyperlink"/>
          </w:rPr>
          <w:t xml:space="preserve">RAPID</w:t>
        </w:r>
        <w:r>
          <w:rPr>
            <w:rStyle w:val="Hyperlink"/>
          </w:rPr>
          <w:t xml:space="preserve">: A reproducible multi-agent pipeline for interpretable disaster damage assessment from satellite and street-view imagery</w:t>
        </w:r>
      </w:hyperlink>
      <w:r>
        <w:t xml:space="preserve">.</w:t>
      </w:r>
    </w:p>
    <w:bookmarkEnd w:id="49"/>
    <w:bookmarkStart w:id="50" w:name="ref-yang2026accountable"/>
    <w:p>
      <w:pPr>
        <w:pStyle w:val="Bibliography"/>
      </w:pPr>
      <w:r>
        <w:t xml:space="preserve">[6]</w:t>
      </w:r>
      <w:r>
        <w:t xml:space="preserve"> </w:t>
      </w:r>
      <w:r>
        <w:t xml:space="preserve">	</w:t>
      </w:r>
      <w:r>
        <w:t xml:space="preserve">Yang, Y. and Zou, L. 2026. From autonomous</w:t>
      </w:r>
      <w:r>
        <w:t xml:space="preserve"> </w:t>
      </w:r>
      <w:r>
        <w:t xml:space="preserve">GIS</w:t>
      </w:r>
      <w:r>
        <w:t xml:space="preserve"> </w:t>
      </w:r>
      <w:r>
        <w:t xml:space="preserve">to accountable</w:t>
      </w:r>
      <w:r>
        <w:t xml:space="preserve"> </w:t>
      </w:r>
      <w:r>
        <w:t xml:space="preserve">GeoAI</w:t>
      </w:r>
      <w:r>
        <w:t xml:space="preserve"> </w:t>
      </w:r>
      <w:r>
        <w:t xml:space="preserve">agents: Verifiable evaluation environments and geospatial harness engineering.</w:t>
      </w:r>
    </w:p>
    <w:bookmarkEnd w:id="50"/>
    <w:bookmarkStart w:id="52" w:name="ref-zhang2024geogpt"/>
    <w:p>
      <w:pPr>
        <w:pStyle w:val="Bibliography"/>
      </w:pPr>
      <w:r>
        <w:t xml:space="preserve">[7]</w:t>
      </w:r>
      <w:r>
        <w:t xml:space="preserve"> </w:t>
      </w:r>
      <w:r>
        <w:t xml:space="preserve">	</w:t>
      </w:r>
      <w:r>
        <w:t xml:space="preserve">Zhang, Y. et al. 2024.</w:t>
      </w:r>
      <w:r>
        <w:t xml:space="preserve"> </w:t>
      </w:r>
      <w:r>
        <w:t xml:space="preserve">GeoGPT</w:t>
      </w:r>
      <w:r>
        <w:t xml:space="preserve">: An assistant for understanding and processing geospatial tasks.</w:t>
      </w:r>
      <w:r>
        <w:t xml:space="preserve"> </w:t>
      </w:r>
      <w:r>
        <w:rPr>
          <w:i/>
          <w:iCs/>
        </w:rPr>
        <w:t xml:space="preserve">International Journal of Applied Earth Observation and Geoinformation</w:t>
      </w:r>
      <w:r>
        <w:t xml:space="preserve">. 131, (2024), 103976. https://doi.org/</w:t>
      </w:r>
      <w:hyperlink r:id="rId51">
        <w:r>
          <w:rPr>
            <w:rStyle w:val="Hyperlink"/>
          </w:rPr>
          <w:t xml:space="preserve">10.1016/j.jag.2024.103976</w:t>
        </w:r>
      </w:hyperlink>
      <w:r>
        <w:t xml:space="preserve">.</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Live site, app, and</w:t>
      </w:r>
      <w:r>
        <w:t xml:space="preserve"> </w:t>
      </w:r>
      <w:r>
        <w:t xml:space="preserve">repository:</w:t>
      </w:r>
      <w:r>
        <w:t xml:space="preserve"> </w:t>
      </w:r>
      <w:hyperlink r:id="rId10">
        <w:r>
          <w:rPr>
            <w:rStyle w:val="Hyperlink"/>
          </w:rPr>
          <w:t xml:space="preserve">https://rayford295.github.io/ray-resilience/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48" Target="https://arxiv.org/abs/2606.21819" TargetMode="External" /><Relationship Type="http://schemas.openxmlformats.org/officeDocument/2006/relationships/hyperlink" Id="rId40" Target="https://doi.org/10.1016/j.ijdrr.2025.105509" TargetMode="External" /><Relationship Type="http://schemas.openxmlformats.org/officeDocument/2006/relationships/hyperlink" Id="rId51" Target="https://doi.org/10.1016/j.jag.2024.103976" TargetMode="External" /><Relationship Type="http://schemas.openxmlformats.org/officeDocument/2006/relationships/hyperlink" Id="rId46" Target="https://doi.org/10.1080/17538947.2023.2278895" TargetMode="External" /><Relationship Type="http://schemas.openxmlformats.org/officeDocument/2006/relationships/hyperlink" Id="rId44"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42" Target="https://www.gdacs.org/" TargetMode="External" /></Relationships>
</file>

<file path=word/_rels/footnotes.xml.rels><?xml version="1.0" encoding="UTF-8"?><Relationships xmlns="http://schemas.openxmlformats.org/package/2006/relationships"><Relationship Type="http://schemas.openxmlformats.org/officeDocument/2006/relationships/hyperlink" Id="rId48" Target="https://arxiv.org/abs/2606.21819" TargetMode="External" /><Relationship Type="http://schemas.openxmlformats.org/officeDocument/2006/relationships/hyperlink" Id="rId40" Target="https://doi.org/10.1016/j.ijdrr.2025.105509" TargetMode="External" /><Relationship Type="http://schemas.openxmlformats.org/officeDocument/2006/relationships/hyperlink" Id="rId51" Target="https://doi.org/10.1016/j.jag.2024.103976" TargetMode="External" /><Relationship Type="http://schemas.openxmlformats.org/officeDocument/2006/relationships/hyperlink" Id="rId46" Target="https://doi.org/10.1080/17538947.2023.2278895" TargetMode="External" /><Relationship Type="http://schemas.openxmlformats.org/officeDocument/2006/relationships/hyperlink" Id="rId44"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42" Target="https://www.gdac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 Resilience Assistant for You</dc:title>
  <dc:creator>Yifan Yang — Department of Geography, Texas A&amp;M University — yyang295@tamu.edu; Lei Zou — Department of Geography, Texas A&amp;M University — lzou@tamu.edu; Wenjing Gong — Department of Landscape Architecture and Urban Planning, Texas A&amp;M University — wenjinggong@tamu.edu; Ziyi Wang — Department of Computer Science and Engineering, Texas A&amp;M University — ziyiwang@tamu.edu</dc:creator>
  <cp:keywords/>
  <dcterms:created xsi:type="dcterms:W3CDTF">2026-09-05T00:11:40Z</dcterms:created>
  <dcterms:modified xsi:type="dcterms:W3CDTF">2026-09-05T00:11:40Z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Vulnerability, risk and priority are value-laden; a system that computes them for the public owes the public an account of who decided what, on which evidence, at what resolution. RAY (Resilience Assistant for You) is a disaster-resilience agent built around that obligation. Its pipelines run autonomously — hourly federal hazard feeds, and deep-case builders that turn raw damage registries, social vulnerability, census population and street imagery into H3 grids across three events in two hazard types — but every stage runs inside the Steward Harness, which enforces outcome, process and institutional validity in code: spatial checks and mandatory uncertainty per tile, SHA-256 lineage in an append-only audit, a declarative policy of who may be told what at which resolution, a distribution policy verified by a CI gate, and citation-by-default for every sentence the agent utters. The value judgements are made explicit and handed back to people: vulnerability is CDC SVI as published, exposure is the 2020 census, priority is a trade-off a planner sets on a slider, and residents receive context and guidance rather than assessments of their own parcel. We then ask what it takes for a vision–language model’s output to count as evidence, grading 1,225 labelled samples per model with six open VLMs on one GPU under verbatim published prompts; the results are published as an evaluation and refused as a claim. The audit record preserves three incidents where the harness caught the system violating its own rules, and 363 Python and 67 app tests form a verifiable evaluation environment. We close with what this architecture cannot do, and why we think an agent in public decision-making should be a steward rather than an oracle.</vt:lpwstr>
  </property>
  <property fmtid="{D5CDD505-2E9C-101B-9397-08002B2CF9AE}" pid="3" name="bibliography">
    <vt:lpwstr>C:\Users\yyang295\Desktop\GeoSteward\paper\references.bib</vt:lpwstr>
  </property>
  <property fmtid="{D5CDD505-2E9C-101B-9397-08002B2CF9AE}" pid="4" name="csl">
    <vt:lpwstr>C:\Users\yyang295\Desktop\GeoSteward\paper\figures\acm-sig-proceedings.csl</vt:lpwstr>
  </property>
  <property fmtid="{D5CDD505-2E9C-101B-9397-08002B2CF9AE}" pid="5" name="date">
    <vt:lpwstr>Draft for co-author editing — single column; the LaTeX source remains the submission format</vt:lpwstr>
  </property>
  <property fmtid="{D5CDD505-2E9C-101B-9397-08002B2CF9AE}" pid="6" name="link-citations">
    <vt:lpwstr>True</vt:lpwstr>
  </property>
  <property fmtid="{D5CDD505-2E9C-101B-9397-08002B2CF9AE}" pid="7" name="reference-section-title">
    <vt:lpwstr>References</vt:lpwstr>
  </property>
  <property fmtid="{D5CDD505-2E9C-101B-9397-08002B2CF9AE}" pid="8" name="subtitle">
    <vt:lpwstr>An Accountable GeoAI System for Place-Based Disaster Intelligence</vt:lpwstr>
  </property>
</Properties>
</file>