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整机TLM功耗面积与时间分项</w:t>
      </w:r>
    </w:p>
    <w:p>
      <w:pPr>
        <w:spacing w:after="100"/>
      </w:pPr>
      <w:r>
        <w:rPr>
          <w:b/>
          <w:sz w:val="22"/>
        </w:rPr>
        <w:t>用原预算定位各模块的优化空间</w:t>
      </w:r>
    </w:p>
    <w:p>
      <w:pPr>
        <w:spacing w:after="100"/>
      </w:pPr>
      <w:r>
        <w:rPr>
          <w:b w:val="0"/>
        </w:rPr>
        <w:t>片上能量主要来自共享数字MAC和FFN计数器；面积主要在计数器、共享SRAM及MAC。FFN随机源与比较器在原账本里多为合并计价，数制转换也有尚未独立报价的部分。本报告按原记录拆分，保留这些边界。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7488"/>
      </w:tblGrid>
      <w:tr>
        <w:trPr>
          <w:tblHeader/>
          <w:cantSplit/>
        </w:trPr>
        <w:tc>
          <w:tcPr>
            <w:tcW w:type="dxa" w:w="288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原整机锚点</w:t>
            </w:r>
          </w:p>
        </w:tc>
        <w:tc>
          <w:tcPr>
            <w:tcW w:type="dxa" w:w="748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三seed平均结果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模型与任务</w:t>
            </w:r>
          </w:p>
        </w:tc>
        <w:tc>
          <w:tcPr>
            <w:tcW w:type="dxa" w:w="74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Qwen3-4B后训练形状；36层；B1；2K；1个decode token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资源与算法</w:t>
            </w:r>
          </w:p>
        </w:tc>
        <w:tc>
          <w:tcPr>
            <w:tcW w:type="dxa" w:w="748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500MHz目标；32×64×64 SC；2048 MAC/拍；GU64/NL128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Attention</w:t>
            </w:r>
          </w:p>
        </w:tc>
        <w:tc>
          <w:tcPr>
            <w:tcW w:type="dxa" w:w="74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摘要筛选＋准确Softmax＋PV系统采样；未启用Ising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  <w:tc>
          <w:tcPr>
            <w:tcW w:type="dxa" w:w="748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57.445385 ms/token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已价片上能量与功率</w:t>
            </w:r>
          </w:p>
        </w:tc>
        <w:tc>
          <w:tcPr>
            <w:tcW w:type="dxa" w:w="74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144.5447 mJ/token；2.516212 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已价面积</w:t>
            </w:r>
          </w:p>
        </w:tc>
        <w:tc>
          <w:tcPr>
            <w:tcW w:type="dxa" w:w="748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原值192.7388 mm²；×0.81后156.1185 mm²</w:t>
            </w:r>
          </w:p>
        </w:tc>
      </w:tr>
    </w:tbl>
    <w:p>
      <w:pPr>
        <w:pStyle w:val="Heading1"/>
      </w:pPr>
      <w:r>
        <w:t>总括占比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96"/>
        <w:gridCol w:w="1440"/>
        <w:gridCol w:w="1368"/>
        <w:gridCol w:w="1440"/>
        <w:gridCol w:w="1584"/>
        <w:gridCol w:w="1440"/>
      </w:tblGrid>
      <w:tr>
        <w:trPr>
          <w:tblHeader/>
          <w:cantSplit/>
        </w:trPr>
        <w:tc>
          <w:tcPr>
            <w:tcW w:type="dxa" w:w="309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片上类别</w:t>
            </w:r>
          </w:p>
        </w:tc>
        <w:tc>
          <w:tcPr>
            <w:tcW w:type="dxa" w:w="144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mJ/token</w:t>
            </w:r>
          </w:p>
        </w:tc>
        <w:tc>
          <w:tcPr>
            <w:tcW w:type="dxa" w:w="136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平均W</w:t>
            </w:r>
          </w:p>
        </w:tc>
        <w:tc>
          <w:tcPr>
            <w:tcW w:type="dxa" w:w="144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能量占比</w:t>
            </w:r>
          </w:p>
        </w:tc>
        <w:tc>
          <w:tcPr>
            <w:tcW w:type="dxa" w:w="1584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55nm面积</w:t>
              <w:br/>
              <w:t>mm²</w:t>
            </w:r>
          </w:p>
        </w:tc>
        <w:tc>
          <w:tcPr>
            <w:tcW w:type="dxa" w:w="144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面积占比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FFN计数与恢复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50.187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0.873641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34.72%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63.1281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40.44%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共享普通数字MAC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69.532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1.210401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48.10%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34.0462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21.81%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PV累加器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0.780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0.013575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0.54%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0.4640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0.30%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所有片上SRAM和缓冲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21.304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0.370857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14.74%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58.1864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37.27%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FFN随机前端和NL端点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1.557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0.027101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1.08%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0.1595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0.10%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Attention随机端点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1.163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0.020249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0.80%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0.1253</w:t>
            </w:r>
          </w:p>
        </w:tc>
        <w:tc>
          <w:tcPr>
            <w:tcW w:type="dxa" w:w="144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0.08%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sigmoid与其余向量代理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0.022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0.000388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0.02%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0.0089</w:t>
            </w:r>
          </w:p>
        </w:tc>
        <w:tc>
          <w:tcPr>
            <w:tcW w:type="dxa" w:w="144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0.01%</w:t>
            </w:r>
          </w:p>
        </w:tc>
      </w:tr>
    </w:tbl>
    <w:p>
      <w:pPr>
        <w:spacing w:after="100"/>
      </w:pPr>
      <w:r>
        <w:rPr>
          <w:b w:val="0"/>
          <w:sz w:val="18"/>
        </w:rPr>
        <w:t>占比的分母是已计价片上小计；同一TPOT下，平均功率占比等于能量占比。面积按共享硬件计一次，不按36层复制。未定价部分不因此成为零成本。</w:t>
      </w:r>
    </w:p>
    <w:p>
      <w:pPr>
        <w:spacing w:after="100"/>
      </w:pPr>
      <w:r>
        <w:rPr>
          <w:b/>
          <w:sz w:val="19"/>
        </w:rPr>
        <w:t>外存另有旧粗预算6.166W，加总约8.682W。它使用64pJ/B＋50mW背景，约占该条件总能量71.0%，不是有效HBM功率标定。</w:t>
      </w:r>
    </w:p>
    <w:p>
      <w:pPr>
        <w:pStyle w:val="Heading1"/>
        <w:pageBreakBefore/>
      </w:pPr>
      <w:r>
        <w:t>二 原计价账本的全部模块</w:t>
      </w:r>
    </w:p>
    <w:p>
      <w:pPr>
        <w:spacing w:after="100"/>
      </w:pPr>
      <w:r>
        <w:rPr>
          <w:b w:val="0"/>
          <w:sz w:val="19"/>
        </w:rPr>
        <w:t>以下14行能量与已价面积闭合到第一页小计。raw面积保留原值，55nm等效只乘0.81一次。最后一行没有独立面积价，不写为实际零面积。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96"/>
        <w:gridCol w:w="1584"/>
        <w:gridCol w:w="1584"/>
        <w:gridCol w:w="1368"/>
        <w:gridCol w:w="1368"/>
        <w:gridCol w:w="1368"/>
      </w:tblGrid>
      <w:tr>
        <w:trPr>
          <w:tblHeader/>
          <w:cantSplit/>
        </w:trPr>
        <w:tc>
          <w:tcPr>
            <w:tcW w:type="dxa" w:w="309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物理计价模块</w:t>
            </w:r>
          </w:p>
        </w:tc>
        <w:tc>
          <w:tcPr>
            <w:tcW w:type="dxa" w:w="1584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mJ/token</w:t>
            </w:r>
          </w:p>
        </w:tc>
        <w:tc>
          <w:tcPr>
            <w:tcW w:type="dxa" w:w="1584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平均W</w:t>
            </w:r>
          </w:p>
        </w:tc>
        <w:tc>
          <w:tcPr>
            <w:tcW w:type="dxa" w:w="136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片上占比</w:t>
            </w:r>
          </w:p>
        </w:tc>
        <w:tc>
          <w:tcPr>
            <w:tcW w:type="dxa" w:w="136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raw面积</w:t>
              <w:br/>
              <w:t>mm²</w:t>
            </w:r>
          </w:p>
        </w:tc>
        <w:tc>
          <w:tcPr>
            <w:tcW w:type="dxa" w:w="136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55nm面积</w:t>
              <w:br/>
              <w:t>mm²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FFN权重门控／符号／对齐／计数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48.158121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0.83832881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33.3171%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76.30387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61.80614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FFN公共系数与数值恢复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1.812209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0.03154665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1.2537%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1.37858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1.11665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共享数字MAC阵列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69.531976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1.21040143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48.1041%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42.03233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34.04619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PV向量累加器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0.779826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0.01357509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0.5395%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0.57287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0.46402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FFN跨tile宽部分和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0.216305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0.00376540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0.1496%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0.25349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0.20532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共享SRAM 8MiB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5.190836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0.09036124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3.5912%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68.04730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55.11832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FFN驻留权重SRAM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2.375166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0.04134651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1.6432%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2.12648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1.72245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数字本地operand与激活缓冲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5.683186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0.09893198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3.9318%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0.59807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0.48444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DMA响应缓冲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8.054833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0.14021724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5.5726%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1.06324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0.86122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FFN入口随机源＋比较器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0.007618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0.00013262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0.0053%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0.00364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0.00295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FFN非线性随机源＋比较器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1.549196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0.02696815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1.0718%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0.19332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0.15659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Attention随机端点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1.163188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0.02024859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0.8047%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0.15465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0.12527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FFN和筛选器sigmoid表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0.001090</w:t>
            </w:r>
          </w:p>
        </w:tc>
        <w:tc>
          <w:tcPr>
            <w:tcW w:type="dxa" w:w="158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0.00001898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0.0008%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0.01100</w:t>
            </w:r>
          </w:p>
        </w:tc>
        <w:tc>
          <w:tcPr>
            <w:tcW w:type="dxa" w:w="136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0.00891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其他向量和非线性代理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0.021188</w:t>
            </w:r>
          </w:p>
        </w:tc>
        <w:tc>
          <w:tcPr>
            <w:tcW w:type="dxa" w:w="158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0.00036885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0.0147%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未独立价</w:t>
            </w:r>
          </w:p>
        </w:tc>
        <w:tc>
          <w:tcPr>
            <w:tcW w:type="dxa" w:w="136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未独立价</w:t>
            </w:r>
          </w:p>
        </w:tc>
      </w:tr>
    </w:tbl>
    <w:p>
      <w:pPr>
        <w:pStyle w:val="Heading1"/>
      </w:pPr>
      <w:r>
        <w:t>怎样理解这张表</w:t>
      </w:r>
    </w:p>
    <w:p>
      <w:pPr>
        <w:spacing w:after="100"/>
      </w:pPr>
      <w:r>
        <w:rPr>
          <w:b w:val="0"/>
        </w:rPr>
        <w:t>计数器一行包括权重门控、符号、档位对齐、归约和时间累计；不能再给这些操作加一套相同单价。恢复核为旧组合核代理，跨tile宽累加另列。</w:t>
      </w:r>
    </w:p>
    <w:p>
      <w:pPr>
        <w:spacing w:after="100"/>
      </w:pPr>
      <w:r>
        <w:rPr>
          <w:b w:val="0"/>
        </w:rPr>
        <w:t>输入前端已包括LFSR、64路比较和分发；非线性10个Bivium端点已包括比较器。没有匹配的内部分项数据，无法把每个合并价格精确拆成“纯随机源”和“纯比较器”。</w:t>
      </w:r>
    </w:p>
    <w:p>
      <w:pPr>
        <w:spacing w:after="100"/>
      </w:pPr>
      <w:r>
        <w:rPr>
          <w:b w:val="0"/>
        </w:rPr>
        <w:t>普通MAC包括QKV、O、候选QK、摘要打分及lm_head。PV加法单独收费，其他向量功能只保留旧动作代理；RMSNorm、RoPE、exp和倒数没有完整同工艺阵列PPA。</w:t>
      </w:r>
    </w:p>
    <w:p>
      <w:pPr>
        <w:spacing w:after="100"/>
      </w:pPr>
      <w:r>
        <w:rPr>
          <w:b w:val="0"/>
        </w:rPr>
        <w:t>SRAM四行是不同物理存储，允许分别收费。共享SRAM不能重新按FFN、Attention各加一遍；同一权重经过DMA响应缓冲和本地阵列也不能只计其中一次。</w:t>
      </w:r>
    </w:p>
    <w:p>
      <w:pPr>
        <w:pStyle w:val="Heading1"/>
        <w:pageBreakBefore/>
      </w:pPr>
      <w:r>
        <w:t>三 FFN随机计算的具体边界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736"/>
        <w:gridCol w:w="5904"/>
        <w:gridCol w:w="1728"/>
      </w:tblGrid>
      <w:tr>
        <w:trPr>
          <w:tblHeader/>
          <w:cantSplit/>
        </w:trPr>
        <w:tc>
          <w:tcPr>
            <w:tcW w:type="dxa" w:w="273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904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已有费用或缺项</w:t>
            </w:r>
          </w:p>
        </w:tc>
        <w:tc>
          <w:tcPr>
            <w:tcW w:type="dxa" w:w="172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记录忙时ms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x固定四档编码</w:t>
            </w:r>
          </w:p>
        </w:tc>
        <w:tc>
          <w:tcPr>
            <w:tcW w:type="dxa" w:w="590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独立PPA缺失；92,160值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0.008640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共享随机门限与64比较器</w:t>
            </w:r>
          </w:p>
        </w:tc>
        <w:tc>
          <w:tcPr>
            <w:tcW w:type="dxa" w:w="590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0.007618mJ；已含入口随机源和分发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与GU采样重叠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Wg/Wu采样及计数</w:t>
            </w:r>
          </w:p>
        </w:tc>
        <w:tc>
          <w:tcPr>
            <w:tcW w:type="dxa" w:w="590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合并计数核分担；64次采样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2.131200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g/u编码与sigmoid等</w:t>
            </w:r>
          </w:p>
        </w:tc>
        <w:tc>
          <w:tcPr>
            <w:tcW w:type="dxa" w:w="590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部分LUT已计；编码／符号指数独立PPA缺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0.120384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非线性随机源及比较</w:t>
            </w:r>
          </w:p>
        </w:tc>
        <w:tc>
          <w:tcPr>
            <w:tcW w:type="dxa" w:w="590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10端点约1.549196mJ；200路覆盖192路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与Wd采样重叠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三路AND直接送Wd</w:t>
            </w:r>
          </w:p>
        </w:tc>
        <w:tc>
          <w:tcPr>
            <w:tcW w:type="dxa" w:w="590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AND控制未独立闭合；Wd计数已计；128次采样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5.800320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权重与系数编程</w:t>
            </w:r>
          </w:p>
        </w:tc>
        <w:tc>
          <w:tcPr>
            <w:tcW w:type="dxa" w:w="590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SRAM按装载与保持收费；并行外围未价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6.617088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旧归约与系数恢复宏</w:t>
            </w:r>
          </w:p>
        </w:tc>
        <w:tc>
          <w:tcPr>
            <w:tcW w:type="dxa" w:w="590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恢复代理约1.812209mJ；避免重复七桶费用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3.309696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最终宽定点转BF16</w:t>
            </w:r>
          </w:p>
        </w:tc>
        <w:tc>
          <w:tcPr>
            <w:tcW w:type="dxa" w:w="590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92,160值；独立转换功耗面积未价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0.011664</w:t>
            </w:r>
          </w:p>
        </w:tc>
      </w:tr>
    </w:tbl>
    <w:p>
      <w:pPr>
        <w:spacing w:after="100"/>
      </w:pPr>
      <w:r>
        <w:rPr>
          <w:b w:val="0"/>
          <w:sz w:val="19"/>
        </w:rPr>
        <w:t>忙时是服务预约量，GU随机门限与计数、非线性随机源与Wd使用同一采样时段；编程也可能与计算重叠，不能把上表逐项相加成FFN总时间。FFN全阶段实际约25.210ms，包含供数等待。</w:t>
      </w:r>
    </w:p>
    <w:p>
      <w:pPr>
        <w:pStyle w:val="Heading1"/>
      </w:pPr>
      <w:r>
        <w:t>权重存储和中间结果</w:t>
      </w:r>
    </w:p>
    <w:p>
      <w:pPr>
        <w:spacing w:after="100"/>
      </w:pPr>
      <w:r>
        <w:rPr>
          <w:b w:val="0"/>
        </w:rPr>
        <w:t>原FFN权重固定W8，两个本地权重bank合计256KiB；只按权重编程写入与保持计价，没有按64／128拍反复收普通SRAM完整读取费。定制CIM全并行读出、节点负载与广播驱动仍未计价。新双随机W侧SNG不属于本锚点。</w:t>
      </w:r>
    </w:p>
    <w:p>
      <w:pPr>
        <w:spacing w:after="100"/>
      </w:pPr>
      <w:r>
        <w:rPr>
          <w:b w:val="0"/>
        </w:rPr>
        <w:t>g/u恢复后再进行P8编码，sigmoid由真实g的signed8驱动；三路AND形成比特流直接进入Wd，最终输出才宽累加、舍入回BF16。不能用sigmoid表这一行的小能量代表完整随机非线性。</w:t>
      </w:r>
    </w:p>
    <w:p>
      <w:pPr>
        <w:pStyle w:val="Heading1"/>
      </w:pPr>
      <w:r>
        <w:t>时间模型和能量模型有一处边界尚未统一</w:t>
      </w:r>
    </w:p>
    <w:p>
      <w:pPr>
        <w:spacing w:after="100"/>
      </w:pPr>
      <w:r>
        <w:rPr>
          <w:b w:val="0"/>
        </w:rPr>
        <w:t>能量后处理已采用合并计数器并排除重复七桶归约；原时序仍保留旧SC_bucket_shift_reduce和系数恢复宏。因此恢复忙时不能拿来追加七套计数电路面积。本报告保持旧值，不把尚未执行的集成优化算成收益。</w:t>
      </w:r>
    </w:p>
    <w:p>
      <w:pPr>
        <w:pStyle w:val="Heading1"/>
      </w:pPr>
      <w:r>
        <w:t>数制转换的缺项</w:t>
      </w:r>
    </w:p>
    <w:p>
      <w:pPr>
        <w:spacing w:after="100"/>
      </w:pPr>
      <w:r>
        <w:rPr>
          <w:b w:val="0"/>
        </w:rPr>
        <w:t>数字矩阵输出另有313,344次FP32→BF16，忙时0.059904ms。它与FFN最终92,160次宽定点→BF16合计约0.071568ms，已在时间表里，却没有独立能耗面积报价；x及g/u编码也有类似缺口。</w:t>
      </w:r>
    </w:p>
    <w:p>
      <w:pPr>
        <w:pStyle w:val="Heading1"/>
        <w:pageBreakBefore/>
      </w:pPr>
      <w:r>
        <w:t>四 Attention各环节与共享数字MAC</w:t>
      </w:r>
    </w:p>
    <w:p>
      <w:pPr>
        <w:spacing w:after="100"/>
      </w:pPr>
      <w:r>
        <w:rPr>
          <w:b w:val="0"/>
        </w:rPr>
        <w:t>QKV和O投影仍用普通数字MAC。当前筛选是摘要点积、max4归一化、sigmoid概率保留与固定预算修整，不是耦合p-bit网络退火；之后准确Softmax，再用PV系统采样和GQA地址并集读V。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88"/>
        <w:gridCol w:w="3456"/>
        <w:gridCol w:w="3024"/>
      </w:tblGrid>
      <w:tr>
        <w:trPr>
          <w:tblHeader/>
          <w:cantSplit/>
        </w:trPr>
        <w:tc>
          <w:tcPr>
            <w:tcW w:type="dxa" w:w="388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45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MAC次数</w:t>
            </w:r>
          </w:p>
        </w:tc>
        <w:tc>
          <w:tcPr>
            <w:tcW w:type="dxa" w:w="3024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有效计算增量mJ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QKV投影</w:t>
            </w:r>
          </w:p>
        </w:tc>
        <w:tc>
          <w:tcPr>
            <w:tcW w:type="dxa" w:w="345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566,231,040</w:t>
            </w:r>
          </w:p>
        </w:tc>
        <w:tc>
          <w:tcPr>
            <w:tcW w:type="dxa" w:w="302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2.791708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O投影</w:t>
            </w:r>
          </w:p>
        </w:tc>
        <w:tc>
          <w:tcPr>
            <w:tcW w:type="dxa" w:w="345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377,487,360</w:t>
            </w:r>
          </w:p>
        </w:tc>
        <w:tc>
          <w:tcPr>
            <w:tcW w:type="dxa" w:w="302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1.861139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lm_head</w:t>
            </w:r>
          </w:p>
        </w:tc>
        <w:tc>
          <w:tcPr>
            <w:tcW w:type="dxa" w:w="345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388,956,160</w:t>
            </w:r>
          </w:p>
        </w:tc>
        <w:tc>
          <w:tcPr>
            <w:tcW w:type="dxa" w:w="302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1.917684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候选QK点积</w:t>
            </w:r>
          </w:p>
        </w:tc>
        <w:tc>
          <w:tcPr>
            <w:tcW w:type="dxa" w:w="345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75,497,472</w:t>
            </w:r>
          </w:p>
        </w:tc>
        <w:tc>
          <w:tcPr>
            <w:tcW w:type="dxa" w:w="3024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0.372228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Q与K摘要点积</w:t>
            </w:r>
          </w:p>
        </w:tc>
        <w:tc>
          <w:tcPr>
            <w:tcW w:type="dxa" w:w="345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18,874,368</w:t>
            </w:r>
          </w:p>
        </w:tc>
        <w:tc>
          <w:tcPr>
            <w:tcW w:type="dxa" w:w="3024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0.093057</w:t>
            </w:r>
          </w:p>
        </w:tc>
      </w:tr>
    </w:tbl>
    <w:p>
      <w:pPr>
        <w:spacing w:after="100"/>
      </w:pPr>
      <w:r>
        <w:rPr>
          <w:b w:val="0"/>
          <w:sz w:val="19"/>
        </w:rPr>
        <w:t>这五项合计1,427,046,400次MAC，只解释约7.035814mJ的有效动作增量。共享MAC账目余下62.496162mJ是背景动态和漏电，其中背景动态也包含工作期间基底。MAC利用率约2.426%。不能把全部69.532mJ都归为Attention投影计算。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328"/>
        <w:gridCol w:w="1728"/>
        <w:gridCol w:w="3312"/>
      </w:tblGrid>
      <w:tr>
        <w:trPr>
          <w:tblHeader/>
          <w:cantSplit/>
        </w:trPr>
        <w:tc>
          <w:tcPr>
            <w:tcW w:type="dxa" w:w="532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728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服务忙时ms</w:t>
            </w:r>
          </w:p>
        </w:tc>
        <w:tc>
          <w:tcPr>
            <w:tcW w:type="dxa" w:w="3312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费用归属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Attention QKV投影算术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0.626688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共享MAC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Attention O投影算术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0.414720</w:t>
            </w:r>
          </w:p>
        </w:tc>
        <w:tc>
          <w:tcPr>
            <w:tcW w:type="dxa" w:w="331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共享MAC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RoPE算术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0.017280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旧向量代理／共享资源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摘要筛选算术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0.195840</w:t>
            </w:r>
          </w:p>
        </w:tc>
        <w:tc>
          <w:tcPr>
            <w:tcW w:type="dxa" w:w="331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旧向量代理／共享资源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K读入与片存搬运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4.401483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外存粗预算＋SRAM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QK打分与缩放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0.103055</w:t>
            </w:r>
          </w:p>
        </w:tc>
        <w:tc>
          <w:tcPr>
            <w:tcW w:type="dxa" w:w="331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共享MAC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准确Softmax含输入输出SRAM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0.223488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旧向量代理／共享资源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PV采样选址与GQA合并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0.181525</w:t>
            </w:r>
          </w:p>
        </w:tc>
        <w:tc>
          <w:tcPr>
            <w:tcW w:type="dxa" w:w="331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随机端点及控制／共享存储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V外存读取 片存装载与广播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1.800340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外存粗预算＋SRAM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V选择累加与平均</w:t>
            </w:r>
          </w:p>
        </w:tc>
        <w:tc>
          <w:tcPr>
            <w:tcW w:type="dxa" w:w="1728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0.596304</w:t>
            </w:r>
          </w:p>
        </w:tc>
        <w:tc>
          <w:tcPr>
            <w:tcW w:type="dxa" w:w="331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PV累加器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Attention随机服务真实响应</w:t>
            </w:r>
          </w:p>
        </w:tc>
        <w:tc>
          <w:tcPr>
            <w:tcW w:type="dxa" w:w="1728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0.008640</w:t>
            </w:r>
          </w:p>
        </w:tc>
        <w:tc>
          <w:tcPr>
            <w:tcW w:type="dxa" w:w="331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随机端点及控制／共享存储</w:t>
            </w:r>
          </w:p>
        </w:tc>
      </w:tr>
    </w:tbl>
    <w:p>
      <w:pPr>
        <w:spacing w:after="100"/>
      </w:pPr>
      <w:r>
        <w:rPr>
          <w:b w:val="0"/>
          <w:sz w:val="19"/>
        </w:rPr>
        <w:t>服务忙时跨行可重叠；准确Softmax的exp／倒数仍用旧向量与非线性单价，部分筛选／选址控制没有独立PPA。不能从旧代理成本很小推断实电路同样小。</w:t>
      </w:r>
    </w:p>
    <w:p>
      <w:pPr>
        <w:spacing w:after="100"/>
      </w:pPr>
      <w:r>
        <w:rPr>
          <w:b/>
          <w:sz w:val="19"/>
        </w:rPr>
        <w:t>Ising Softmax：本锚点未启用，因此没有可从2.516W里拆出的Ising占比。新阈值库、赢家／合法拒绝与随机前端应作为单独候选接入后再比较；不能把“未启用”写成Ising硬件为零功耗。</w:t>
      </w:r>
    </w:p>
    <w:p>
      <w:pPr>
        <w:pStyle w:val="Heading1"/>
        <w:pageBreakBefore/>
      </w:pPr>
      <w:r>
        <w:t>五 时间与存储究竟限制在哪里</w:t>
      </w:r>
    </w:p>
    <w:p>
      <w:pPr>
        <w:pStyle w:val="Heading1"/>
      </w:pPr>
      <w:r>
        <w:t>可以相加的端到端阶段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192"/>
        <w:gridCol w:w="2160"/>
        <w:gridCol w:w="2016"/>
      </w:tblGrid>
      <w:tr>
        <w:trPr>
          <w:tblHeader/>
          <w:cantSplit/>
        </w:trPr>
        <w:tc>
          <w:tcPr>
            <w:tcW w:type="dxa" w:w="6192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ms/token</w:t>
            </w:r>
          </w:p>
        </w:tc>
        <w:tc>
          <w:tcPr>
            <w:tcW w:type="dxa" w:w="201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总时间占比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FFN含输出转换与残差</w:t>
            </w:r>
          </w:p>
        </w:tc>
        <w:tc>
          <w:tcPr>
            <w:tcW w:type="dxa" w:w="216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25.209667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43.885%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QKV与O投影</w:t>
            </w:r>
          </w:p>
        </w:tc>
        <w:tc>
          <w:tcPr>
            <w:tcW w:type="dxa" w:w="216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16.356659</w:t>
            </w:r>
          </w:p>
        </w:tc>
        <w:tc>
          <w:tcPr>
            <w:tcW w:type="dxa" w:w="201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28.473%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Attention核心</w:t>
            </w:r>
          </w:p>
        </w:tc>
        <w:tc>
          <w:tcPr>
            <w:tcW w:type="dxa" w:w="216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8.952024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15.584%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lm_head与argmax</w:t>
            </w:r>
          </w:p>
        </w:tc>
        <w:tc>
          <w:tcPr>
            <w:tcW w:type="dxa" w:w="216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6.815673</w:t>
            </w:r>
          </w:p>
        </w:tc>
        <w:tc>
          <w:tcPr>
            <w:tcW w:type="dxa" w:w="201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11.865%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其余归一化 RoPE 残差和显式存储</w:t>
            </w:r>
          </w:p>
        </w:tc>
        <w:tc>
          <w:tcPr>
            <w:tcW w:type="dxa" w:w="216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0.111362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0.194%</w:t>
            </w:r>
          </w:p>
        </w:tc>
      </w:tr>
    </w:tbl>
    <w:p>
      <w:pPr>
        <w:pStyle w:val="Heading1"/>
      </w:pPr>
      <w:r>
        <w:t>不可相加的资源忙时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192"/>
        <w:gridCol w:w="2160"/>
        <w:gridCol w:w="2016"/>
      </w:tblGrid>
      <w:tr>
        <w:trPr>
          <w:tblHeader/>
          <w:cantSplit/>
        </w:trPr>
        <w:tc>
          <w:tcPr>
            <w:tcW w:type="dxa" w:w="6192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16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忙时ms</w:t>
            </w:r>
          </w:p>
        </w:tc>
        <w:tc>
          <w:tcPr>
            <w:tcW w:type="dxa" w:w="201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相对TPOT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外存DMA总资源</w:t>
            </w:r>
          </w:p>
        </w:tc>
        <w:tc>
          <w:tcPr>
            <w:tcW w:type="dxa" w:w="216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39.802997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69.29%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共享SRAM fabric</w:t>
            </w:r>
          </w:p>
        </w:tc>
        <w:tc>
          <w:tcPr>
            <w:tcW w:type="dxa" w:w="216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15.286006</w:t>
            </w:r>
          </w:p>
        </w:tc>
        <w:tc>
          <w:tcPr>
            <w:tcW w:type="dxa" w:w="201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26.61%</w:t>
            </w:r>
          </w:p>
        </w:tc>
      </w:tr>
      <w:tr>
        <w:trPr>
          <w:cantSplit/>
        </w:trPr>
        <w:tc>
          <w:tcPr>
            <w:tcW w:type="dxa" w:w="61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普通数字MAC总资源</w:t>
            </w:r>
          </w:p>
        </w:tc>
        <w:tc>
          <w:tcPr>
            <w:tcW w:type="dxa" w:w="216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1.576103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2.74%</w:t>
            </w:r>
          </w:p>
        </w:tc>
      </w:tr>
    </w:tbl>
    <w:p>
      <w:pPr>
        <w:spacing w:after="100"/>
      </w:pPr>
      <w:r>
        <w:rPr>
          <w:b w:val="0"/>
          <w:sz w:val="19"/>
        </w:rPr>
        <w:t>普通MAC忙时远小于投影阶段总时间，说明供数和等待很重要。DMA、SRAM和计算之间存在重叠，上表不是串行时间分解，也不能据此把DMA忙时直接当作不可突破的整机下限。</w:t>
      </w:r>
    </w:p>
    <w:p>
      <w:pPr>
        <w:pStyle w:val="Heading1"/>
      </w:pPr>
      <w:r>
        <w:t>片上SRAM分布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776"/>
        <w:gridCol w:w="2592"/>
      </w:tblGrid>
      <w:tr>
        <w:trPr>
          <w:tblHeader/>
          <w:cantSplit/>
        </w:trPr>
        <w:tc>
          <w:tcPr>
            <w:tcW w:type="dxa" w:w="777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物理存储</w:t>
            </w:r>
          </w:p>
        </w:tc>
        <w:tc>
          <w:tcPr>
            <w:tcW w:type="dxa" w:w="2592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容量KiB</w:t>
            </w:r>
          </w:p>
        </w:tc>
      </w:tr>
      <w:tr>
        <w:trPr>
          <w:cantSplit/>
        </w:trPr>
        <w:tc>
          <w:tcPr>
            <w:tcW w:type="dxa" w:w="777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共享SRAM</w:t>
            </w:r>
          </w:p>
        </w:tc>
        <w:tc>
          <w:tcPr>
            <w:tcW w:type="dxa" w:w="25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8192.0</w:t>
            </w:r>
          </w:p>
        </w:tc>
      </w:tr>
      <w:tr>
        <w:trPr>
          <w:cantSplit/>
        </w:trPr>
        <w:tc>
          <w:tcPr>
            <w:tcW w:type="dxa" w:w="777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FFN权重双bank</w:t>
            </w:r>
          </w:p>
        </w:tc>
        <w:tc>
          <w:tcPr>
            <w:tcW w:type="dxa" w:w="25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256.0</w:t>
            </w:r>
          </w:p>
        </w:tc>
      </w:tr>
      <w:tr>
        <w:trPr>
          <w:cantSplit/>
        </w:trPr>
        <w:tc>
          <w:tcPr>
            <w:tcW w:type="dxa" w:w="777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数字本地operand与激活</w:t>
            </w:r>
          </w:p>
        </w:tc>
        <w:tc>
          <w:tcPr>
            <w:tcW w:type="dxa" w:w="25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72.0</w:t>
            </w:r>
          </w:p>
        </w:tc>
      </w:tr>
      <w:tr>
        <w:trPr>
          <w:cantSplit/>
        </w:trPr>
        <w:tc>
          <w:tcPr>
            <w:tcW w:type="dxa" w:w="777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DMA响应缓冲</w:t>
            </w:r>
          </w:p>
        </w:tc>
        <w:tc>
          <w:tcPr>
            <w:tcW w:type="dxa" w:w="25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128.0</w:t>
            </w:r>
          </w:p>
        </w:tc>
      </w:tr>
    </w:tbl>
    <w:p>
      <w:pPr>
        <w:spacing w:after="100"/>
      </w:pPr>
      <w:r>
        <w:rPr>
          <w:b w:val="0"/>
          <w:sz w:val="19"/>
        </w:rPr>
        <w:t>共享SRAM显式地址空间保留峰值715,008B，约0.682MiB；它不包含独立本地和响应缓冲。8MiB容量与bank／带宽绑定，减少容量不是免费维持原带宽。</w:t>
      </w:r>
    </w:p>
    <w:p>
      <w:pPr>
        <w:pStyle w:val="Heading1"/>
      </w:pPr>
      <w:r>
        <w:t>外存原粗预算的主要来源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96"/>
        <w:gridCol w:w="2592"/>
        <w:gridCol w:w="2880"/>
      </w:tblGrid>
      <w:tr>
        <w:trPr>
          <w:tblHeader/>
          <w:cantSplit/>
        </w:trPr>
        <w:tc>
          <w:tcPr>
            <w:tcW w:type="dxa" w:w="489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外存物理读取</w:t>
            </w:r>
          </w:p>
        </w:tc>
        <w:tc>
          <w:tcPr>
            <w:tcW w:type="dxa" w:w="2592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MiB/token</w:t>
            </w:r>
          </w:p>
        </w:tc>
        <w:tc>
          <w:tcPr>
            <w:tcW w:type="dxa" w:w="2880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64pJ/B代理mJ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weights</w:t>
            </w:r>
          </w:p>
        </w:tc>
        <w:tc>
          <w:tcPr>
            <w:tcW w:type="dxa" w:w="25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5106.875</w:t>
            </w:r>
          </w:p>
        </w:tc>
        <w:tc>
          <w:tcPr>
            <w:tcW w:type="dxa" w:w="288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342.7166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summary_read</w:t>
            </w:r>
          </w:p>
        </w:tc>
        <w:tc>
          <w:tcPr>
            <w:tcW w:type="dxa" w:w="25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18.000</w:t>
            </w:r>
          </w:p>
        </w:tc>
        <w:tc>
          <w:tcPr>
            <w:tcW w:type="dxa" w:w="288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1.2080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K_selected</w:t>
            </w:r>
          </w:p>
        </w:tc>
        <w:tc>
          <w:tcPr>
            <w:tcW w:type="dxa" w:w="2592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82.792</w:t>
            </w:r>
          </w:p>
        </w:tc>
        <w:tc>
          <w:tcPr>
            <w:tcW w:type="dxa" w:w="2880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5.5561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V_sparse_union</w:t>
            </w:r>
          </w:p>
        </w:tc>
        <w:tc>
          <w:tcPr>
            <w:tcW w:type="dxa" w:w="2592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24.177</w:t>
            </w:r>
          </w:p>
        </w:tc>
        <w:tc>
          <w:tcPr>
            <w:tcW w:type="dxa" w:w="2880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1.6225</w:t>
            </w:r>
          </w:p>
        </w:tc>
      </w:tr>
    </w:tbl>
    <w:p>
      <w:pPr>
        <w:pStyle w:val="Heading1"/>
        <w:pageBreakBefore/>
      </w:pPr>
      <w:r>
        <w:t>六 证据强度与下一步优化顺序</w:t>
      </w:r>
    </w:p>
    <w:p>
      <w:pPr>
        <w:pStyle w:val="Heading1"/>
      </w:pPr>
      <w:r>
        <w:t>三个已有门控情景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bottom w:val="single" w:sz="5" w:color="D9D9D9"/>
          <w:left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336"/>
        <w:gridCol w:w="2016"/>
        <w:gridCol w:w="2016"/>
      </w:tblGrid>
      <w:tr>
        <w:trPr>
          <w:tblHeader/>
          <w:cantSplit/>
        </w:trPr>
        <w:tc>
          <w:tcPr>
            <w:tcW w:type="dxa" w:w="633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原预算情景</w:t>
            </w:r>
          </w:p>
        </w:tc>
        <w:tc>
          <w:tcPr>
            <w:tcW w:type="dxa" w:w="201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片上W</w:t>
            </w:r>
          </w:p>
        </w:tc>
        <w:tc>
          <w:tcPr>
            <w:tcW w:type="dxa" w:w="2016"/>
            <w:vAlign w:val="center"/>
            <w:shd w:fill="29455C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片上mJ/token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新计数器CE 数字CE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12.7864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734.519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计数器真实ICG 数字CE</w:t>
            </w:r>
          </w:p>
        </w:tc>
        <w:tc>
          <w:tcPr>
            <w:tcW w:type="dxa" w:w="201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10.0280</w:t>
            </w:r>
          </w:p>
        </w:tc>
        <w:tc>
          <w:tcPr>
            <w:tcW w:type="dxa" w:w="2016"/>
            <w:vAlign w:val="center"/>
            <w:shd w:fill="F2F5F7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576.063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计数器ICG 数字90%空闲动态消除情景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2.5162</w:t>
            </w:r>
          </w:p>
        </w:tc>
        <w:tc>
          <w:tcPr>
            <w:tcW w:type="dxa" w:w="2016"/>
            <w:vAlign w:val="center"/>
            <w:shd w:fill="FFFFFF"/>
            <w:tcMar>
              <w:top w:w="52" w:type="dxa"/>
              <w:bottom w:w="52" w:type="dxa"/>
              <w:left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144.545</w:t>
            </w:r>
          </w:p>
        </w:tc>
      </w:tr>
    </w:tbl>
    <w:p>
      <w:pPr>
        <w:spacing w:after="100"/>
      </w:pPr>
      <w:r>
        <w:rPr>
          <w:b w:val="0"/>
        </w:rPr>
        <w:t>2.516W不是已实测整片：数字门控尚为情景；500MHz按固定电压、每参考拍动态能量向外推，漏电按时间计。原时序没有重新加入这一数字门控情景的唤醒延迟。</w:t>
      </w:r>
    </w:p>
    <w:p>
      <w:pPr>
        <w:pStyle w:val="Heading1"/>
      </w:pPr>
      <w:r>
        <w:t>优化优先级</w:t>
      </w:r>
    </w:p>
    <w:p>
      <w:pPr>
        <w:spacing w:after="100"/>
      </w:pPr>
      <w:r>
        <w:rPr>
          <w:b w:val="0"/>
        </w:rPr>
        <w:t>能量：先看共享MAC背景、FFN计数与恢复、外存单价。应先核对真实门控和HBM，再判断局部电路改进对整机的收益。</w:t>
      </w:r>
    </w:p>
    <w:p>
      <w:pPr>
        <w:spacing w:after="100"/>
      </w:pPr>
      <w:r>
        <w:rPr>
          <w:b w:val="0"/>
        </w:rPr>
        <w:t>面积：优先计数器与共享SRAM；保持位宽、并行度、吞吐和质量口径，不能把OR4或双随机小核直接替代原多档精确核。</w:t>
      </w:r>
    </w:p>
    <w:p>
      <w:pPr>
        <w:spacing w:after="100"/>
      </w:pPr>
      <w:r>
        <w:rPr>
          <w:b w:val="0"/>
        </w:rPr>
        <w:t>时间：先分供数等待与计算忙时。QKV／O阶段耗时约16.36ms，但MAC算术只占其中一小部分；增加MAC数量不一定改善等待。</w:t>
      </w:r>
    </w:p>
    <w:p>
      <w:pPr>
        <w:spacing w:after="100"/>
      </w:pPr>
      <w:r>
        <w:rPr>
          <w:b w:val="0"/>
        </w:rPr>
        <w:t>缺项：补定点编码、宽定点／FP32到BF16、CIM并行外围和控制／CTS。随机源与比较器拆价也必须匹配已集成边界。</w:t>
      </w:r>
    </w:p>
    <w:p>
      <w:pPr>
        <w:pStyle w:val="Heading1"/>
      </w:pPr>
      <w:r>
        <w:t>已有结果和仍用代理的部分</w:t>
      </w:r>
    </w:p>
    <w:p>
      <w:pPr>
        <w:spacing w:after="100"/>
      </w:pPr>
      <w:r>
        <w:rPr>
          <w:b w:val="0"/>
        </w:rPr>
        <w:t>已有：100MHz计数／X8门控、单数字MAC与FP32加、随机端点、8位LUT及SRAM宏表。代理：B4→B7位数比例、旧恢复、宽累加、数字阵列空闲门控与500MHz实现。未闭合：CIM全并行接口／互连／CTS、部分编码转换、有效HBM能量。</w:t>
      </w:r>
    </w:p>
    <w:p>
      <w:pPr>
        <w:pStyle w:val="Heading1"/>
      </w:pPr>
      <w:r>
        <w:t>版本与复算</w:t>
      </w:r>
    </w:p>
    <w:p>
      <w:pPr>
        <w:spacing w:after="100"/>
      </w:pPr>
      <w:r>
        <w:rPr>
          <w:b w:val="0"/>
          <w:sz w:val="17"/>
        </w:rPr>
        <w:t>基线main：787489192ebfcdb61ad72edde406818f450aa3dc</w:t>
      </w:r>
    </w:p>
    <w:p>
      <w:pPr>
        <w:spacing w:after="100"/>
      </w:pPr>
      <w:r>
        <w:rPr>
          <w:b w:val="0"/>
          <w:sz w:val="17"/>
        </w:rPr>
        <w:t>原PR192科学锚点：91f68416acad0e8306b920b1b8ac779f3d24ad98</w:t>
      </w:r>
    </w:p>
    <w:p>
      <w:pPr>
        <w:spacing w:after="100"/>
      </w:pPr>
      <w:r>
        <w:rPr>
          <w:b w:val="0"/>
          <w:sz w:val="18"/>
        </w:rPr>
        <w:t>六个completed摘要原字节SHA、manifest及配置引用已核对；原raw结果SHA只核对封存引用一致，未重新下载大轨迹或门级原件。四配置×三情景复算一致，14模块与阶段时间均闭合。无新PPL、EDA或整机时序执行。</w:t>
      </w:r>
    </w:p>
    <w:p>
      <w:pPr>
        <w:spacing w:after="80"/>
      </w:pPr>
      <w:r>
        <w:rPr>
          <w:b w:val="0"/>
        </w:rPr>
      </w:r>
      <w:hyperlink r:id="rId10">
        <w:r>
          <w:rPr>
            <w:color w:val="24597A"/>
          </w:rPr>
          <w:t>原预算与电路映射说明</w:t>
        </w:r>
      </w:hyperlink>
    </w:p>
    <w:p>
      <w:pPr>
        <w:spacing w:after="80"/>
      </w:pPr>
      <w:r>
        <w:rPr>
          <w:b w:val="0"/>
        </w:rPr>
      </w:r>
      <w:hyperlink r:id="rId11">
        <w:r>
          <w:rPr>
            <w:color w:val="24597A"/>
          </w:rPr>
          <w:t>原固定资源调度结果</w:t>
        </w:r>
      </w:hyperlink>
    </w:p>
    <w:p>
      <w:pPr>
        <w:spacing w:after="80"/>
      </w:pPr>
      <w:r>
        <w:rPr>
          <w:b w:val="0"/>
        </w:rPr>
      </w:r>
      <w:hyperlink r:id="rId12">
        <w:r>
          <w:rPr>
            <w:color w:val="24597A"/>
          </w:rPr>
          <w:t>Issue210与本次交付</w:t>
        </w:r>
      </w:hyperlink>
    </w:p>
    <w:p>
      <w:pPr>
        <w:spacing w:after="100"/>
      </w:pPr>
      <w:r>
        <w:rPr>
          <w:b w:val="0"/>
          <w:sz w:val="18"/>
        </w:rPr>
        <w:t>配套CSV／JSON保留所有逐模块精确值、阶段时间、资源忙时、功能MAC增量、外存事务和未计项；不是把现有完整TLM替换成另一套模型。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2026年10月29日  ·  Issue210  ·  已有TLM预算派生  ·  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rayggxia-workspace/pbit-llm-qwen-baselines/blob/91f68416acad0e8306b920b1b8ac779f3d24ad98/architecture_tlm/ppa_recalibration_20261027/RESULTS_ZH.md" TargetMode="External"/><Relationship Id="rId11" Type="http://schemas.openxmlformats.org/officeDocument/2006/relationships/hyperlink" Target="https://github.com/rayggxia-workspace/pbit-llm-qwen-baselines/blob/91f68416acad0e8306b920b1b8ac779f3d24ad98/architecture_tlm/scheduling_v2_20261027/FINAL_RESULTS_ZH.md" TargetMode="External"/><Relationship Id="rId12" Type="http://schemas.openxmlformats.org/officeDocument/2006/relationships/hyperlink" Target="https://github.com/rayggxia-workspace/pbit-llm-qwen-baselines/issues/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整机TLM功耗面积与时间分项</dc:title>
  <dc:subject>Issue210 原整机预算占比审计</dc:subject>
  <dc:creator>pbit LLM研究资料整理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