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13F" w:rsidRPr="00040185" w:rsidRDefault="0073613F" w:rsidP="0073613F">
      <w:pPr>
        <w:widowControl w:val="0"/>
        <w:autoSpaceDE w:val="0"/>
        <w:autoSpaceDN w:val="0"/>
        <w:adjustRightInd w:val="0"/>
        <w:jc w:val="center"/>
        <w:rPr>
          <w:b/>
          <w:sz w:val="30"/>
        </w:rPr>
      </w:pPr>
      <w:r w:rsidRPr="0073613F">
        <w:rPr>
          <w:rFonts w:cs="LiberationSerif-Bold"/>
          <w:b/>
          <w:bCs/>
          <w:sz w:val="30"/>
          <w:szCs w:val="30"/>
        </w:rPr>
        <w:t>Worksheet - Lesson 2: Cohesion, Coherence, and Emphasis</w:t>
      </w:r>
    </w:p>
    <w:p w:rsidR="00040185" w:rsidRPr="00040185" w:rsidRDefault="00040185" w:rsidP="00040185">
      <w:pPr>
        <w:contextualSpacing/>
        <w:jc w:val="center"/>
        <w:rPr>
          <w:b/>
          <w:sz w:val="30"/>
        </w:rPr>
      </w:pPr>
    </w:p>
    <w:p w:rsidR="00040185" w:rsidRDefault="00040185" w:rsidP="00040185">
      <w:pPr>
        <w:contextualSpacing/>
        <w:jc w:val="both"/>
      </w:pPr>
    </w:p>
    <w:p w:rsidR="0073613F" w:rsidRDefault="0073613F" w:rsidP="0073613F">
      <w:pPr>
        <w:widowControl w:val="0"/>
        <w:numPr>
          <w:ilvl w:val="0"/>
          <w:numId w:val="2"/>
        </w:numPr>
        <w:autoSpaceDE w:val="0"/>
        <w:autoSpaceDN w:val="0"/>
        <w:adjustRightInd w:val="0"/>
        <w:contextualSpacing/>
        <w:rPr>
          <w:rFonts w:ascii="LiberationSerif-Bold" w:hAnsi="LiberationSerif-Bold" w:cs="LiberationSerif-Bold"/>
          <w:szCs w:val="20"/>
        </w:rPr>
      </w:pPr>
      <w:r w:rsidRPr="00C84E05">
        <w:rPr>
          <w:rFonts w:ascii="LiberationSerif-Bold" w:hAnsi="LiberationSerif-Bold" w:cs="LiberationSerif-Bold"/>
          <w:szCs w:val="20"/>
        </w:rPr>
        <w:t>These data were then subjected to hierarchical clustering using the Pearson correlation as the distance metric.</w:t>
      </w:r>
    </w:p>
    <w:p w:rsidR="008A3734" w:rsidRDefault="008A3734" w:rsidP="008A3734">
      <w:pPr>
        <w:widowControl w:val="0"/>
        <w:autoSpaceDE w:val="0"/>
        <w:autoSpaceDN w:val="0"/>
        <w:adjustRightInd w:val="0"/>
        <w:ind w:left="360"/>
        <w:contextualSpacing/>
        <w:rPr>
          <w:rFonts w:ascii="LiberationSerif-Bold" w:hAnsi="LiberationSerif-Bold" w:cs="LiberationSerif-Bold"/>
          <w:szCs w:val="20"/>
        </w:rPr>
      </w:pPr>
    </w:p>
    <w:p w:rsidR="0073613F" w:rsidRDefault="008A3734" w:rsidP="009B5426">
      <w:pPr>
        <w:widowControl w:val="0"/>
        <w:autoSpaceDE w:val="0"/>
        <w:autoSpaceDN w:val="0"/>
        <w:adjustRightInd w:val="0"/>
        <w:ind w:left="360"/>
        <w:contextualSpacing/>
        <w:jc w:val="both"/>
        <w:rPr>
          <w:rFonts w:ascii="LiberationSerif-Bold" w:hAnsi="LiberationSerif-Bold" w:cs="LiberationSerif-Bold"/>
          <w:szCs w:val="20"/>
        </w:rPr>
      </w:pPr>
      <w:r w:rsidRPr="008A3734">
        <w:rPr>
          <w:rFonts w:ascii="LiberationSerif-Bold" w:hAnsi="LiberationSerif-Bold" w:cs="LiberationSerif-Bold"/>
          <w:b/>
          <w:szCs w:val="20"/>
        </w:rPr>
        <w:t>Answer:</w:t>
      </w:r>
      <w:r>
        <w:rPr>
          <w:rFonts w:ascii="LiberationSerif-Bold" w:hAnsi="LiberationSerif-Bold" w:cs="LiberationSerif-Bold"/>
          <w:szCs w:val="20"/>
        </w:rPr>
        <w:t xml:space="preserve"> </w:t>
      </w:r>
      <w:r w:rsidRPr="008A3734">
        <w:rPr>
          <w:rFonts w:ascii="LiberationSerif-Bold" w:hAnsi="LiberationSerif-Bold" w:cs="LiberationSerif-Bold"/>
          <w:szCs w:val="20"/>
        </w:rPr>
        <w:t>The data underwent hierarchical clustering, employing the Pearson correlation as the distance metric.</w:t>
      </w:r>
    </w:p>
    <w:p w:rsidR="0073613F" w:rsidRDefault="0073613F" w:rsidP="0073613F">
      <w:pPr>
        <w:widowControl w:val="0"/>
        <w:autoSpaceDE w:val="0"/>
        <w:autoSpaceDN w:val="0"/>
        <w:adjustRightInd w:val="0"/>
        <w:rPr>
          <w:rFonts w:ascii="LiberationSerif-Bold" w:hAnsi="LiberationSerif-Bold" w:cs="LiberationSerif-Bold"/>
          <w:szCs w:val="20"/>
        </w:rPr>
      </w:pPr>
    </w:p>
    <w:p w:rsidR="0073613F" w:rsidRPr="00C84E05" w:rsidRDefault="0073613F" w:rsidP="0073613F">
      <w:pPr>
        <w:widowControl w:val="0"/>
        <w:autoSpaceDE w:val="0"/>
        <w:autoSpaceDN w:val="0"/>
        <w:adjustRightInd w:val="0"/>
        <w:rPr>
          <w:rFonts w:ascii="LiberationSerif-Bold" w:hAnsi="LiberationSerif-Bold" w:cs="LiberationSerif-Bold"/>
          <w:szCs w:val="20"/>
        </w:rPr>
      </w:pPr>
    </w:p>
    <w:p w:rsidR="0073613F" w:rsidRDefault="0073613F" w:rsidP="0073613F">
      <w:pPr>
        <w:widowControl w:val="0"/>
        <w:numPr>
          <w:ilvl w:val="0"/>
          <w:numId w:val="2"/>
        </w:numPr>
        <w:autoSpaceDE w:val="0"/>
        <w:autoSpaceDN w:val="0"/>
        <w:adjustRightInd w:val="0"/>
        <w:contextualSpacing/>
        <w:rPr>
          <w:rFonts w:ascii="LiberationSerif-Bold" w:hAnsi="LiberationSerif-Bold" w:cs="LiberationSerif-Bold"/>
          <w:szCs w:val="20"/>
        </w:rPr>
      </w:pPr>
      <w:r w:rsidRPr="00C84E05">
        <w:rPr>
          <w:rFonts w:ascii="LiberationSerif-Bold" w:hAnsi="LiberationSerif-Bold" w:cs="LiberationSerif-Bold"/>
          <w:szCs w:val="20"/>
        </w:rPr>
        <w:t>We designated the putative GRB target genes as the human TFs that were under a HCNE density peak and whose</w:t>
      </w:r>
      <w:r>
        <w:rPr>
          <w:rFonts w:ascii="LiberationSerif-Bold" w:hAnsi="LiberationSerif-Bold" w:cs="LiberationSerif-Bold"/>
          <w:szCs w:val="20"/>
        </w:rPr>
        <w:t xml:space="preserve"> </w:t>
      </w:r>
      <w:r w:rsidRPr="00C84E05">
        <w:rPr>
          <w:rFonts w:ascii="LiberationSerif-Bold" w:hAnsi="LiberationSerif-Bold" w:cs="LiberationSerif-Bold"/>
          <w:szCs w:val="20"/>
        </w:rPr>
        <w:t>orthologs we</w:t>
      </w:r>
      <w:r>
        <w:rPr>
          <w:rFonts w:ascii="LiberationSerif-Bold" w:hAnsi="LiberationSerif-Bold" w:cs="LiberationSerif-Bold"/>
          <w:szCs w:val="20"/>
        </w:rPr>
        <w:t xml:space="preserve">re in conserved synteny with an </w:t>
      </w:r>
      <w:r w:rsidRPr="00C84E05">
        <w:rPr>
          <w:rFonts w:ascii="LiberationSerif-Bold" w:hAnsi="LiberationSerif-Bold" w:cs="LiberationSerif-Bold"/>
          <w:szCs w:val="20"/>
        </w:rPr>
        <w:t>array of HCNEs in human:zebrafish alignments. Density peaks and syntenic</w:t>
      </w:r>
      <w:r>
        <w:rPr>
          <w:rFonts w:ascii="LiberationSerif-Bold" w:hAnsi="LiberationSerif-Bold" w:cs="LiberationSerif-Bold"/>
          <w:szCs w:val="20"/>
        </w:rPr>
        <w:t xml:space="preserve"> </w:t>
      </w:r>
      <w:r w:rsidRPr="00C84E05">
        <w:rPr>
          <w:rFonts w:ascii="LiberationSerif-Bold" w:hAnsi="LiberationSerif-Bold" w:cs="LiberationSerif-Bold"/>
          <w:szCs w:val="20"/>
        </w:rPr>
        <w:t>regions were downloaded from the Ancora Genome Browser.</w:t>
      </w:r>
    </w:p>
    <w:p w:rsidR="0073613F" w:rsidRDefault="0073613F" w:rsidP="0073613F">
      <w:pPr>
        <w:widowControl w:val="0"/>
        <w:autoSpaceDE w:val="0"/>
        <w:autoSpaceDN w:val="0"/>
        <w:adjustRightInd w:val="0"/>
        <w:rPr>
          <w:rFonts w:ascii="LiberationSerif-Bold" w:hAnsi="LiberationSerif-Bold" w:cs="LiberationSerif-Bold"/>
          <w:szCs w:val="20"/>
        </w:rPr>
      </w:pPr>
    </w:p>
    <w:p w:rsidR="0073613F" w:rsidRDefault="009F6CA6" w:rsidP="006D7083">
      <w:pPr>
        <w:widowControl w:val="0"/>
        <w:autoSpaceDE w:val="0"/>
        <w:autoSpaceDN w:val="0"/>
        <w:adjustRightInd w:val="0"/>
        <w:ind w:left="360"/>
        <w:jc w:val="both"/>
        <w:rPr>
          <w:rFonts w:ascii="LiberationSerif-Bold" w:hAnsi="LiberationSerif-Bold" w:cs="LiberationSerif-Bold"/>
          <w:szCs w:val="20"/>
        </w:rPr>
      </w:pPr>
      <w:r w:rsidRPr="009F6CA6">
        <w:rPr>
          <w:rFonts w:ascii="LiberationSerif-Bold" w:hAnsi="LiberationSerif-Bold" w:cs="LiberationSerif-Bold"/>
          <w:b/>
          <w:szCs w:val="20"/>
        </w:rPr>
        <w:t>Answer:</w:t>
      </w:r>
      <w:r>
        <w:rPr>
          <w:rFonts w:ascii="LiberationSerif-Bold" w:hAnsi="LiberationSerif-Bold" w:cs="LiberationSerif-Bold"/>
          <w:b/>
          <w:szCs w:val="20"/>
        </w:rPr>
        <w:t xml:space="preserve"> </w:t>
      </w:r>
      <w:r w:rsidRPr="009F6CA6">
        <w:rPr>
          <w:rFonts w:ascii="LiberationSerif-Bold" w:hAnsi="LiberationSerif-Bold" w:cs="LiberationSerif-Bold"/>
          <w:szCs w:val="20"/>
        </w:rPr>
        <w:t>We designated putative GRB target genes below an HCNE concentration peak as human TFs whose orthologs were in conserved synteny with the array of HCNEs in the human:zebrafish alignment. Density peaks and syntenic regions were downloaded from the Ancora Genome Browser.</w:t>
      </w:r>
    </w:p>
    <w:p w:rsidR="0073613F" w:rsidRPr="00C84E05" w:rsidRDefault="0073613F" w:rsidP="0073613F">
      <w:pPr>
        <w:widowControl w:val="0"/>
        <w:autoSpaceDE w:val="0"/>
        <w:autoSpaceDN w:val="0"/>
        <w:adjustRightInd w:val="0"/>
        <w:rPr>
          <w:rFonts w:ascii="LiberationSerif-Bold" w:hAnsi="LiberationSerif-Bold" w:cs="LiberationSerif-Bold"/>
          <w:szCs w:val="20"/>
        </w:rPr>
      </w:pPr>
    </w:p>
    <w:p w:rsidR="0073613F" w:rsidRDefault="0073613F" w:rsidP="0073613F">
      <w:pPr>
        <w:widowControl w:val="0"/>
        <w:numPr>
          <w:ilvl w:val="0"/>
          <w:numId w:val="2"/>
        </w:numPr>
        <w:autoSpaceDE w:val="0"/>
        <w:autoSpaceDN w:val="0"/>
        <w:adjustRightInd w:val="0"/>
        <w:contextualSpacing/>
        <w:rPr>
          <w:rFonts w:ascii="LiberationSerif-Bold" w:hAnsi="LiberationSerif-Bold" w:cs="LiberationSerif-Bold"/>
          <w:szCs w:val="20"/>
        </w:rPr>
      </w:pPr>
      <w:r w:rsidRPr="00C84E05">
        <w:rPr>
          <w:rFonts w:ascii="LiberationSerif-Bold" w:hAnsi="LiberationSerif-Bold" w:cs="LiberationSerif-Bold"/>
          <w:szCs w:val="20"/>
        </w:rPr>
        <w:t>By analyzing all of the available mouse cDNA sequences, it was found that the mouse genome encodes at least 44 000</w:t>
      </w:r>
      <w:r>
        <w:rPr>
          <w:rFonts w:ascii="LiberationSerif-Bold" w:hAnsi="LiberationSerif-Bold" w:cs="LiberationSerif-Bold"/>
          <w:szCs w:val="20"/>
        </w:rPr>
        <w:t xml:space="preserve"> </w:t>
      </w:r>
      <w:r w:rsidRPr="00C84E05">
        <w:rPr>
          <w:rFonts w:ascii="LiberationSerif-Bold" w:hAnsi="LiberationSerif-Bold" w:cs="LiberationSerif-Bold"/>
          <w:szCs w:val="20"/>
        </w:rPr>
        <w:t>distinct transcriptional units; a transcriptional unit comprises all the RNAs that share a common exonic sequence transcribed</w:t>
      </w:r>
      <w:r>
        <w:rPr>
          <w:rFonts w:ascii="LiberationSerif-Bold" w:hAnsi="LiberationSerif-Bold" w:cs="LiberationSerif-Bold"/>
          <w:szCs w:val="20"/>
        </w:rPr>
        <w:t xml:space="preserve"> </w:t>
      </w:r>
      <w:r w:rsidRPr="00C84E05">
        <w:rPr>
          <w:rFonts w:ascii="LiberationSerif-Bold" w:hAnsi="LiberationSerif-Bold" w:cs="LiberationSerif-Bold"/>
          <w:szCs w:val="20"/>
        </w:rPr>
        <w:t>from the same genomic strand.</w:t>
      </w:r>
    </w:p>
    <w:p w:rsidR="00677948" w:rsidRDefault="00677948" w:rsidP="00677948">
      <w:pPr>
        <w:widowControl w:val="0"/>
        <w:autoSpaceDE w:val="0"/>
        <w:autoSpaceDN w:val="0"/>
        <w:adjustRightInd w:val="0"/>
        <w:ind w:left="360"/>
        <w:contextualSpacing/>
        <w:rPr>
          <w:rFonts w:ascii="LiberationSerif-Bold" w:hAnsi="LiberationSerif-Bold" w:cs="LiberationSerif-Bold"/>
          <w:szCs w:val="20"/>
        </w:rPr>
      </w:pPr>
    </w:p>
    <w:p w:rsidR="0073613F" w:rsidRDefault="00677948" w:rsidP="00677948">
      <w:pPr>
        <w:widowControl w:val="0"/>
        <w:autoSpaceDE w:val="0"/>
        <w:autoSpaceDN w:val="0"/>
        <w:adjustRightInd w:val="0"/>
        <w:ind w:left="360"/>
        <w:contextualSpacing/>
        <w:rPr>
          <w:rFonts w:ascii="LiberationSerif-Bold" w:hAnsi="LiberationSerif-Bold" w:cs="LiberationSerif-Bold"/>
          <w:szCs w:val="20"/>
        </w:rPr>
      </w:pPr>
      <w:r w:rsidRPr="00677948">
        <w:rPr>
          <w:rFonts w:ascii="LiberationSerif-Bold" w:hAnsi="LiberationSerif-Bold" w:cs="LiberationSerif-Bold"/>
          <w:b/>
          <w:szCs w:val="20"/>
        </w:rPr>
        <w:t>Answer:</w:t>
      </w:r>
      <w:r>
        <w:rPr>
          <w:rFonts w:ascii="LiberationSerif-Bold" w:hAnsi="LiberationSerif-Bold" w:cs="LiberationSerif-Bold"/>
          <w:szCs w:val="20"/>
        </w:rPr>
        <w:t xml:space="preserve"> </w:t>
      </w:r>
      <w:r w:rsidRPr="00677948">
        <w:rPr>
          <w:rFonts w:ascii="LiberationSerif-Bold" w:hAnsi="LiberationSerif-Bold" w:cs="LiberationSerif-Bold"/>
          <w:szCs w:val="20"/>
        </w:rPr>
        <w:t>Analysis of the mouse cDNA sequence revealed that it encodes at least 44,000 distinct transcriptional units. All RNAs in a transcriptional unit share a common external sequence transcribed from the same genomic strand.</w:t>
      </w:r>
    </w:p>
    <w:p w:rsidR="0073613F" w:rsidRPr="00C84E05" w:rsidRDefault="0073613F" w:rsidP="0073613F">
      <w:pPr>
        <w:widowControl w:val="0"/>
        <w:autoSpaceDE w:val="0"/>
        <w:autoSpaceDN w:val="0"/>
        <w:adjustRightInd w:val="0"/>
        <w:rPr>
          <w:rFonts w:ascii="LiberationSerif-Bold" w:hAnsi="LiberationSerif-Bold" w:cs="LiberationSerif-Bold"/>
          <w:szCs w:val="20"/>
        </w:rPr>
      </w:pPr>
    </w:p>
    <w:p w:rsidR="0073613F" w:rsidRDefault="0073613F" w:rsidP="0073613F">
      <w:pPr>
        <w:widowControl w:val="0"/>
        <w:numPr>
          <w:ilvl w:val="0"/>
          <w:numId w:val="2"/>
        </w:numPr>
        <w:autoSpaceDE w:val="0"/>
        <w:autoSpaceDN w:val="0"/>
        <w:adjustRightInd w:val="0"/>
        <w:contextualSpacing/>
        <w:rPr>
          <w:rFonts w:ascii="LiberationSerif-Bold" w:hAnsi="LiberationSerif-Bold" w:cs="LiberationSerif-Bold"/>
          <w:szCs w:val="20"/>
        </w:rPr>
      </w:pPr>
      <w:r w:rsidRPr="00C84E05">
        <w:rPr>
          <w:rFonts w:ascii="LiberationSerif-Bold" w:hAnsi="LiberationSerif-Bold" w:cs="LiberationSerif-Bold"/>
          <w:szCs w:val="20"/>
        </w:rPr>
        <w:t>Improvements are expected in the predictive power of all the scores being computed on multispecies alignments.</w:t>
      </w:r>
    </w:p>
    <w:p w:rsidR="00677948" w:rsidRDefault="00677948" w:rsidP="00677948">
      <w:pPr>
        <w:widowControl w:val="0"/>
        <w:autoSpaceDE w:val="0"/>
        <w:autoSpaceDN w:val="0"/>
        <w:adjustRightInd w:val="0"/>
        <w:ind w:left="360"/>
        <w:contextualSpacing/>
        <w:rPr>
          <w:rFonts w:ascii="LiberationSerif-Bold" w:hAnsi="LiberationSerif-Bold" w:cs="LiberationSerif-Bold"/>
          <w:szCs w:val="20"/>
        </w:rPr>
      </w:pPr>
    </w:p>
    <w:p w:rsidR="0073613F" w:rsidRDefault="00677948" w:rsidP="00677948">
      <w:pPr>
        <w:widowControl w:val="0"/>
        <w:autoSpaceDE w:val="0"/>
        <w:autoSpaceDN w:val="0"/>
        <w:adjustRightInd w:val="0"/>
        <w:ind w:left="360"/>
        <w:contextualSpacing/>
        <w:rPr>
          <w:rFonts w:ascii="LiberationSerif-Bold" w:hAnsi="LiberationSerif-Bold" w:cs="LiberationSerif-Bold"/>
          <w:szCs w:val="20"/>
        </w:rPr>
      </w:pPr>
      <w:r w:rsidRPr="00677948">
        <w:rPr>
          <w:rFonts w:ascii="LiberationSerif-Bold" w:hAnsi="LiberationSerif-Bold" w:cs="LiberationSerif-Bold"/>
          <w:b/>
          <w:szCs w:val="20"/>
        </w:rPr>
        <w:t>Answer:</w:t>
      </w:r>
      <w:r>
        <w:rPr>
          <w:rFonts w:ascii="LiberationSerif-Bold" w:hAnsi="LiberationSerif-Bold" w:cs="LiberationSerif-Bold"/>
          <w:b/>
          <w:szCs w:val="20"/>
        </w:rPr>
        <w:t xml:space="preserve"> </w:t>
      </w:r>
      <w:r w:rsidRPr="00677948">
        <w:rPr>
          <w:rFonts w:ascii="LiberationSerif-Bold" w:hAnsi="LiberationSerif-Bold" w:cs="LiberationSerif-Bold"/>
          <w:szCs w:val="20"/>
        </w:rPr>
        <w:t>Calculating multispecies alignment in anticipation of improvements in predictive power.</w:t>
      </w:r>
    </w:p>
    <w:p w:rsidR="0073613F" w:rsidRPr="00C84E05" w:rsidRDefault="0073613F" w:rsidP="0073613F">
      <w:pPr>
        <w:widowControl w:val="0"/>
        <w:autoSpaceDE w:val="0"/>
        <w:autoSpaceDN w:val="0"/>
        <w:adjustRightInd w:val="0"/>
        <w:rPr>
          <w:rFonts w:ascii="LiberationSerif-Bold" w:hAnsi="LiberationSerif-Bold" w:cs="LiberationSerif-Bold"/>
          <w:szCs w:val="20"/>
        </w:rPr>
      </w:pPr>
    </w:p>
    <w:p w:rsidR="0073613F" w:rsidRDefault="0073613F" w:rsidP="0073613F">
      <w:pPr>
        <w:widowControl w:val="0"/>
        <w:numPr>
          <w:ilvl w:val="0"/>
          <w:numId w:val="2"/>
        </w:numPr>
        <w:autoSpaceDE w:val="0"/>
        <w:autoSpaceDN w:val="0"/>
        <w:adjustRightInd w:val="0"/>
        <w:contextualSpacing/>
        <w:rPr>
          <w:rFonts w:ascii="LiberationSerif-Bold" w:hAnsi="LiberationSerif-Bold" w:cs="LiberationSerif-Bold"/>
          <w:szCs w:val="20"/>
        </w:rPr>
      </w:pPr>
      <w:r w:rsidRPr="00C84E05">
        <w:rPr>
          <w:rFonts w:ascii="LiberationSerif-Bold" w:hAnsi="LiberationSerif-Bold" w:cs="LiberationSerif-Bold"/>
          <w:szCs w:val="20"/>
        </w:rPr>
        <w:t>With the development of molecular embryology and the coming of the post-genomic era, the molecular mechanisms of</w:t>
      </w:r>
      <w:r>
        <w:rPr>
          <w:rFonts w:ascii="LiberationSerif-Bold" w:hAnsi="LiberationSerif-Bold" w:cs="LiberationSerif-Bold"/>
          <w:szCs w:val="20"/>
        </w:rPr>
        <w:t xml:space="preserve"> </w:t>
      </w:r>
      <w:r w:rsidRPr="00C84E05">
        <w:rPr>
          <w:rFonts w:ascii="LiberationSerif-Bold" w:hAnsi="LiberationSerif-Bold" w:cs="LiberationSerif-Bold"/>
          <w:szCs w:val="20"/>
        </w:rPr>
        <w:t>morphological evolution have recently begun to be elucidated.</w:t>
      </w:r>
    </w:p>
    <w:p w:rsidR="0014353E" w:rsidRDefault="0014353E" w:rsidP="0014353E">
      <w:pPr>
        <w:widowControl w:val="0"/>
        <w:autoSpaceDE w:val="0"/>
        <w:autoSpaceDN w:val="0"/>
        <w:adjustRightInd w:val="0"/>
        <w:ind w:left="360"/>
        <w:contextualSpacing/>
        <w:rPr>
          <w:rFonts w:ascii="LiberationSerif-Bold" w:hAnsi="LiberationSerif-Bold" w:cs="LiberationSerif-Bold"/>
          <w:szCs w:val="20"/>
        </w:rPr>
      </w:pPr>
    </w:p>
    <w:p w:rsidR="0073613F" w:rsidRDefault="0014353E" w:rsidP="0014353E">
      <w:pPr>
        <w:widowControl w:val="0"/>
        <w:autoSpaceDE w:val="0"/>
        <w:autoSpaceDN w:val="0"/>
        <w:adjustRightInd w:val="0"/>
        <w:ind w:left="360"/>
        <w:contextualSpacing/>
        <w:rPr>
          <w:rFonts w:ascii="LiberationSerif-Bold" w:hAnsi="LiberationSerif-Bold" w:cs="LiberationSerif-Bold"/>
          <w:szCs w:val="20"/>
        </w:rPr>
      </w:pPr>
      <w:r w:rsidRPr="0014353E">
        <w:rPr>
          <w:rFonts w:ascii="LiberationSerif-Bold" w:hAnsi="LiberationSerif-Bold" w:cs="LiberationSerif-Bold"/>
          <w:b/>
          <w:szCs w:val="20"/>
        </w:rPr>
        <w:t>Answer:</w:t>
      </w:r>
      <w:r>
        <w:rPr>
          <w:rFonts w:ascii="LiberationSerif-Bold" w:hAnsi="LiberationSerif-Bold" w:cs="LiberationSerif-Bold"/>
          <w:szCs w:val="20"/>
        </w:rPr>
        <w:t xml:space="preserve"> </w:t>
      </w:r>
      <w:r w:rsidRPr="0014353E">
        <w:rPr>
          <w:rFonts w:ascii="LiberationSerif-Bold" w:hAnsi="LiberationSerif-Bold" w:cs="LiberationSerif-Bold"/>
          <w:szCs w:val="20"/>
        </w:rPr>
        <w:t xml:space="preserve">The molecular mechanisms </w:t>
      </w:r>
      <w:r>
        <w:rPr>
          <w:rFonts w:ascii="LiberationSerif-Bold" w:hAnsi="LiberationSerif-Bold" w:cs="LiberationSerif-Bold"/>
          <w:szCs w:val="20"/>
        </w:rPr>
        <w:t>of morphological evolution have</w:t>
      </w:r>
      <w:r w:rsidRPr="0014353E">
        <w:rPr>
          <w:rFonts w:ascii="LiberationSerif-Bold" w:hAnsi="LiberationSerif-Bold" w:cs="LiberationSerif-Bold"/>
          <w:szCs w:val="20"/>
        </w:rPr>
        <w:t xml:space="preserve"> begun to be elucidated with the development of molecular embryology and the advent of the post-genomic era.</w:t>
      </w:r>
    </w:p>
    <w:p w:rsidR="0073613F" w:rsidRDefault="0073613F" w:rsidP="0073613F">
      <w:pPr>
        <w:widowControl w:val="0"/>
        <w:autoSpaceDE w:val="0"/>
        <w:autoSpaceDN w:val="0"/>
        <w:adjustRightInd w:val="0"/>
        <w:rPr>
          <w:rFonts w:ascii="LiberationSerif-Bold" w:hAnsi="LiberationSerif-Bold" w:cs="LiberationSerif-Bold"/>
          <w:szCs w:val="20"/>
        </w:rPr>
      </w:pPr>
    </w:p>
    <w:p w:rsidR="0073613F" w:rsidRDefault="0073613F" w:rsidP="0073613F">
      <w:pPr>
        <w:widowControl w:val="0"/>
        <w:autoSpaceDE w:val="0"/>
        <w:autoSpaceDN w:val="0"/>
        <w:adjustRightInd w:val="0"/>
        <w:rPr>
          <w:rFonts w:ascii="LiberationSerif-Bold" w:hAnsi="LiberationSerif-Bold" w:cs="LiberationSerif-Bold"/>
          <w:szCs w:val="20"/>
        </w:rPr>
      </w:pPr>
    </w:p>
    <w:p w:rsidR="0073613F" w:rsidRPr="00C84E05" w:rsidRDefault="0073613F" w:rsidP="0073613F">
      <w:pPr>
        <w:widowControl w:val="0"/>
        <w:autoSpaceDE w:val="0"/>
        <w:autoSpaceDN w:val="0"/>
        <w:adjustRightInd w:val="0"/>
        <w:rPr>
          <w:rFonts w:ascii="LiberationSerif-Bold" w:hAnsi="LiberationSerif-Bold" w:cs="LiberationSerif-Bold"/>
          <w:szCs w:val="20"/>
        </w:rPr>
      </w:pPr>
      <w:r>
        <w:rPr>
          <w:rFonts w:ascii="LiberationSerif-Bold" w:hAnsi="LiberationSerif-Bold" w:cs="LiberationSerif-Bold"/>
          <w:szCs w:val="20"/>
        </w:rPr>
        <w:br w:type="page"/>
      </w:r>
    </w:p>
    <w:p w:rsidR="0073613F" w:rsidRDefault="0073613F" w:rsidP="00F24827">
      <w:pPr>
        <w:widowControl w:val="0"/>
        <w:numPr>
          <w:ilvl w:val="0"/>
          <w:numId w:val="2"/>
        </w:numPr>
        <w:autoSpaceDE w:val="0"/>
        <w:autoSpaceDN w:val="0"/>
        <w:adjustRightInd w:val="0"/>
        <w:contextualSpacing/>
        <w:jc w:val="both"/>
        <w:rPr>
          <w:rFonts w:ascii="LiberationSerif-Bold" w:hAnsi="LiberationSerif-Bold" w:cs="LiberationSerif-Bold"/>
          <w:szCs w:val="20"/>
        </w:rPr>
      </w:pPr>
      <w:r w:rsidRPr="00C84E05">
        <w:rPr>
          <w:rFonts w:ascii="LiberationSerif-Bold" w:hAnsi="LiberationSerif-Bold" w:cs="LiberationSerif-Bold"/>
          <w:szCs w:val="20"/>
        </w:rPr>
        <w:lastRenderedPageBreak/>
        <w:t>To assess the degree of enrichment of enhancer activities in predicted tissues, we compared the relative frequency of</w:t>
      </w:r>
      <w:r>
        <w:rPr>
          <w:rFonts w:ascii="LiberationSerif-Bold" w:hAnsi="LiberationSerif-Bold" w:cs="LiberationSerif-Bold"/>
          <w:szCs w:val="20"/>
        </w:rPr>
        <w:t xml:space="preserve"> </w:t>
      </w:r>
      <w:r w:rsidRPr="00C84E05">
        <w:rPr>
          <w:rFonts w:ascii="LiberationSerif-Bold" w:hAnsi="LiberationSerif-Bold" w:cs="LiberationSerif-Bold"/>
          <w:szCs w:val="20"/>
        </w:rPr>
        <w:t>enhancers for each of the three tissues examined here with a background set of 528 previously tested sequences predicted to</w:t>
      </w:r>
      <w:r>
        <w:rPr>
          <w:rFonts w:ascii="LiberationSerif-Bold" w:hAnsi="LiberationSerif-Bold" w:cs="LiberationSerif-Bold"/>
          <w:szCs w:val="20"/>
        </w:rPr>
        <w:t xml:space="preserve"> </w:t>
      </w:r>
      <w:r w:rsidRPr="00C84E05">
        <w:rPr>
          <w:rFonts w:ascii="LiberationSerif-Bold" w:hAnsi="LiberationSerif-Bold" w:cs="LiberationSerif-Bold"/>
          <w:szCs w:val="20"/>
        </w:rPr>
        <w:t>be developmental enhancers on the basis of extreme sequence constraint that were not associated with a prior tissue</w:t>
      </w:r>
      <w:r>
        <w:rPr>
          <w:rFonts w:ascii="LiberationSerif-Bold" w:hAnsi="LiberationSerif-Bold" w:cs="LiberationSerif-Bold"/>
          <w:szCs w:val="20"/>
        </w:rPr>
        <w:t xml:space="preserve"> </w:t>
      </w:r>
      <w:r w:rsidRPr="00C84E05">
        <w:rPr>
          <w:rFonts w:ascii="LiberationSerif-Bold" w:hAnsi="LiberationSerif-Bold" w:cs="LiberationSerif-Bold"/>
          <w:szCs w:val="20"/>
        </w:rPr>
        <w:t>specificity prediction.</w:t>
      </w:r>
      <w:bookmarkStart w:id="0" w:name="_GoBack"/>
      <w:bookmarkEnd w:id="0"/>
    </w:p>
    <w:p w:rsidR="00D4028D" w:rsidRPr="00C84E05" w:rsidRDefault="00D4028D" w:rsidP="00D4028D">
      <w:pPr>
        <w:widowControl w:val="0"/>
        <w:autoSpaceDE w:val="0"/>
        <w:autoSpaceDN w:val="0"/>
        <w:adjustRightInd w:val="0"/>
        <w:ind w:left="360"/>
        <w:contextualSpacing/>
        <w:rPr>
          <w:rFonts w:ascii="LiberationSerif-Bold" w:hAnsi="LiberationSerif-Bold" w:cs="LiberationSerif-Bold"/>
          <w:szCs w:val="20"/>
        </w:rPr>
      </w:pPr>
    </w:p>
    <w:p w:rsidR="00117782" w:rsidRPr="00117782" w:rsidRDefault="00D4028D" w:rsidP="00D4028D">
      <w:pPr>
        <w:pStyle w:val="ListParagraph"/>
        <w:ind w:left="360"/>
        <w:jc w:val="both"/>
      </w:pPr>
      <w:r w:rsidRPr="00D4028D">
        <w:rPr>
          <w:b/>
        </w:rPr>
        <w:t>Answer:</w:t>
      </w:r>
      <w:r>
        <w:t xml:space="preserve"> </w:t>
      </w:r>
      <w:r w:rsidRPr="00D4028D">
        <w:t>To gauge the level of enhancer activity enrichment in predicted tissues, we contrasted the occurrence rates of enhancers within the three tissues under investigation against a reference set of 528 previously analyzed sequences. These sequences were identified as developmental enhancers based on stringent sequence constraints but lacked prior predictions of tissue specificity.</w:t>
      </w:r>
    </w:p>
    <w:sectPr w:rsidR="00117782" w:rsidRPr="00117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DB7" w:rsidRDefault="002A4DB7" w:rsidP="00040185">
      <w:r>
        <w:separator/>
      </w:r>
    </w:p>
  </w:endnote>
  <w:endnote w:type="continuationSeparator" w:id="0">
    <w:p w:rsidR="002A4DB7" w:rsidRDefault="002A4DB7" w:rsidP="00040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iberationSerif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DB7" w:rsidRDefault="002A4DB7" w:rsidP="00040185">
      <w:r>
        <w:separator/>
      </w:r>
    </w:p>
  </w:footnote>
  <w:footnote w:type="continuationSeparator" w:id="0">
    <w:p w:rsidR="002A4DB7" w:rsidRDefault="002A4DB7" w:rsidP="000401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E0EC2"/>
    <w:multiLevelType w:val="hybridMultilevel"/>
    <w:tmpl w:val="9DEAAB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9356C8"/>
    <w:multiLevelType w:val="hybridMultilevel"/>
    <w:tmpl w:val="074A1A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41C"/>
    <w:rsid w:val="00040185"/>
    <w:rsid w:val="00060BEA"/>
    <w:rsid w:val="00117782"/>
    <w:rsid w:val="0014353E"/>
    <w:rsid w:val="002A4DB7"/>
    <w:rsid w:val="002C4C8C"/>
    <w:rsid w:val="002D22EF"/>
    <w:rsid w:val="0036722A"/>
    <w:rsid w:val="0038245A"/>
    <w:rsid w:val="00517024"/>
    <w:rsid w:val="00677948"/>
    <w:rsid w:val="00677CF8"/>
    <w:rsid w:val="006D7083"/>
    <w:rsid w:val="0073613F"/>
    <w:rsid w:val="0084742A"/>
    <w:rsid w:val="008A3734"/>
    <w:rsid w:val="008B7F05"/>
    <w:rsid w:val="009B5426"/>
    <w:rsid w:val="009F6CA6"/>
    <w:rsid w:val="00A73B51"/>
    <w:rsid w:val="00AF0295"/>
    <w:rsid w:val="00BA1E23"/>
    <w:rsid w:val="00BA441C"/>
    <w:rsid w:val="00C342FA"/>
    <w:rsid w:val="00C41813"/>
    <w:rsid w:val="00D4028D"/>
    <w:rsid w:val="00D63B2E"/>
    <w:rsid w:val="00F24827"/>
    <w:rsid w:val="00F7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3E71D"/>
  <w15:chartTrackingRefBased/>
  <w15:docId w15:val="{01F9A0EC-6985-44B3-99BB-A73986570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BEA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F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01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0185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401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0185"/>
    <w:rPr>
      <w:rFonts w:ascii="Cambria" w:eastAsia="MS Mincho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Al Shorif</dc:creator>
  <cp:keywords/>
  <dc:description/>
  <cp:lastModifiedBy>Rayhan Al Shorif</cp:lastModifiedBy>
  <cp:revision>19</cp:revision>
  <dcterms:created xsi:type="dcterms:W3CDTF">2024-03-23T17:27:00Z</dcterms:created>
  <dcterms:modified xsi:type="dcterms:W3CDTF">2024-03-24T17:51:00Z</dcterms:modified>
</cp:coreProperties>
</file>