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48"/>
        </w:rPr>
        <w:t>SECURITY ARCHITECTURE</w:t>
        <w:br/>
        <w:t>AND VALIDATION</w:t>
      </w:r>
    </w:p>
    <w:p>
      <w:pPr>
        <w:spacing w:before="320"/>
        <w:jc w:val="center"/>
      </w:pPr>
      <w:r>
        <w:rPr>
          <w:rFonts w:ascii="Times New Roman" w:hAnsi="Times New Roman"/>
          <w:b/>
          <w:sz w:val="32"/>
        </w:rPr>
        <w:t>Healthcare Cloud Platform</w:t>
      </w:r>
    </w:p>
    <w:p>
      <w:pPr>
        <w:spacing w:before="900"/>
        <w:jc w:val="center"/>
      </w:pPr>
      <w:r>
        <w:rPr>
          <w:rFonts w:ascii="Times New Roman" w:hAnsi="Times New Roman"/>
          <w:i/>
          <w:sz w:val="24"/>
        </w:rPr>
        <w:t>A source-grounded technical chapter based on the implemented authentication, authorization, audit, HTTP hardening, and validation artifacts</w:t>
      </w:r>
    </w:p>
    <w:p>
      <w:pPr>
        <w:spacing w:before="2000"/>
        <w:jc w:val="center"/>
      </w:pPr>
      <w:r>
        <w:rPr>
          <w:rFonts w:ascii="Times New Roman" w:hAnsi="Times New Roman"/>
          <w:b/>
          <w:sz w:val="24"/>
        </w:rPr>
        <w:t>Local production validation status: PASS (7/7 domains)</w:t>
      </w:r>
    </w:p>
    <w:p>
      <w:r>
        <w:br w:type="page"/>
      </w:r>
    </w:p>
    <w:p>
      <w:pPr>
        <w:pStyle w:val="Heading1"/>
      </w:pPr>
      <w:r>
        <w:t>Executive Summary</w:t>
      </w:r>
    </w:p>
    <w:p>
      <w:r>
        <w:t>This chapter presents the security architecture and empirical validation of the Healthcare Cloud Platform. The implemented controls follow a layered model that combines password protection, token-based authentication, active-account verification, route-level role-based access control, security-relevant audit logging, HTTP response hardening, origin and host restrictions, and infrastructure isolation. The discussion is grounded in the supplied source code and test artifacts rather than in a generic reference architecture.</w:t>
      </w:r>
    </w:p>
    <w:p>
      <w:r>
        <w:t>The evidence base reports complete success for the tested local production configuration. Seventeen HTTP security checks passed, eight JWT tests passed, nine diagnostic-report audit checks passed, and the final validation matrix reported seven passing domains with no failed, pending, or review items. These results support a local production-readiness claim for the measured environment. They do not, by themselves, establish compliance with a specific health information regulation or prove the security of a future Internet-facing deployment.</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4082"/>
            <w:vAlign w:val="center"/>
            <w:shd w:fill="D9E1F2"/>
          </w:tcPr>
          <w:p>
            <w:pPr>
              <w:jc w:val="left"/>
            </w:pPr>
            <w:r/>
            <w:r>
              <w:rPr>
                <w:rFonts w:ascii="Times New Roman" w:hAnsi="Times New Roman" w:eastAsia="Times New Roman"/>
                <w:b/>
                <w:sz w:val="18"/>
              </w:rPr>
              <w:t>Validation area</w:t>
            </w:r>
          </w:p>
        </w:tc>
        <w:tc>
          <w:tcPr>
            <w:tcW w:type="dxa" w:w="2835"/>
            <w:vAlign w:val="center"/>
            <w:shd w:fill="D9E1F2"/>
          </w:tcPr>
          <w:p>
            <w:pPr>
              <w:jc w:val="left"/>
            </w:pPr>
            <w:r/>
            <w:r>
              <w:rPr>
                <w:rFonts w:ascii="Times New Roman" w:hAnsi="Times New Roman" w:eastAsia="Times New Roman"/>
                <w:b/>
                <w:sz w:val="18"/>
              </w:rPr>
              <w:t>Measured result</w:t>
            </w:r>
          </w:p>
        </w:tc>
        <w:tc>
          <w:tcPr>
            <w:tcW w:type="dxa" w:w="1417"/>
            <w:vAlign w:val="center"/>
            <w:shd w:fill="D9E1F2"/>
          </w:tcPr>
          <w:p>
            <w:pPr>
              <w:jc w:val="left"/>
            </w:pPr>
            <w:r/>
            <w:r>
              <w:rPr>
                <w:rFonts w:ascii="Times New Roman" w:hAnsi="Times New Roman" w:eastAsia="Times New Roman"/>
                <w:b/>
                <w:sz w:val="18"/>
              </w:rPr>
              <w:t>Status</w:t>
            </w:r>
          </w:p>
        </w:tc>
      </w:tr>
      <w:tr>
        <w:trPr>
          <w:cantSplit/>
        </w:trPr>
        <w:tc>
          <w:tcPr>
            <w:tcW w:type="dxa" w:w="4082"/>
            <w:vAlign w:val="center"/>
          </w:tcPr>
          <w:p>
            <w:pPr>
              <w:jc w:val="left"/>
            </w:pPr>
            <w:r/>
            <w:r>
              <w:rPr>
                <w:rFonts w:ascii="Times New Roman" w:hAnsi="Times New Roman" w:eastAsia="Times New Roman"/>
                <w:b w:val="0"/>
                <w:sz w:val="18"/>
              </w:rPr>
              <w:t>Production HTTP security</w:t>
            </w:r>
          </w:p>
        </w:tc>
        <w:tc>
          <w:tcPr>
            <w:tcW w:type="dxa" w:w="2835"/>
            <w:vAlign w:val="center"/>
          </w:tcPr>
          <w:p>
            <w:pPr>
              <w:jc w:val="left"/>
            </w:pPr>
            <w:r/>
            <w:r>
              <w:rPr>
                <w:rFonts w:ascii="Times New Roman" w:hAnsi="Times New Roman" w:eastAsia="Times New Roman"/>
                <w:b w:val="0"/>
                <w:sz w:val="18"/>
              </w:rPr>
              <w:t>17/17</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JWT authentication security</w:t>
            </w:r>
          </w:p>
        </w:tc>
        <w:tc>
          <w:tcPr>
            <w:tcW w:type="dxa" w:w="2835"/>
            <w:vAlign w:val="center"/>
          </w:tcPr>
          <w:p>
            <w:pPr>
              <w:jc w:val="left"/>
            </w:pPr>
            <w:r/>
            <w:r>
              <w:rPr>
                <w:rFonts w:ascii="Times New Roman" w:hAnsi="Times New Roman" w:eastAsia="Times New Roman"/>
                <w:b w:val="0"/>
                <w:sz w:val="18"/>
              </w:rPr>
              <w:t>8/8</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Diagnostic-report audit validation</w:t>
            </w:r>
          </w:p>
        </w:tc>
        <w:tc>
          <w:tcPr>
            <w:tcW w:type="dxa" w:w="2835"/>
            <w:vAlign w:val="center"/>
          </w:tcPr>
          <w:p>
            <w:pPr>
              <w:jc w:val="left"/>
            </w:pPr>
            <w:r/>
            <w:r>
              <w:rPr>
                <w:rFonts w:ascii="Times New Roman" w:hAnsi="Times New Roman" w:eastAsia="Times New Roman"/>
                <w:b w:val="0"/>
                <w:sz w:val="18"/>
              </w:rPr>
              <w:t>9/9</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Role inventory</w:t>
            </w:r>
          </w:p>
        </w:tc>
        <w:tc>
          <w:tcPr>
            <w:tcW w:type="dxa" w:w="2835"/>
            <w:vAlign w:val="center"/>
          </w:tcPr>
          <w:p>
            <w:pPr>
              <w:jc w:val="left"/>
            </w:pPr>
            <w:r/>
            <w:r>
              <w:rPr>
                <w:rFonts w:ascii="Times New Roman" w:hAnsi="Times New Roman" w:eastAsia="Times New Roman"/>
                <w:b w:val="0"/>
                <w:sz w:val="18"/>
              </w:rPr>
              <w:t>31 API operations inventoried</w:t>
            </w:r>
          </w:p>
        </w:tc>
        <w:tc>
          <w:tcPr>
            <w:tcW w:type="dxa" w:w="1417"/>
            <w:vAlign w:val="center"/>
          </w:tcPr>
          <w:p>
            <w:pPr>
              <w:jc w:val="left"/>
            </w:pPr>
            <w:r/>
            <w:r>
              <w:rPr>
                <w:rFonts w:ascii="Times New Roman" w:hAnsi="Times New Roman" w:eastAsia="Times New Roman"/>
                <w:b w:val="0"/>
                <w:sz w:val="18"/>
              </w:rPr>
              <w:t>29 role-protected; 2 authentication routes</w:t>
            </w:r>
          </w:p>
        </w:tc>
      </w:tr>
      <w:tr>
        <w:trPr>
          <w:cantSplit/>
        </w:trPr>
        <w:tc>
          <w:tcPr>
            <w:tcW w:type="dxa" w:w="4082"/>
            <w:vAlign w:val="center"/>
          </w:tcPr>
          <w:p>
            <w:pPr>
              <w:jc w:val="left"/>
            </w:pPr>
            <w:r/>
            <w:r>
              <w:rPr>
                <w:rFonts w:ascii="Times New Roman" w:hAnsi="Times New Roman" w:eastAsia="Times New Roman"/>
                <w:b w:val="0"/>
                <w:sz w:val="18"/>
              </w:rPr>
              <w:t>Final project validation matrix</w:t>
            </w:r>
          </w:p>
        </w:tc>
        <w:tc>
          <w:tcPr>
            <w:tcW w:type="dxa" w:w="2835"/>
            <w:vAlign w:val="center"/>
          </w:tcPr>
          <w:p>
            <w:pPr>
              <w:jc w:val="left"/>
            </w:pPr>
            <w:r/>
            <w:r>
              <w:rPr>
                <w:rFonts w:ascii="Times New Roman" w:hAnsi="Times New Roman" w:eastAsia="Times New Roman"/>
                <w:b w:val="0"/>
                <w:sz w:val="18"/>
              </w:rPr>
              <w:t>7/7 domains</w:t>
            </w:r>
          </w:p>
        </w:tc>
        <w:tc>
          <w:tcPr>
            <w:tcW w:type="dxa" w:w="1417"/>
            <w:vAlign w:val="center"/>
          </w:tcPr>
          <w:p>
            <w:pPr>
              <w:jc w:val="left"/>
            </w:pPr>
            <w:r/>
            <w:r>
              <w:rPr>
                <w:rFonts w:ascii="Times New Roman" w:hAnsi="Times New Roman" w:eastAsia="Times New Roman"/>
                <w:b w:val="0"/>
                <w:sz w:val="18"/>
              </w:rPr>
              <w:t>PASS</w:t>
            </w:r>
          </w:p>
        </w:tc>
      </w:tr>
    </w:tbl>
    <w:p/>
    <w:p>
      <w:pPr>
        <w:spacing w:before="80" w:after="160"/>
        <w:ind w:left="340" w:right="340"/>
      </w:pPr>
      <w:r>
        <w:rPr>
          <w:i/>
          <w:sz w:val="19"/>
        </w:rPr>
        <w:t>Primary evidence: tests/security/production_security_results.csv; tests/security/jwt_security_results.csv; tests/security/rbac_matrix.csv; tests/security/diagnostic_report_audit_results.csv; docs/evidence/final_validation_matrix.md.</w:t>
      </w:r>
    </w:p>
    <w:p>
      <w:pPr>
        <w:pStyle w:val="Heading1"/>
      </w:pPr>
      <w:r>
        <w:t>Chapter Structure</w:t>
      </w:r>
    </w:p>
    <w:p>
      <w:pPr>
        <w:spacing w:before="0" w:after="0" w:line="240" w:lineRule="auto"/>
        <w:ind w:left="227" w:firstLine="0"/>
        <w:jc w:val="left"/>
      </w:pPr>
      <w:r>
        <w:rPr>
          <w:rFonts w:ascii="Times New Roman" w:hAnsi="Times New Roman" w:eastAsia="Times New Roman"/>
          <w:sz w:val="19"/>
        </w:rPr>
        <w:t>1. Security objectives and trust boundaries</w:t>
      </w:r>
    </w:p>
    <w:p>
      <w:pPr>
        <w:spacing w:before="0" w:after="0" w:line="240" w:lineRule="auto"/>
        <w:ind w:left="227" w:firstLine="0"/>
        <w:jc w:val="left"/>
      </w:pPr>
      <w:r>
        <w:rPr>
          <w:rFonts w:ascii="Times New Roman" w:hAnsi="Times New Roman" w:eastAsia="Times New Roman"/>
          <w:sz w:val="19"/>
        </w:rPr>
        <w:t>2. Password protection and credential handling</w:t>
      </w:r>
    </w:p>
    <w:p>
      <w:pPr>
        <w:spacing w:before="0" w:after="0" w:line="240" w:lineRule="auto"/>
        <w:ind w:left="227" w:firstLine="0"/>
        <w:jc w:val="left"/>
      </w:pPr>
      <w:r>
        <w:rPr>
          <w:rFonts w:ascii="Times New Roman" w:hAnsi="Times New Roman" w:eastAsia="Times New Roman"/>
          <w:sz w:val="19"/>
        </w:rPr>
        <w:t>3. JWT authentication and authenticated-user resolution</w:t>
      </w:r>
    </w:p>
    <w:p>
      <w:pPr>
        <w:spacing w:before="0" w:after="0" w:line="240" w:lineRule="auto"/>
        <w:ind w:left="227" w:firstLine="0"/>
        <w:jc w:val="left"/>
      </w:pPr>
      <w:r>
        <w:rPr>
          <w:rFonts w:ascii="Times New Roman" w:hAnsi="Times New Roman" w:eastAsia="Times New Roman"/>
          <w:sz w:val="19"/>
        </w:rPr>
        <w:t>4. Role-based access control</w:t>
      </w:r>
    </w:p>
    <w:p>
      <w:pPr>
        <w:spacing w:before="0" w:after="0" w:line="240" w:lineRule="auto"/>
        <w:ind w:left="227" w:firstLine="0"/>
        <w:jc w:val="left"/>
      </w:pPr>
      <w:r>
        <w:rPr>
          <w:rFonts w:ascii="Times New Roman" w:hAnsi="Times New Roman" w:eastAsia="Times New Roman"/>
          <w:sz w:val="19"/>
        </w:rPr>
        <w:t>5. Audit logging and accountability</w:t>
      </w:r>
    </w:p>
    <w:p>
      <w:pPr>
        <w:spacing w:before="0" w:after="0" w:line="240" w:lineRule="auto"/>
        <w:ind w:left="227" w:firstLine="0"/>
        <w:jc w:val="left"/>
      </w:pPr>
      <w:r>
        <w:rPr>
          <w:rFonts w:ascii="Times New Roman" w:hAnsi="Times New Roman" w:eastAsia="Times New Roman"/>
          <w:sz w:val="19"/>
        </w:rPr>
        <w:t>6. HTTP and application-layer hardening</w:t>
      </w:r>
    </w:p>
    <w:p>
      <w:pPr>
        <w:spacing w:before="0" w:after="0" w:line="240" w:lineRule="auto"/>
        <w:ind w:left="227" w:firstLine="0"/>
        <w:jc w:val="left"/>
      </w:pPr>
      <w:r>
        <w:rPr>
          <w:rFonts w:ascii="Times New Roman" w:hAnsi="Times New Roman" w:eastAsia="Times New Roman"/>
          <w:sz w:val="19"/>
        </w:rPr>
        <w:t>7. Container and network isolation</w:t>
      </w:r>
    </w:p>
    <w:p>
      <w:pPr>
        <w:spacing w:before="0" w:after="0" w:line="240" w:lineRule="auto"/>
        <w:ind w:left="227" w:firstLine="0"/>
        <w:jc w:val="left"/>
      </w:pPr>
      <w:r>
        <w:rPr>
          <w:rFonts w:ascii="Times New Roman" w:hAnsi="Times New Roman" w:eastAsia="Times New Roman"/>
          <w:sz w:val="19"/>
        </w:rPr>
        <w:t>8. Empirical security validation</w:t>
      </w:r>
    </w:p>
    <w:p>
      <w:pPr>
        <w:spacing w:before="0" w:after="0" w:line="240" w:lineRule="auto"/>
        <w:ind w:left="227" w:firstLine="0"/>
        <w:jc w:val="left"/>
      </w:pPr>
      <w:r>
        <w:rPr>
          <w:rFonts w:ascii="Times New Roman" w:hAnsi="Times New Roman" w:eastAsia="Times New Roman"/>
          <w:sz w:val="19"/>
        </w:rPr>
        <w:t>9. Critical appraisal, limitations, and recommendations</w:t>
      </w:r>
    </w:p>
    <w:p>
      <w:pPr>
        <w:spacing w:before="0" w:after="0" w:line="240" w:lineRule="auto"/>
        <w:ind w:left="227" w:firstLine="0"/>
        <w:jc w:val="left"/>
      </w:pPr>
      <w:r>
        <w:rPr>
          <w:rFonts w:ascii="Times New Roman" w:hAnsi="Times New Roman" w:eastAsia="Times New Roman"/>
          <w:sz w:val="19"/>
        </w:rPr>
        <w:t>10. Evidence traceability and chapter conclusion</w:t>
      </w:r>
    </w:p>
    <w:p>
      <w:r>
        <w:br w:type="page"/>
      </w:r>
    </w:p>
    <w:p>
      <w:pPr>
        <w:pStyle w:val="Heading1"/>
      </w:pPr>
      <w:r>
        <w:t>1. Security Objectives and Trust Boundaries</w:t>
      </w:r>
    </w:p>
    <w:p>
      <w:r>
        <w:t>The platform security design addresses four primary objectives: confidentiality of healthcare data, integrity of stored and transmitted information, controlled availability of services, and accountability for security-relevant operations. The implementation separates these objectives across complementary controls rather than relying on a single mechanism.</w:t>
      </w:r>
    </w:p>
    <w:p>
      <w:pPr>
        <w:pStyle w:val="ListBullet"/>
        <w:ind w:left="283" w:hanging="142"/>
      </w:pPr>
      <w:r>
        <w:t>Identity assurance: a request must carry a valid signed access token linked to an existing active user.</w:t>
      </w:r>
    </w:p>
    <w:p>
      <w:pPr>
        <w:pStyle w:val="ListBullet"/>
        <w:ind w:left="283" w:hanging="142"/>
      </w:pPr>
      <w:r>
        <w:t>Authorization: authenticated users may invoke only operations assigned to their role.</w:t>
      </w:r>
    </w:p>
    <w:p>
      <w:pPr>
        <w:pStyle w:val="ListBullet"/>
        <w:ind w:left="283" w:hanging="142"/>
      </w:pPr>
      <w:r>
        <w:t>Accountability: denied access and healthcare-data actions are recorded with contextual metadata.</w:t>
      </w:r>
    </w:p>
    <w:p>
      <w:pPr>
        <w:pStyle w:val="ListBullet"/>
        <w:ind w:left="283" w:hanging="142"/>
      </w:pPr>
      <w:r>
        <w:t>Attack-surface reduction: production documentation routes are disabled and untrusted hosts and origins are rejected.</w:t>
      </w:r>
    </w:p>
    <w:p>
      <w:pPr>
        <w:pStyle w:val="ListBullet"/>
        <w:ind w:left="283" w:hanging="142"/>
      </w:pPr>
      <w:r>
        <w:t>Persistence protection: structured audit data is stored in PostgreSQL, while object-storage operations are independently validated.</w:t>
      </w:r>
    </w:p>
    <w:p>
      <w:pPr>
        <w:jc w:val="center"/>
      </w:pPr>
      <w:r>
        <w:drawing>
          <wp:inline xmlns:a="http://schemas.openxmlformats.org/drawingml/2006/main" xmlns:pic="http://schemas.openxmlformats.org/drawingml/2006/picture">
            <wp:extent cx="6126480" cy="3715142"/>
            <wp:docPr id="1" name="Picture 1"/>
            <wp:cNvGraphicFramePr>
              <a:graphicFrameLocks noChangeAspect="1"/>
            </wp:cNvGraphicFramePr>
            <a:graphic>
              <a:graphicData uri="http://schemas.openxmlformats.org/drawingml/2006/picture">
                <pic:pic>
                  <pic:nvPicPr>
                    <pic:cNvPr id="0" name="layered_security_architecture.png"/>
                    <pic:cNvPicPr/>
                  </pic:nvPicPr>
                  <pic:blipFill>
                    <a:blip r:embed="rId11"/>
                    <a:stretch>
                      <a:fillRect/>
                    </a:stretch>
                  </pic:blipFill>
                  <pic:spPr>
                    <a:xfrm>
                      <a:off x="0" y="0"/>
                      <a:ext cx="6126480" cy="3715142"/>
                    </a:xfrm>
                    <a:prstGeom prst="rect"/>
                  </pic:spPr>
                </pic:pic>
              </a:graphicData>
            </a:graphic>
          </wp:inline>
        </w:drawing>
      </w:r>
    </w:p>
    <w:p>
      <w:pPr>
        <w:pStyle w:val="AcademicCaption"/>
      </w:pPr>
      <w:r>
        <w:t>Figure 1. Layered security architecture implemented in the platform.</w:t>
      </w:r>
    </w:p>
    <w:p>
      <w:r>
        <w:t>The outer trust boundary is the HTTP entry point. Requests reaching the FastAPI application are subject to host validation, CORS policy, response-header hardening, authentication dependencies, and route-specific authorization. The persistence boundary contains user identities, roles, and audit records. Object storage is addressed separately by the system implementation and lifecycle validation.</w:t>
      </w:r>
    </w:p>
    <w:p>
      <w:pPr>
        <w:pStyle w:val="Heading1"/>
      </w:pPr>
      <w:r>
        <w:t>2. Password Protection and Credential Handling</w:t>
      </w:r>
    </w:p>
    <w:p>
      <w:pPr>
        <w:pStyle w:val="Heading2"/>
      </w:pPr>
      <w:r>
        <w:t>2.1 Password hashing</w:t>
      </w:r>
    </w:p>
    <w:p>
      <w:r>
        <w:t>The security module uses Passlib's CryptContext with the bcrypt scheme. Plaintext passwords are not intended for database persistence. During account creation, the hash_password function rejects passwords shorter than eight characters and returns a bcrypt hash. During login, verify_password compares the supplied plaintext credential with the stored hash.</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268"/>
            <w:vAlign w:val="center"/>
            <w:shd w:fill="D9E1F2"/>
          </w:tcPr>
          <w:p>
            <w:pPr>
              <w:jc w:val="left"/>
            </w:pPr>
            <w:r/>
            <w:r>
              <w:rPr>
                <w:rFonts w:ascii="Times New Roman" w:hAnsi="Times New Roman" w:eastAsia="Times New Roman"/>
                <w:b/>
                <w:sz w:val="18"/>
              </w:rPr>
              <w:t>Control</w:t>
            </w:r>
          </w:p>
        </w:tc>
        <w:tc>
          <w:tcPr>
            <w:tcW w:type="dxa" w:w="3402"/>
            <w:vAlign w:val="center"/>
            <w:shd w:fill="D9E1F2"/>
          </w:tcPr>
          <w:p>
            <w:pPr>
              <w:jc w:val="left"/>
            </w:pPr>
            <w:r/>
            <w:r>
              <w:rPr>
                <w:rFonts w:ascii="Times New Roman" w:hAnsi="Times New Roman" w:eastAsia="Times New Roman"/>
                <w:b/>
                <w:sz w:val="18"/>
              </w:rPr>
              <w:t>Implementation</w:t>
            </w:r>
          </w:p>
        </w:tc>
        <w:tc>
          <w:tcPr>
            <w:tcW w:type="dxa" w:w="3402"/>
            <w:vAlign w:val="center"/>
            <w:shd w:fill="D9E1F2"/>
          </w:tcPr>
          <w:p>
            <w:pPr>
              <w:jc w:val="left"/>
            </w:pPr>
            <w:r/>
            <w:r>
              <w:rPr>
                <w:rFonts w:ascii="Times New Roman" w:hAnsi="Times New Roman" w:eastAsia="Times New Roman"/>
                <w:b/>
                <w:sz w:val="18"/>
              </w:rPr>
              <w:t>Security effect</w:t>
            </w:r>
          </w:p>
        </w:tc>
      </w:tr>
      <w:tr>
        <w:trPr>
          <w:cantSplit/>
        </w:trPr>
        <w:tc>
          <w:tcPr>
            <w:tcW w:type="dxa" w:w="2268"/>
            <w:vAlign w:val="center"/>
          </w:tcPr>
          <w:p>
            <w:pPr>
              <w:jc w:val="left"/>
            </w:pPr>
            <w:r/>
            <w:r>
              <w:rPr>
                <w:rFonts w:ascii="Times New Roman" w:hAnsi="Times New Roman" w:eastAsia="Times New Roman"/>
                <w:b w:val="0"/>
                <w:sz w:val="18"/>
              </w:rPr>
              <w:t>Password storage</w:t>
            </w:r>
          </w:p>
        </w:tc>
        <w:tc>
          <w:tcPr>
            <w:tcW w:type="dxa" w:w="3402"/>
            <w:vAlign w:val="center"/>
          </w:tcPr>
          <w:p>
            <w:pPr>
              <w:jc w:val="left"/>
            </w:pPr>
            <w:r/>
            <w:r>
              <w:rPr>
                <w:rFonts w:ascii="Times New Roman" w:hAnsi="Times New Roman" w:eastAsia="Times New Roman"/>
                <w:b w:val="0"/>
                <w:sz w:val="18"/>
              </w:rPr>
              <w:t>Bcrypt hash through Passlib CryptContext</w:t>
            </w:r>
          </w:p>
        </w:tc>
        <w:tc>
          <w:tcPr>
            <w:tcW w:type="dxa" w:w="3402"/>
            <w:vAlign w:val="center"/>
          </w:tcPr>
          <w:p>
            <w:pPr>
              <w:jc w:val="left"/>
            </w:pPr>
            <w:r/>
            <w:r>
              <w:rPr>
                <w:rFonts w:ascii="Times New Roman" w:hAnsi="Times New Roman" w:eastAsia="Times New Roman"/>
                <w:b w:val="0"/>
                <w:sz w:val="18"/>
              </w:rPr>
              <w:t>Reduces exposure if the user table is disclosed</w:t>
            </w:r>
          </w:p>
        </w:tc>
      </w:tr>
      <w:tr>
        <w:trPr>
          <w:cantSplit/>
        </w:trPr>
        <w:tc>
          <w:tcPr>
            <w:tcW w:type="dxa" w:w="2268"/>
            <w:vAlign w:val="center"/>
          </w:tcPr>
          <w:p>
            <w:pPr>
              <w:jc w:val="left"/>
            </w:pPr>
            <w:r/>
            <w:r>
              <w:rPr>
                <w:rFonts w:ascii="Times New Roman" w:hAnsi="Times New Roman" w:eastAsia="Times New Roman"/>
                <w:b w:val="0"/>
                <w:sz w:val="18"/>
              </w:rPr>
              <w:t>Minimum length</w:t>
            </w:r>
          </w:p>
        </w:tc>
        <w:tc>
          <w:tcPr>
            <w:tcW w:type="dxa" w:w="3402"/>
            <w:vAlign w:val="center"/>
          </w:tcPr>
          <w:p>
            <w:pPr>
              <w:jc w:val="left"/>
            </w:pPr>
            <w:r/>
            <w:r>
              <w:rPr>
                <w:rFonts w:ascii="Times New Roman" w:hAnsi="Times New Roman" w:eastAsia="Times New Roman"/>
                <w:b w:val="0"/>
                <w:sz w:val="18"/>
              </w:rPr>
              <w:t>At least 8 characters</w:t>
            </w:r>
          </w:p>
        </w:tc>
        <w:tc>
          <w:tcPr>
            <w:tcW w:type="dxa" w:w="3402"/>
            <w:vAlign w:val="center"/>
          </w:tcPr>
          <w:p>
            <w:pPr>
              <w:jc w:val="left"/>
            </w:pPr>
            <w:r/>
            <w:r>
              <w:rPr>
                <w:rFonts w:ascii="Times New Roman" w:hAnsi="Times New Roman" w:eastAsia="Times New Roman"/>
                <w:b w:val="0"/>
                <w:sz w:val="18"/>
              </w:rPr>
              <w:t>Rejects trivially short credentials</w:t>
            </w:r>
          </w:p>
        </w:tc>
      </w:tr>
      <w:tr>
        <w:trPr>
          <w:cantSplit/>
        </w:trPr>
        <w:tc>
          <w:tcPr>
            <w:tcW w:type="dxa" w:w="2268"/>
            <w:vAlign w:val="center"/>
          </w:tcPr>
          <w:p>
            <w:pPr>
              <w:jc w:val="left"/>
            </w:pPr>
            <w:r/>
            <w:r>
              <w:rPr>
                <w:rFonts w:ascii="Times New Roman" w:hAnsi="Times New Roman" w:eastAsia="Times New Roman"/>
                <w:b w:val="0"/>
                <w:sz w:val="18"/>
              </w:rPr>
              <w:t>Verification</w:t>
            </w:r>
          </w:p>
        </w:tc>
        <w:tc>
          <w:tcPr>
            <w:tcW w:type="dxa" w:w="3402"/>
            <w:vAlign w:val="center"/>
          </w:tcPr>
          <w:p>
            <w:pPr>
              <w:jc w:val="left"/>
            </w:pPr>
            <w:r/>
            <w:r>
              <w:rPr>
                <w:rFonts w:ascii="Times New Roman" w:hAnsi="Times New Roman" w:eastAsia="Times New Roman"/>
                <w:b w:val="0"/>
                <w:sz w:val="18"/>
              </w:rPr>
              <w:t>Constant library-managed hash verification</w:t>
            </w:r>
          </w:p>
        </w:tc>
        <w:tc>
          <w:tcPr>
            <w:tcW w:type="dxa" w:w="3402"/>
            <w:vAlign w:val="center"/>
          </w:tcPr>
          <w:p>
            <w:pPr>
              <w:jc w:val="left"/>
            </w:pPr>
            <w:r/>
            <w:r>
              <w:rPr>
                <w:rFonts w:ascii="Times New Roman" w:hAnsi="Times New Roman" w:eastAsia="Times New Roman"/>
                <w:b w:val="0"/>
                <w:sz w:val="18"/>
              </w:rPr>
              <w:t>Avoids direct plaintext comparison</w:t>
            </w:r>
          </w:p>
        </w:tc>
      </w:tr>
      <w:tr>
        <w:trPr>
          <w:cantSplit/>
        </w:trPr>
        <w:tc>
          <w:tcPr>
            <w:tcW w:type="dxa" w:w="2268"/>
            <w:vAlign w:val="center"/>
          </w:tcPr>
          <w:p>
            <w:pPr>
              <w:jc w:val="left"/>
            </w:pPr>
            <w:r/>
            <w:r>
              <w:rPr>
                <w:rFonts w:ascii="Times New Roman" w:hAnsi="Times New Roman" w:eastAsia="Times New Roman"/>
                <w:b w:val="0"/>
                <w:sz w:val="18"/>
              </w:rPr>
              <w:t>Database field</w:t>
            </w:r>
          </w:p>
        </w:tc>
        <w:tc>
          <w:tcPr>
            <w:tcW w:type="dxa" w:w="3402"/>
            <w:vAlign w:val="center"/>
          </w:tcPr>
          <w:p>
            <w:pPr>
              <w:jc w:val="left"/>
            </w:pPr>
            <w:r/>
            <w:r>
              <w:rPr>
                <w:rFonts w:ascii="Times New Roman" w:hAnsi="Times New Roman" w:eastAsia="Times New Roman"/>
                <w:b w:val="0"/>
                <w:sz w:val="18"/>
              </w:rPr>
              <w:t>hashed_password, non-nullable</w:t>
            </w:r>
          </w:p>
        </w:tc>
        <w:tc>
          <w:tcPr>
            <w:tcW w:type="dxa" w:w="3402"/>
            <w:vAlign w:val="center"/>
          </w:tcPr>
          <w:p>
            <w:pPr>
              <w:jc w:val="left"/>
            </w:pPr>
            <w:r/>
            <w:r>
              <w:rPr>
                <w:rFonts w:ascii="Times New Roman" w:hAnsi="Times New Roman" w:eastAsia="Times New Roman"/>
                <w:b w:val="0"/>
                <w:sz w:val="18"/>
              </w:rPr>
              <w:t>Prevents normal user records without a stored credential hash</w:t>
            </w:r>
          </w:p>
        </w:tc>
      </w:tr>
    </w:tbl>
    <w:p/>
    <w:p>
      <w:pPr>
        <w:pStyle w:val="Heading2"/>
      </w:pPr>
      <w:r>
        <w:t>2.2 Review observations</w:t>
      </w:r>
    </w:p>
    <w:p>
      <w:r>
        <w:t>The implemented baseline is technically sound for a prototype, but the supplied source does not show password complexity rules beyond minimum length, breached-password screening, login lockout, password history, password-expiration policy, or multi-factor authentication. These omissions should be described as future hardening requirements rather than silently assumed to exist.</w:t>
      </w:r>
    </w:p>
    <w:p>
      <w:pPr>
        <w:pStyle w:val="Heading1"/>
      </w:pPr>
      <w:r>
        <w:t>3. JWT Authentication and Authenticated-User Resolution</w:t>
      </w:r>
    </w:p>
    <w:p>
      <w:pPr>
        <w:pStyle w:val="Heading2"/>
      </w:pPr>
      <w:r>
        <w:t>3.1 Token construction and validation</w:t>
      </w:r>
    </w:p>
    <w:p>
      <w:r>
        <w:t>Access tokens are JSON Web Tokens signed with the configured algorithm and secret key. The token payload contains the subject identifier (sub), issue time (iat), and expiration time (exp). The supplied configuration sets HS256 as the algorithm and a default access-token lifetime of 30 minutes. Token decoding is restricted to the configured algorithm. Invalid or expired tokens are converted into a controlled authentication failure.</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984"/>
            <w:vAlign w:val="center"/>
            <w:shd w:fill="D9E1F2"/>
          </w:tcPr>
          <w:p>
            <w:pPr>
              <w:jc w:val="left"/>
            </w:pPr>
            <w:r/>
            <w:r>
              <w:rPr>
                <w:rFonts w:ascii="Times New Roman" w:hAnsi="Times New Roman" w:eastAsia="Times New Roman"/>
                <w:b/>
                <w:sz w:val="18"/>
              </w:rPr>
              <w:t>JWT element</w:t>
            </w:r>
          </w:p>
        </w:tc>
        <w:tc>
          <w:tcPr>
            <w:tcW w:type="dxa" w:w="3515"/>
            <w:vAlign w:val="center"/>
            <w:shd w:fill="D9E1F2"/>
          </w:tcPr>
          <w:p>
            <w:pPr>
              <w:jc w:val="left"/>
            </w:pPr>
            <w:r/>
            <w:r>
              <w:rPr>
                <w:rFonts w:ascii="Times New Roman" w:hAnsi="Times New Roman" w:eastAsia="Times New Roman"/>
                <w:b/>
                <w:sz w:val="18"/>
              </w:rPr>
              <w:t>Implemented value or behavior</w:t>
            </w:r>
          </w:p>
        </w:tc>
        <w:tc>
          <w:tcPr>
            <w:tcW w:type="dxa" w:w="3572"/>
            <w:vAlign w:val="center"/>
            <w:shd w:fill="D9E1F2"/>
          </w:tcPr>
          <w:p>
            <w:pPr>
              <w:jc w:val="left"/>
            </w:pPr>
            <w:r/>
            <w:r>
              <w:rPr>
                <w:rFonts w:ascii="Times New Roman" w:hAnsi="Times New Roman" w:eastAsia="Times New Roman"/>
                <w:b/>
                <w:sz w:val="18"/>
              </w:rPr>
              <w:t>Purpose</w:t>
            </w:r>
          </w:p>
        </w:tc>
      </w:tr>
      <w:tr>
        <w:trPr>
          <w:cantSplit/>
        </w:trPr>
        <w:tc>
          <w:tcPr>
            <w:tcW w:type="dxa" w:w="1984"/>
            <w:vAlign w:val="center"/>
          </w:tcPr>
          <w:p>
            <w:pPr>
              <w:jc w:val="left"/>
            </w:pPr>
            <w:r/>
            <w:r>
              <w:rPr>
                <w:rFonts w:ascii="Times New Roman" w:hAnsi="Times New Roman" w:eastAsia="Times New Roman"/>
                <w:b w:val="0"/>
                <w:sz w:val="18"/>
              </w:rPr>
              <w:t>Subject</w:t>
            </w:r>
          </w:p>
        </w:tc>
        <w:tc>
          <w:tcPr>
            <w:tcW w:type="dxa" w:w="3515"/>
            <w:vAlign w:val="center"/>
          </w:tcPr>
          <w:p>
            <w:pPr>
              <w:jc w:val="left"/>
            </w:pPr>
            <w:r/>
            <w:r>
              <w:rPr>
                <w:rFonts w:ascii="Times New Roman" w:hAnsi="Times New Roman" w:eastAsia="Times New Roman"/>
                <w:b w:val="0"/>
                <w:sz w:val="18"/>
              </w:rPr>
              <w:t>User identifier stored in sub</w:t>
            </w:r>
          </w:p>
        </w:tc>
        <w:tc>
          <w:tcPr>
            <w:tcW w:type="dxa" w:w="3572"/>
            <w:vAlign w:val="center"/>
          </w:tcPr>
          <w:p>
            <w:pPr>
              <w:jc w:val="left"/>
            </w:pPr>
            <w:r/>
            <w:r>
              <w:rPr>
                <w:rFonts w:ascii="Times New Roman" w:hAnsi="Times New Roman" w:eastAsia="Times New Roman"/>
                <w:b w:val="0"/>
                <w:sz w:val="18"/>
              </w:rPr>
              <w:t>Links the token to a database identity</w:t>
            </w:r>
          </w:p>
        </w:tc>
      </w:tr>
      <w:tr>
        <w:trPr>
          <w:cantSplit/>
        </w:trPr>
        <w:tc>
          <w:tcPr>
            <w:tcW w:type="dxa" w:w="1984"/>
            <w:vAlign w:val="center"/>
          </w:tcPr>
          <w:p>
            <w:pPr>
              <w:jc w:val="left"/>
            </w:pPr>
            <w:r/>
            <w:r>
              <w:rPr>
                <w:rFonts w:ascii="Times New Roman" w:hAnsi="Times New Roman" w:eastAsia="Times New Roman"/>
                <w:b w:val="0"/>
                <w:sz w:val="18"/>
              </w:rPr>
              <w:t>Issued at</w:t>
            </w:r>
          </w:p>
        </w:tc>
        <w:tc>
          <w:tcPr>
            <w:tcW w:type="dxa" w:w="3515"/>
            <w:vAlign w:val="center"/>
          </w:tcPr>
          <w:p>
            <w:pPr>
              <w:jc w:val="left"/>
            </w:pPr>
            <w:r/>
            <w:r>
              <w:rPr>
                <w:rFonts w:ascii="Times New Roman" w:hAnsi="Times New Roman" w:eastAsia="Times New Roman"/>
                <w:b w:val="0"/>
                <w:sz w:val="18"/>
              </w:rPr>
              <w:t>UTC timestamp in iat</w:t>
            </w:r>
          </w:p>
        </w:tc>
        <w:tc>
          <w:tcPr>
            <w:tcW w:type="dxa" w:w="3572"/>
            <w:vAlign w:val="center"/>
          </w:tcPr>
          <w:p>
            <w:pPr>
              <w:jc w:val="left"/>
            </w:pPr>
            <w:r/>
            <w:r>
              <w:rPr>
                <w:rFonts w:ascii="Times New Roman" w:hAnsi="Times New Roman" w:eastAsia="Times New Roman"/>
                <w:b w:val="0"/>
                <w:sz w:val="18"/>
              </w:rPr>
              <w:t>Records token issuance time</w:t>
            </w:r>
          </w:p>
        </w:tc>
      </w:tr>
      <w:tr>
        <w:trPr>
          <w:cantSplit/>
        </w:trPr>
        <w:tc>
          <w:tcPr>
            <w:tcW w:type="dxa" w:w="1984"/>
            <w:vAlign w:val="center"/>
          </w:tcPr>
          <w:p>
            <w:pPr>
              <w:jc w:val="left"/>
            </w:pPr>
            <w:r/>
            <w:r>
              <w:rPr>
                <w:rFonts w:ascii="Times New Roman" w:hAnsi="Times New Roman" w:eastAsia="Times New Roman"/>
                <w:b w:val="0"/>
                <w:sz w:val="18"/>
              </w:rPr>
              <w:t>Expiration</w:t>
            </w:r>
          </w:p>
        </w:tc>
        <w:tc>
          <w:tcPr>
            <w:tcW w:type="dxa" w:w="3515"/>
            <w:vAlign w:val="center"/>
          </w:tcPr>
          <w:p>
            <w:pPr>
              <w:jc w:val="left"/>
            </w:pPr>
            <w:r/>
            <w:r>
              <w:rPr>
                <w:rFonts w:ascii="Times New Roman" w:hAnsi="Times New Roman" w:eastAsia="Times New Roman"/>
                <w:b w:val="0"/>
                <w:sz w:val="18"/>
              </w:rPr>
              <w:t>UTC timestamp in exp</w:t>
            </w:r>
          </w:p>
        </w:tc>
        <w:tc>
          <w:tcPr>
            <w:tcW w:type="dxa" w:w="3572"/>
            <w:vAlign w:val="center"/>
          </w:tcPr>
          <w:p>
            <w:pPr>
              <w:jc w:val="left"/>
            </w:pPr>
            <w:r/>
            <w:r>
              <w:rPr>
                <w:rFonts w:ascii="Times New Roman" w:hAnsi="Times New Roman" w:eastAsia="Times New Roman"/>
                <w:b w:val="0"/>
                <w:sz w:val="18"/>
              </w:rPr>
              <w:t>Limits token lifetime</w:t>
            </w:r>
          </w:p>
        </w:tc>
      </w:tr>
      <w:tr>
        <w:trPr>
          <w:cantSplit/>
        </w:trPr>
        <w:tc>
          <w:tcPr>
            <w:tcW w:type="dxa" w:w="1984"/>
            <w:vAlign w:val="center"/>
          </w:tcPr>
          <w:p>
            <w:pPr>
              <w:jc w:val="left"/>
            </w:pPr>
            <w:r/>
            <w:r>
              <w:rPr>
                <w:rFonts w:ascii="Times New Roman" w:hAnsi="Times New Roman" w:eastAsia="Times New Roman"/>
                <w:b w:val="0"/>
                <w:sz w:val="18"/>
              </w:rPr>
              <w:t>Signature</w:t>
            </w:r>
          </w:p>
        </w:tc>
        <w:tc>
          <w:tcPr>
            <w:tcW w:type="dxa" w:w="3515"/>
            <w:vAlign w:val="center"/>
          </w:tcPr>
          <w:p>
            <w:pPr>
              <w:jc w:val="left"/>
            </w:pPr>
            <w:r/>
            <w:r>
              <w:rPr>
                <w:rFonts w:ascii="Times New Roman" w:hAnsi="Times New Roman" w:eastAsia="Times New Roman"/>
                <w:b w:val="0"/>
                <w:sz w:val="18"/>
              </w:rPr>
              <w:t>Configured symmetric JWT secret and algorithm</w:t>
            </w:r>
          </w:p>
        </w:tc>
        <w:tc>
          <w:tcPr>
            <w:tcW w:type="dxa" w:w="3572"/>
            <w:vAlign w:val="center"/>
          </w:tcPr>
          <w:p>
            <w:pPr>
              <w:jc w:val="left"/>
            </w:pPr>
            <w:r/>
            <w:r>
              <w:rPr>
                <w:rFonts w:ascii="Times New Roman" w:hAnsi="Times New Roman" w:eastAsia="Times New Roman"/>
                <w:b w:val="0"/>
                <w:sz w:val="18"/>
              </w:rPr>
              <w:t>Detects tampering</w:t>
            </w:r>
          </w:p>
        </w:tc>
      </w:tr>
      <w:tr>
        <w:trPr>
          <w:cantSplit/>
        </w:trPr>
        <w:tc>
          <w:tcPr>
            <w:tcW w:type="dxa" w:w="1984"/>
            <w:vAlign w:val="center"/>
          </w:tcPr>
          <w:p>
            <w:pPr>
              <w:jc w:val="left"/>
            </w:pPr>
            <w:r/>
            <w:r>
              <w:rPr>
                <w:rFonts w:ascii="Times New Roman" w:hAnsi="Times New Roman" w:eastAsia="Times New Roman"/>
                <w:b w:val="0"/>
                <w:sz w:val="18"/>
              </w:rPr>
              <w:t>Validation failure</w:t>
            </w:r>
          </w:p>
        </w:tc>
        <w:tc>
          <w:tcPr>
            <w:tcW w:type="dxa" w:w="3515"/>
            <w:vAlign w:val="center"/>
          </w:tcPr>
          <w:p>
            <w:pPr>
              <w:jc w:val="left"/>
            </w:pPr>
            <w:r/>
            <w:r>
              <w:rPr>
                <w:rFonts w:ascii="Times New Roman" w:hAnsi="Times New Roman" w:eastAsia="Times New Roman"/>
                <w:b w:val="0"/>
                <w:sz w:val="18"/>
              </w:rPr>
              <w:t>HTTP 401 through the authentication dependency</w:t>
            </w:r>
          </w:p>
        </w:tc>
        <w:tc>
          <w:tcPr>
            <w:tcW w:type="dxa" w:w="3572"/>
            <w:vAlign w:val="center"/>
          </w:tcPr>
          <w:p>
            <w:pPr>
              <w:jc w:val="left"/>
            </w:pPr>
            <w:r/>
            <w:r>
              <w:rPr>
                <w:rFonts w:ascii="Times New Roman" w:hAnsi="Times New Roman" w:eastAsia="Times New Roman"/>
                <w:b w:val="0"/>
                <w:sz w:val="18"/>
              </w:rPr>
              <w:t>Prevents unauthorized endpoint use</w:t>
            </w:r>
          </w:p>
        </w:tc>
      </w:tr>
    </w:tbl>
    <w:p/>
    <w:p>
      <w:pPr>
        <w:pStyle w:val="Heading2"/>
      </w:pPr>
      <w:r>
        <w:t>3.2 Database-backed identity validation</w:t>
      </w:r>
    </w:p>
    <w:p>
      <w:r>
        <w:t>A successfully decoded token is not treated as sufficient evidence of current authorization. The get_current_user dependency extracts the subject, converts it to a user identifier, retrieves the corresponding User record from PostgreSQL, and verifies that the account remains active. A missing or nonexistent identity produces HTTP 401. An inactive account produces HTTP 403. This design allows administrators to disable access without waiting for all previously issued tokens to expire.</w:t>
      </w:r>
    </w:p>
    <w:p>
      <w:pPr>
        <w:jc w:val="center"/>
      </w:pPr>
      <w:r>
        <w:drawing>
          <wp:inline xmlns:a="http://schemas.openxmlformats.org/drawingml/2006/main" xmlns:pic="http://schemas.openxmlformats.org/drawingml/2006/picture">
            <wp:extent cx="6217920" cy="2973788"/>
            <wp:docPr id="2" name="Picture 2"/>
            <wp:cNvGraphicFramePr>
              <a:graphicFrameLocks noChangeAspect="1"/>
            </wp:cNvGraphicFramePr>
            <a:graphic>
              <a:graphicData uri="http://schemas.openxmlformats.org/drawingml/2006/picture">
                <pic:pic>
                  <pic:nvPicPr>
                    <pic:cNvPr id="0" name="authentication_authorization_flow.png"/>
                    <pic:cNvPicPr/>
                  </pic:nvPicPr>
                  <pic:blipFill>
                    <a:blip r:embed="rId12"/>
                    <a:stretch>
                      <a:fillRect/>
                    </a:stretch>
                  </pic:blipFill>
                  <pic:spPr>
                    <a:xfrm>
                      <a:off x="0" y="0"/>
                      <a:ext cx="6217920" cy="2973788"/>
                    </a:xfrm>
                    <a:prstGeom prst="rect"/>
                  </pic:spPr>
                </pic:pic>
              </a:graphicData>
            </a:graphic>
          </wp:inline>
        </w:drawing>
      </w:r>
    </w:p>
    <w:p>
      <w:pPr>
        <w:pStyle w:val="AcademicCaption"/>
      </w:pPr>
      <w:r>
        <w:t>Figure 2. Authentication, user-resolution, authorization, and denial-audit flow.</w:t>
      </w:r>
    </w:p>
    <w:p>
      <w:pPr>
        <w:pStyle w:val="Heading2"/>
      </w:pPr>
      <w:r>
        <w:t>3.3 Authentication validation results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4535"/>
            <w:vAlign w:val="center"/>
            <w:shd w:fill="D9E1F2"/>
          </w:tcPr>
          <w:p>
            <w:pPr>
              <w:jc w:val="left"/>
            </w:pPr>
            <w:r/>
            <w:r>
              <w:rPr>
                <w:rFonts w:ascii="Times New Roman" w:hAnsi="Times New Roman" w:eastAsia="Times New Roman"/>
                <w:b/>
                <w:sz w:val="17"/>
              </w:rPr>
              <w:t>Test</w:t>
            </w:r>
          </w:p>
        </w:tc>
        <w:tc>
          <w:tcPr>
            <w:tcW w:type="dxa" w:w="1417"/>
            <w:vAlign w:val="center"/>
            <w:shd w:fill="D9E1F2"/>
          </w:tcPr>
          <w:p>
            <w:pPr>
              <w:jc w:val="left"/>
            </w:pPr>
            <w:r/>
            <w:r>
              <w:rPr>
                <w:rFonts w:ascii="Times New Roman" w:hAnsi="Times New Roman" w:eastAsia="Times New Roman"/>
                <w:b/>
                <w:sz w:val="17"/>
              </w:rPr>
              <w:t>Expected</w:t>
            </w:r>
          </w:p>
        </w:tc>
        <w:tc>
          <w:tcPr>
            <w:tcW w:type="dxa" w:w="1417"/>
            <w:vAlign w:val="center"/>
            <w:shd w:fill="D9E1F2"/>
          </w:tcPr>
          <w:p>
            <w:pPr>
              <w:jc w:val="left"/>
            </w:pPr>
            <w:r/>
            <w:r>
              <w:rPr>
                <w:rFonts w:ascii="Times New Roman" w:hAnsi="Times New Roman" w:eastAsia="Times New Roman"/>
                <w:b/>
                <w:sz w:val="17"/>
              </w:rPr>
              <w:t>Actual</w:t>
            </w:r>
          </w:p>
        </w:tc>
        <w:tc>
          <w:tcPr>
            <w:tcW w:type="dxa" w:w="1417"/>
            <w:vAlign w:val="center"/>
            <w:shd w:fill="D9E1F2"/>
          </w:tcPr>
          <w:p>
            <w:pPr>
              <w:jc w:val="left"/>
            </w:pPr>
            <w:r/>
            <w:r>
              <w:rPr>
                <w:rFonts w:ascii="Times New Roman" w:hAnsi="Times New Roman" w:eastAsia="Times New Roman"/>
                <w:b/>
                <w:sz w:val="17"/>
              </w:rPr>
              <w:t>Result</w:t>
            </w:r>
          </w:p>
        </w:tc>
      </w:tr>
      <w:tr>
        <w:trPr>
          <w:cantSplit/>
        </w:trPr>
        <w:tc>
          <w:tcPr>
            <w:tcW w:type="dxa" w:w="4535"/>
            <w:vAlign w:val="center"/>
          </w:tcPr>
          <w:p>
            <w:pPr>
              <w:jc w:val="left"/>
            </w:pPr>
            <w:r/>
            <w:r>
              <w:rPr>
                <w:rFonts w:ascii="Times New Roman" w:hAnsi="Times New Roman" w:eastAsia="Times New Roman"/>
                <w:b w:val="0"/>
                <w:sz w:val="17"/>
              </w:rPr>
              <w:t>Valid login</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Invalid password</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Unknown username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Valid JWT on protected endpoint</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Missing JWT</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Malformed JWT</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Tampered JWT signature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Wrong authorization scheme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bl>
    <w:p/>
    <w:p>
      <w:r>
        <w:t>All eight authentication scenarios passed. Valid login and valid-token access returned HTTP 200. Invalid passwords, unknown usernames, missing tokens, malformed tokens, tampered signatures, and incorrect authorization schemes returned HTTP 401 as expected. The test set therefore covers both positive and representative negative authentication paths.</w:t>
      </w:r>
    </w:p>
    <w:p>
      <w:pPr>
        <w:pStyle w:val="Heading1"/>
      </w:pPr>
      <w:r>
        <w:t>4. Role-Based Access Control</w:t>
      </w:r>
    </w:p>
    <w:p>
      <w:pPr>
        <w:pStyle w:val="Heading2"/>
      </w:pPr>
      <w:r>
        <w:t>4.1 Authorization mechanism</w:t>
      </w:r>
    </w:p>
    <w:p>
      <w:r>
        <w:t>Route authorization is implemented through the require_roles dependency factory. Each protected operation declares an explicit set of allowed role names. At request time, the dependency obtains the authenticated user, resolves the linked role, and compares the role name with the allowed set. A mismatch produces HTTP 403 and triggers an ACCESS_DENIED audit event containing the user role, the permitted roles, the endpoint, and request context.</w:t>
      </w:r>
    </w:p>
    <w:p>
      <w:r>
        <w:t>The Role model enforces unique role names, while each User record contains a non-nullable foreign key to a role. This relational design prevents normal authenticated users from existing without a role assignment.</w:t>
      </w:r>
    </w:p>
    <w:p>
      <w:pPr>
        <w:pStyle w:val="Heading2"/>
      </w:pPr>
      <w:r>
        <w:t>4.2 Endpoint coverage</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5386"/>
            <w:vAlign w:val="center"/>
            <w:shd w:fill="D9E1F2"/>
          </w:tcPr>
          <w:p>
            <w:pPr>
              <w:jc w:val="left"/>
            </w:pPr>
            <w:r/>
            <w:r>
              <w:rPr>
                <w:rFonts w:ascii="Times New Roman" w:hAnsi="Times New Roman" w:eastAsia="Times New Roman"/>
                <w:b/>
                <w:sz w:val="18"/>
              </w:rPr>
              <w:t>API module</w:t>
            </w:r>
          </w:p>
        </w:tc>
        <w:tc>
          <w:tcPr>
            <w:tcW w:type="dxa" w:w="2835"/>
            <w:vAlign w:val="center"/>
            <w:shd w:fill="D9E1F2"/>
          </w:tcPr>
          <w:p>
            <w:pPr>
              <w:jc w:val="left"/>
            </w:pPr>
            <w:r/>
            <w:r>
              <w:rPr>
                <w:rFonts w:ascii="Times New Roman" w:hAnsi="Times New Roman" w:eastAsia="Times New Roman"/>
                <w:b/>
                <w:sz w:val="18"/>
              </w:rPr>
              <w:t>Inventoried operations</w:t>
            </w:r>
          </w:p>
        </w:tc>
      </w:tr>
      <w:tr>
        <w:trPr>
          <w:cantSplit/>
        </w:trPr>
        <w:tc>
          <w:tcPr>
            <w:tcW w:type="dxa" w:w="5386"/>
            <w:vAlign w:val="center"/>
          </w:tcPr>
          <w:p>
            <w:pPr>
              <w:jc w:val="left"/>
            </w:pPr>
            <w:r/>
            <w:r>
              <w:rPr>
                <w:rFonts w:ascii="Times New Roman" w:hAnsi="Times New Roman" w:eastAsia="Times New Roman"/>
                <w:b w:val="0"/>
                <w:sz w:val="18"/>
              </w:rPr>
              <w:t>fhir</w:t>
            </w:r>
          </w:p>
        </w:tc>
        <w:tc>
          <w:tcPr>
            <w:tcW w:type="dxa" w:w="2835"/>
            <w:vAlign w:val="center"/>
          </w:tcPr>
          <w:p>
            <w:pPr>
              <w:jc w:val="left"/>
            </w:pPr>
            <w:r/>
            <w:r>
              <w:rPr>
                <w:rFonts w:ascii="Times New Roman" w:hAnsi="Times New Roman" w:eastAsia="Times New Roman"/>
                <w:b w:val="0"/>
                <w:sz w:val="18"/>
              </w:rPr>
              <w:t>8</w:t>
            </w:r>
          </w:p>
        </w:tc>
      </w:tr>
      <w:tr>
        <w:trPr>
          <w:cantSplit/>
        </w:trPr>
        <w:tc>
          <w:tcPr>
            <w:tcW w:type="dxa" w:w="5386"/>
            <w:vAlign w:val="center"/>
          </w:tcPr>
          <w:p>
            <w:pPr>
              <w:jc w:val="left"/>
            </w:pPr>
            <w:r/>
            <w:r>
              <w:rPr>
                <w:rFonts w:ascii="Times New Roman" w:hAnsi="Times New Roman" w:eastAsia="Times New Roman"/>
                <w:b w:val="0"/>
                <w:sz w:val="18"/>
              </w:rPr>
              <w:t>encounters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patients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observations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prescriptions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diagnostic_reports</w:t>
            </w:r>
          </w:p>
        </w:tc>
        <w:tc>
          <w:tcPr>
            <w:tcW w:type="dxa" w:w="2835"/>
            <w:vAlign w:val="center"/>
          </w:tcPr>
          <w:p>
            <w:pPr>
              <w:jc w:val="left"/>
            </w:pPr>
            <w:r/>
            <w:r>
              <w:rPr>
                <w:rFonts w:ascii="Times New Roman" w:hAnsi="Times New Roman" w:eastAsia="Times New Roman"/>
                <w:b w:val="0"/>
                <w:sz w:val="18"/>
              </w:rPr>
              <w:t>3</w:t>
            </w:r>
          </w:p>
        </w:tc>
      </w:tr>
      <w:tr>
        <w:trPr>
          <w:cantSplit/>
        </w:trPr>
        <w:tc>
          <w:tcPr>
            <w:tcW w:type="dxa" w:w="5386"/>
            <w:vAlign w:val="center"/>
          </w:tcPr>
          <w:p>
            <w:pPr>
              <w:jc w:val="left"/>
            </w:pPr>
            <w:r/>
            <w:r>
              <w:rPr>
                <w:rFonts w:ascii="Times New Roman" w:hAnsi="Times New Roman" w:eastAsia="Times New Roman"/>
                <w:b w:val="0"/>
                <w:sz w:val="18"/>
              </w:rPr>
              <w:t>auth</w:t>
            </w:r>
          </w:p>
        </w:tc>
        <w:tc>
          <w:tcPr>
            <w:tcW w:type="dxa" w:w="2835"/>
            <w:vAlign w:val="center"/>
          </w:tcPr>
          <w:p>
            <w:pPr>
              <w:jc w:val="left"/>
            </w:pPr>
            <w:r/>
            <w:r>
              <w:rPr>
                <w:rFonts w:ascii="Times New Roman" w:hAnsi="Times New Roman" w:eastAsia="Times New Roman"/>
                <w:b w:val="0"/>
                <w:sz w:val="18"/>
              </w:rPr>
              <w:t>2</w:t>
            </w:r>
          </w:p>
        </w:tc>
      </w:tr>
      <w:tr>
        <w:trPr>
          <w:cantSplit/>
        </w:trPr>
        <w:tc>
          <w:tcPr>
            <w:tcW w:type="dxa" w:w="5386"/>
            <w:vAlign w:val="center"/>
          </w:tcPr>
          <w:p>
            <w:pPr>
              <w:jc w:val="left"/>
            </w:pPr>
            <w:r/>
            <w:r>
              <w:rPr>
                <w:rFonts w:ascii="Times New Roman" w:hAnsi="Times New Roman" w:eastAsia="Times New Roman"/>
                <w:b w:val="0"/>
                <w:sz w:val="18"/>
              </w:rPr>
              <w:t>fhir_conditions</w:t>
            </w:r>
          </w:p>
        </w:tc>
        <w:tc>
          <w:tcPr>
            <w:tcW w:type="dxa" w:w="2835"/>
            <w:vAlign w:val="center"/>
          </w:tcPr>
          <w:p>
            <w:pPr>
              <w:jc w:val="left"/>
            </w:pPr>
            <w:r/>
            <w:r>
              <w:rPr>
                <w:rFonts w:ascii="Times New Roman" w:hAnsi="Times New Roman" w:eastAsia="Times New Roman"/>
                <w:b w:val="0"/>
                <w:sz w:val="18"/>
              </w:rPr>
              <w:t>2</w:t>
            </w:r>
          </w:p>
        </w:tc>
      </w:tr>
    </w:tbl>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4819"/>
            <w:vAlign w:val="center"/>
            <w:shd w:fill="D9E1F2"/>
          </w:tcPr>
          <w:p>
            <w:pPr>
              <w:jc w:val="left"/>
            </w:pPr>
            <w:r/>
            <w:r>
              <w:rPr>
                <w:rFonts w:ascii="Times New Roman" w:hAnsi="Times New Roman" w:eastAsia="Times New Roman"/>
                <w:b/>
                <w:sz w:val="18"/>
              </w:rPr>
              <w:t>Role</w:t>
            </w:r>
          </w:p>
        </w:tc>
        <w:tc>
          <w:tcPr>
            <w:tcW w:type="dxa" w:w="3402"/>
            <w:vAlign w:val="center"/>
            <w:shd w:fill="D9E1F2"/>
          </w:tcPr>
          <w:p>
            <w:pPr>
              <w:jc w:val="left"/>
            </w:pPr>
            <w:r/>
            <w:r>
              <w:rPr>
                <w:rFonts w:ascii="Times New Roman" w:hAnsi="Times New Roman" w:eastAsia="Times New Roman"/>
                <w:b/>
                <w:sz w:val="18"/>
              </w:rPr>
              <w:t>Operations in which role is permitted</w:t>
            </w:r>
          </w:p>
        </w:tc>
      </w:tr>
      <w:tr>
        <w:trPr>
          <w:cantSplit/>
        </w:trPr>
        <w:tc>
          <w:tcPr>
            <w:tcW w:type="dxa" w:w="4819"/>
            <w:vAlign w:val="center"/>
          </w:tcPr>
          <w:p>
            <w:pPr>
              <w:jc w:val="left"/>
            </w:pPr>
            <w:r/>
            <w:r>
              <w:rPr>
                <w:rFonts w:ascii="Times New Roman" w:hAnsi="Times New Roman" w:eastAsia="Times New Roman"/>
                <w:b w:val="0"/>
                <w:sz w:val="18"/>
              </w:rPr>
              <w:t>Admin</w:t>
            </w:r>
          </w:p>
        </w:tc>
        <w:tc>
          <w:tcPr>
            <w:tcW w:type="dxa" w:w="3402"/>
            <w:vAlign w:val="center"/>
          </w:tcPr>
          <w:p>
            <w:pPr>
              <w:jc w:val="left"/>
            </w:pPr>
            <w:r/>
            <w:r>
              <w:rPr>
                <w:rFonts w:ascii="Times New Roman" w:hAnsi="Times New Roman" w:eastAsia="Times New Roman"/>
                <w:b w:val="0"/>
                <w:sz w:val="18"/>
              </w:rPr>
              <w:t>29</w:t>
            </w:r>
          </w:p>
        </w:tc>
      </w:tr>
      <w:tr>
        <w:trPr>
          <w:cantSplit/>
        </w:trPr>
        <w:tc>
          <w:tcPr>
            <w:tcW w:type="dxa" w:w="4819"/>
            <w:vAlign w:val="center"/>
          </w:tcPr>
          <w:p>
            <w:pPr>
              <w:jc w:val="left"/>
            </w:pPr>
            <w:r/>
            <w:r>
              <w:rPr>
                <w:rFonts w:ascii="Times New Roman" w:hAnsi="Times New Roman" w:eastAsia="Times New Roman"/>
                <w:b w:val="0"/>
                <w:sz w:val="18"/>
              </w:rPr>
              <w:t>Doctor</w:t>
            </w:r>
          </w:p>
        </w:tc>
        <w:tc>
          <w:tcPr>
            <w:tcW w:type="dxa" w:w="3402"/>
            <w:vAlign w:val="center"/>
          </w:tcPr>
          <w:p>
            <w:pPr>
              <w:jc w:val="left"/>
            </w:pPr>
            <w:r/>
            <w:r>
              <w:rPr>
                <w:rFonts w:ascii="Times New Roman" w:hAnsi="Times New Roman" w:eastAsia="Times New Roman"/>
                <w:b w:val="0"/>
                <w:sz w:val="18"/>
              </w:rPr>
              <w:t>27</w:t>
            </w:r>
          </w:p>
        </w:tc>
      </w:tr>
      <w:tr>
        <w:trPr>
          <w:cantSplit/>
        </w:trPr>
        <w:tc>
          <w:tcPr>
            <w:tcW w:type="dxa" w:w="4819"/>
            <w:vAlign w:val="center"/>
          </w:tcPr>
          <w:p>
            <w:pPr>
              <w:jc w:val="left"/>
            </w:pPr>
            <w:r/>
            <w:r>
              <w:rPr>
                <w:rFonts w:ascii="Times New Roman" w:hAnsi="Times New Roman" w:eastAsia="Times New Roman"/>
                <w:b w:val="0"/>
                <w:sz w:val="18"/>
              </w:rPr>
              <w:t>Nurse</w:t>
            </w:r>
          </w:p>
        </w:tc>
        <w:tc>
          <w:tcPr>
            <w:tcW w:type="dxa" w:w="3402"/>
            <w:vAlign w:val="center"/>
          </w:tcPr>
          <w:p>
            <w:pPr>
              <w:jc w:val="left"/>
            </w:pPr>
            <w:r/>
            <w:r>
              <w:rPr>
                <w:rFonts w:ascii="Times New Roman" w:hAnsi="Times New Roman" w:eastAsia="Times New Roman"/>
                <w:b w:val="0"/>
                <w:sz w:val="18"/>
              </w:rPr>
              <w:t>26</w:t>
            </w:r>
          </w:p>
        </w:tc>
      </w:tr>
      <w:tr>
        <w:trPr>
          <w:cantSplit/>
        </w:trPr>
        <w:tc>
          <w:tcPr>
            <w:tcW w:type="dxa" w:w="4819"/>
            <w:vAlign w:val="center"/>
          </w:tcPr>
          <w:p>
            <w:pPr>
              <w:jc w:val="left"/>
            </w:pPr>
            <w:r/>
            <w:r>
              <w:rPr>
                <w:rFonts w:ascii="Times New Roman" w:hAnsi="Times New Roman" w:eastAsia="Times New Roman"/>
                <w:b w:val="0"/>
                <w:sz w:val="18"/>
              </w:rPr>
              <w:t>Data Manager</w:t>
            </w:r>
          </w:p>
        </w:tc>
        <w:tc>
          <w:tcPr>
            <w:tcW w:type="dxa" w:w="3402"/>
            <w:vAlign w:val="center"/>
          </w:tcPr>
          <w:p>
            <w:pPr>
              <w:jc w:val="left"/>
            </w:pPr>
            <w:r/>
            <w:r>
              <w:rPr>
                <w:rFonts w:ascii="Times New Roman" w:hAnsi="Times New Roman" w:eastAsia="Times New Roman"/>
                <w:b w:val="0"/>
                <w:sz w:val="18"/>
              </w:rPr>
              <w:t>25</w:t>
            </w:r>
          </w:p>
        </w:tc>
      </w:tr>
      <w:tr>
        <w:trPr>
          <w:cantSplit/>
        </w:trPr>
        <w:tc>
          <w:tcPr>
            <w:tcW w:type="dxa" w:w="4819"/>
            <w:vAlign w:val="center"/>
          </w:tcPr>
          <w:p>
            <w:pPr>
              <w:jc w:val="left"/>
            </w:pPr>
            <w:r/>
            <w:r>
              <w:rPr>
                <w:rFonts w:ascii="Times New Roman" w:hAnsi="Times New Roman" w:eastAsia="Times New Roman"/>
                <w:b w:val="0"/>
                <w:sz w:val="18"/>
              </w:rPr>
              <w:t>Lab Staff</w:t>
            </w:r>
          </w:p>
        </w:tc>
        <w:tc>
          <w:tcPr>
            <w:tcW w:type="dxa" w:w="3402"/>
            <w:vAlign w:val="center"/>
          </w:tcPr>
          <w:p>
            <w:pPr>
              <w:jc w:val="left"/>
            </w:pPr>
            <w:r/>
            <w:r>
              <w:rPr>
                <w:rFonts w:ascii="Times New Roman" w:hAnsi="Times New Roman" w:eastAsia="Times New Roman"/>
                <w:b w:val="0"/>
                <w:sz w:val="18"/>
              </w:rPr>
              <w:t>11</w:t>
            </w:r>
          </w:p>
        </w:tc>
      </w:tr>
      <w:tr>
        <w:trPr>
          <w:cantSplit/>
        </w:trPr>
        <w:tc>
          <w:tcPr>
            <w:tcW w:type="dxa" w:w="4819"/>
            <w:vAlign w:val="center"/>
          </w:tcPr>
          <w:p>
            <w:pPr>
              <w:jc w:val="left"/>
            </w:pPr>
            <w:r/>
            <w:r>
              <w:rPr>
                <w:rFonts w:ascii="Times New Roman" w:hAnsi="Times New Roman" w:eastAsia="Times New Roman"/>
                <w:b w:val="0"/>
                <w:sz w:val="18"/>
              </w:rPr>
              <w:t>Pharmacist</w:t>
            </w:r>
          </w:p>
        </w:tc>
        <w:tc>
          <w:tcPr>
            <w:tcW w:type="dxa" w:w="3402"/>
            <w:vAlign w:val="center"/>
          </w:tcPr>
          <w:p>
            <w:pPr>
              <w:jc w:val="left"/>
            </w:pPr>
            <w:r/>
            <w:r>
              <w:rPr>
                <w:rFonts w:ascii="Times New Roman" w:hAnsi="Times New Roman" w:eastAsia="Times New Roman"/>
                <w:b w:val="0"/>
                <w:sz w:val="18"/>
              </w:rPr>
              <w:t>11</w:t>
            </w:r>
          </w:p>
        </w:tc>
      </w:tr>
    </w:tbl>
    <w:p/>
    <w:p>
      <w:r>
        <w:t>The inventory contains 31 operations. Twenty-nine healthcare and interoperability operations carry an explicit role set. The two authentication operations, login and current-user retrieval, are marked not_detected in the static RBAC inventory because they are governed by credential or token authentication rather than by a route-specific role list. This distinction should not be misinterpreted as unrestricted anonymous access to the current-user endpoint.</w:t>
      </w:r>
    </w:p>
    <w:p>
      <w:pPr>
        <w:pStyle w:val="Heading2"/>
      </w:pPr>
      <w:r>
        <w:t>4.3 Least-privilege observations</w:t>
      </w:r>
    </w:p>
    <w:p>
      <w:pPr>
        <w:pStyle w:val="ListBullet"/>
        <w:ind w:left="283" w:hanging="142"/>
      </w:pPr>
      <w:r>
        <w:t>Administrative access is the broadest, covering all 29 role-protected operations.</w:t>
      </w:r>
    </w:p>
    <w:p>
      <w:pPr>
        <w:pStyle w:val="ListBullet"/>
        <w:ind w:left="283" w:hanging="142"/>
      </w:pPr>
      <w:r>
        <w:t>Doctors and nurses receive broad clinical access, but patient creation and modification exclude doctors.</w:t>
      </w:r>
    </w:p>
    <w:p>
      <w:pPr>
        <w:pStyle w:val="ListBullet"/>
        <w:ind w:left="283" w:hanging="142"/>
      </w:pPr>
      <w:r>
        <w:t>Pharmacists are concentrated in prescription and selected FHIR read operations.</w:t>
      </w:r>
    </w:p>
    <w:p>
      <w:pPr>
        <w:pStyle w:val="ListBullet"/>
        <w:ind w:left="283" w:hanging="142"/>
      </w:pPr>
      <w:r>
        <w:t>Laboratory staff receive diagnostic-report and observation access but limited prescription access.</w:t>
      </w:r>
    </w:p>
    <w:p>
      <w:pPr>
        <w:pStyle w:val="ListBullet"/>
        <w:ind w:left="283" w:hanging="142"/>
      </w:pPr>
      <w:r>
        <w:t>Data managers receive broad data-management and read access but are excluded from selected clinically authoritative writes.</w:t>
      </w:r>
    </w:p>
    <w:p>
      <w:pPr>
        <w:pStyle w:val="Heading1"/>
      </w:pPr>
      <w:r>
        <w:t>5. Audit Logging and Accountability</w:t>
      </w:r>
    </w:p>
    <w:p>
      <w:pPr>
        <w:pStyle w:val="Heading2"/>
      </w:pPr>
      <w:r>
        <w:t>5.1 Audit record structure</w:t>
      </w:r>
    </w:p>
    <w:p>
      <w:r>
        <w:t>The AuditLog model records the acting user, action, resource type and identifier, outcome, HTTP method, endpoint, IP address, user agent, structured details, and server-generated timestamp. Composite indexes on user plus creation time and action plus creation time support investigation and chronological analysis.</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005"/>
            <w:vAlign w:val="center"/>
            <w:shd w:fill="D9E1F2"/>
          </w:tcPr>
          <w:p>
            <w:pPr>
              <w:jc w:val="left"/>
            </w:pPr>
            <w:r/>
            <w:r>
              <w:rPr>
                <w:rFonts w:ascii="Times New Roman" w:hAnsi="Times New Roman" w:eastAsia="Times New Roman"/>
                <w:b/>
                <w:sz w:val="18"/>
              </w:rPr>
              <w:t>Audit field</w:t>
            </w:r>
          </w:p>
        </w:tc>
        <w:tc>
          <w:tcPr>
            <w:tcW w:type="dxa" w:w="5783"/>
            <w:vAlign w:val="center"/>
            <w:shd w:fill="D9E1F2"/>
          </w:tcPr>
          <w:p>
            <w:pPr>
              <w:jc w:val="left"/>
            </w:pPr>
            <w:r/>
            <w:r>
              <w:rPr>
                <w:rFonts w:ascii="Times New Roman" w:hAnsi="Times New Roman" w:eastAsia="Times New Roman"/>
                <w:b/>
                <w:sz w:val="18"/>
              </w:rPr>
              <w:t>Security relevance</w:t>
            </w:r>
          </w:p>
        </w:tc>
      </w:tr>
      <w:tr>
        <w:trPr>
          <w:cantSplit/>
        </w:trPr>
        <w:tc>
          <w:tcPr>
            <w:tcW w:type="dxa" w:w="3005"/>
            <w:vAlign w:val="center"/>
          </w:tcPr>
          <w:p>
            <w:pPr>
              <w:jc w:val="left"/>
            </w:pPr>
            <w:r/>
            <w:r>
              <w:rPr>
                <w:rFonts w:ascii="Times New Roman" w:hAnsi="Times New Roman" w:eastAsia="Times New Roman"/>
                <w:b w:val="0"/>
                <w:sz w:val="18"/>
              </w:rPr>
              <w:t>user_id</w:t>
            </w:r>
          </w:p>
        </w:tc>
        <w:tc>
          <w:tcPr>
            <w:tcW w:type="dxa" w:w="5783"/>
            <w:vAlign w:val="center"/>
          </w:tcPr>
          <w:p>
            <w:pPr>
              <w:jc w:val="left"/>
            </w:pPr>
            <w:r/>
            <w:r>
              <w:rPr>
                <w:rFonts w:ascii="Times New Roman" w:hAnsi="Times New Roman" w:eastAsia="Times New Roman"/>
                <w:b w:val="0"/>
                <w:sz w:val="18"/>
              </w:rPr>
              <w:t>Associates an event with the acting identity when available</w:t>
            </w:r>
          </w:p>
        </w:tc>
      </w:tr>
      <w:tr>
        <w:trPr>
          <w:cantSplit/>
        </w:trPr>
        <w:tc>
          <w:tcPr>
            <w:tcW w:type="dxa" w:w="3005"/>
            <w:vAlign w:val="center"/>
          </w:tcPr>
          <w:p>
            <w:pPr>
              <w:jc w:val="left"/>
            </w:pPr>
            <w:r/>
            <w:r>
              <w:rPr>
                <w:rFonts w:ascii="Times New Roman" w:hAnsi="Times New Roman" w:eastAsia="Times New Roman"/>
                <w:b w:val="0"/>
                <w:sz w:val="18"/>
              </w:rPr>
              <w:t>action and outcome</w:t>
            </w:r>
          </w:p>
        </w:tc>
        <w:tc>
          <w:tcPr>
            <w:tcW w:type="dxa" w:w="5783"/>
            <w:vAlign w:val="center"/>
          </w:tcPr>
          <w:p>
            <w:pPr>
              <w:jc w:val="left"/>
            </w:pPr>
            <w:r/>
            <w:r>
              <w:rPr>
                <w:rFonts w:ascii="Times New Roman" w:hAnsi="Times New Roman" w:eastAsia="Times New Roman"/>
                <w:b w:val="0"/>
                <w:sz w:val="18"/>
              </w:rPr>
              <w:t>Expresses what occurred and whether it succeeded, failed, or was denied</w:t>
            </w:r>
          </w:p>
        </w:tc>
      </w:tr>
      <w:tr>
        <w:trPr>
          <w:cantSplit/>
        </w:trPr>
        <w:tc>
          <w:tcPr>
            <w:tcW w:type="dxa" w:w="3005"/>
            <w:vAlign w:val="center"/>
          </w:tcPr>
          <w:p>
            <w:pPr>
              <w:jc w:val="left"/>
            </w:pPr>
            <w:r/>
            <w:r>
              <w:rPr>
                <w:rFonts w:ascii="Times New Roman" w:hAnsi="Times New Roman" w:eastAsia="Times New Roman"/>
                <w:b w:val="0"/>
                <w:sz w:val="18"/>
              </w:rPr>
              <w:t>resource_type and resource_id</w:t>
            </w:r>
          </w:p>
        </w:tc>
        <w:tc>
          <w:tcPr>
            <w:tcW w:type="dxa" w:w="5783"/>
            <w:vAlign w:val="center"/>
          </w:tcPr>
          <w:p>
            <w:pPr>
              <w:jc w:val="left"/>
            </w:pPr>
            <w:r/>
            <w:r>
              <w:rPr>
                <w:rFonts w:ascii="Times New Roman" w:hAnsi="Times New Roman" w:eastAsia="Times New Roman"/>
                <w:b w:val="0"/>
                <w:sz w:val="18"/>
              </w:rPr>
              <w:t>Identifies the affected protected object</w:t>
            </w:r>
          </w:p>
        </w:tc>
      </w:tr>
      <w:tr>
        <w:trPr>
          <w:cantSplit/>
        </w:trPr>
        <w:tc>
          <w:tcPr>
            <w:tcW w:type="dxa" w:w="3005"/>
            <w:vAlign w:val="center"/>
          </w:tcPr>
          <w:p>
            <w:pPr>
              <w:jc w:val="left"/>
            </w:pPr>
            <w:r/>
            <w:r>
              <w:rPr>
                <w:rFonts w:ascii="Times New Roman" w:hAnsi="Times New Roman" w:eastAsia="Times New Roman"/>
                <w:b w:val="0"/>
                <w:sz w:val="18"/>
              </w:rPr>
              <w:t>http_method and endpoint</w:t>
            </w:r>
          </w:p>
        </w:tc>
        <w:tc>
          <w:tcPr>
            <w:tcW w:type="dxa" w:w="5783"/>
            <w:vAlign w:val="center"/>
          </w:tcPr>
          <w:p>
            <w:pPr>
              <w:jc w:val="left"/>
            </w:pPr>
            <w:r/>
            <w:r>
              <w:rPr>
                <w:rFonts w:ascii="Times New Roman" w:hAnsi="Times New Roman" w:eastAsia="Times New Roman"/>
                <w:b w:val="0"/>
                <w:sz w:val="18"/>
              </w:rPr>
              <w:t>Links the event to the invoked application operation</w:t>
            </w:r>
          </w:p>
        </w:tc>
      </w:tr>
      <w:tr>
        <w:trPr>
          <w:cantSplit/>
        </w:trPr>
        <w:tc>
          <w:tcPr>
            <w:tcW w:type="dxa" w:w="3005"/>
            <w:vAlign w:val="center"/>
          </w:tcPr>
          <w:p>
            <w:pPr>
              <w:jc w:val="left"/>
            </w:pPr>
            <w:r/>
            <w:r>
              <w:rPr>
                <w:rFonts w:ascii="Times New Roman" w:hAnsi="Times New Roman" w:eastAsia="Times New Roman"/>
                <w:b w:val="0"/>
                <w:sz w:val="18"/>
              </w:rPr>
              <w:t>ip_address and user_agent</w:t>
            </w:r>
          </w:p>
        </w:tc>
        <w:tc>
          <w:tcPr>
            <w:tcW w:type="dxa" w:w="5783"/>
            <w:vAlign w:val="center"/>
          </w:tcPr>
          <w:p>
            <w:pPr>
              <w:jc w:val="left"/>
            </w:pPr>
            <w:r/>
            <w:r>
              <w:rPr>
                <w:rFonts w:ascii="Times New Roman" w:hAnsi="Times New Roman" w:eastAsia="Times New Roman"/>
                <w:b w:val="0"/>
                <w:sz w:val="18"/>
              </w:rPr>
              <w:t>Provides request-origin and client context</w:t>
            </w:r>
          </w:p>
        </w:tc>
      </w:tr>
      <w:tr>
        <w:trPr>
          <w:cantSplit/>
        </w:trPr>
        <w:tc>
          <w:tcPr>
            <w:tcW w:type="dxa" w:w="3005"/>
            <w:vAlign w:val="center"/>
          </w:tcPr>
          <w:p>
            <w:pPr>
              <w:jc w:val="left"/>
            </w:pPr>
            <w:r/>
            <w:r>
              <w:rPr>
                <w:rFonts w:ascii="Times New Roman" w:hAnsi="Times New Roman" w:eastAsia="Times New Roman"/>
                <w:b w:val="0"/>
                <w:sz w:val="18"/>
              </w:rPr>
              <w:t>details</w:t>
            </w:r>
          </w:p>
        </w:tc>
        <w:tc>
          <w:tcPr>
            <w:tcW w:type="dxa" w:w="5783"/>
            <w:vAlign w:val="center"/>
          </w:tcPr>
          <w:p>
            <w:pPr>
              <w:jc w:val="left"/>
            </w:pPr>
            <w:r/>
            <w:r>
              <w:rPr>
                <w:rFonts w:ascii="Times New Roman" w:hAnsi="Times New Roman" w:eastAsia="Times New Roman"/>
                <w:b w:val="0"/>
                <w:sz w:val="18"/>
              </w:rPr>
              <w:t>Stores structured non-sensitive contextual data as JSON text</w:t>
            </w:r>
          </w:p>
        </w:tc>
      </w:tr>
      <w:tr>
        <w:trPr>
          <w:cantSplit/>
        </w:trPr>
        <w:tc>
          <w:tcPr>
            <w:tcW w:type="dxa" w:w="3005"/>
            <w:vAlign w:val="center"/>
          </w:tcPr>
          <w:p>
            <w:pPr>
              <w:jc w:val="left"/>
            </w:pPr>
            <w:r/>
            <w:r>
              <w:rPr>
                <w:rFonts w:ascii="Times New Roman" w:hAnsi="Times New Roman" w:eastAsia="Times New Roman"/>
                <w:b w:val="0"/>
                <w:sz w:val="18"/>
              </w:rPr>
              <w:t>created_at</w:t>
            </w:r>
          </w:p>
        </w:tc>
        <w:tc>
          <w:tcPr>
            <w:tcW w:type="dxa" w:w="5783"/>
            <w:vAlign w:val="center"/>
          </w:tcPr>
          <w:p>
            <w:pPr>
              <w:jc w:val="left"/>
            </w:pPr>
            <w:r/>
            <w:r>
              <w:rPr>
                <w:rFonts w:ascii="Times New Roman" w:hAnsi="Times New Roman" w:eastAsia="Times New Roman"/>
                <w:b w:val="0"/>
                <w:sz w:val="18"/>
              </w:rPr>
              <w:t>Provides a server-side timestamp for chronology</w:t>
            </w:r>
          </w:p>
        </w:tc>
      </w:tr>
    </w:tbl>
    <w:p/>
    <w:p>
      <w:pPr>
        <w:pStyle w:val="Heading2"/>
      </w:pPr>
      <w:r>
        <w:t>5.2 Safe audit recording</w:t>
      </w:r>
    </w:p>
    <w:p>
      <w:r>
        <w:t>The audit service explicitly states that passwords, JWTs, authorization headers, and file contents must not be included in audit details. The safe_record_event method rolls back an audit transaction and returns None if logging fails, preventing an audit failure from interrupting the primary healthcare operation. This favors service availability, but it also introduces a risk of silent audit gaps. A production enhancement should emit a secondary operational alert or metric whenever an audit write fails.</w:t>
      </w:r>
    </w:p>
    <w:p>
      <w:pPr>
        <w:pStyle w:val="Heading2"/>
      </w:pPr>
      <w:r>
        <w:t>5.3 Diagnostic-report audit validation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3912"/>
            <w:vAlign w:val="center"/>
            <w:shd w:fill="D9E1F2"/>
          </w:tcPr>
          <w:p>
            <w:pPr>
              <w:jc w:val="left"/>
            </w:pPr>
            <w:r/>
            <w:r>
              <w:rPr>
                <w:rFonts w:ascii="Times New Roman" w:hAnsi="Times New Roman" w:eastAsia="Times New Roman"/>
                <w:b/>
                <w:sz w:val="17"/>
              </w:rPr>
              <w:t>Test</w:t>
            </w:r>
          </w:p>
        </w:tc>
        <w:tc>
          <w:tcPr>
            <w:tcW w:type="dxa" w:w="1871"/>
            <w:vAlign w:val="center"/>
            <w:shd w:fill="D9E1F2"/>
          </w:tcPr>
          <w:p>
            <w:pPr>
              <w:jc w:val="left"/>
            </w:pPr>
            <w:r/>
            <w:r>
              <w:rPr>
                <w:rFonts w:ascii="Times New Roman" w:hAnsi="Times New Roman" w:eastAsia="Times New Roman"/>
                <w:b/>
                <w:sz w:val="17"/>
              </w:rPr>
              <w:t>Expected</w:t>
            </w:r>
          </w:p>
        </w:tc>
        <w:tc>
          <w:tcPr>
            <w:tcW w:type="dxa" w:w="1871"/>
            <w:vAlign w:val="center"/>
            <w:shd w:fill="D9E1F2"/>
          </w:tcPr>
          <w:p>
            <w:pPr>
              <w:jc w:val="left"/>
            </w:pPr>
            <w:r/>
            <w:r>
              <w:rPr>
                <w:rFonts w:ascii="Times New Roman" w:hAnsi="Times New Roman" w:eastAsia="Times New Roman"/>
                <w:b/>
                <w:sz w:val="17"/>
              </w:rPr>
              <w:t>Actual</w:t>
            </w:r>
          </w:p>
        </w:tc>
        <w:tc>
          <w:tcPr>
            <w:tcW w:type="dxa" w:w="1247"/>
            <w:vAlign w:val="center"/>
            <w:shd w:fill="D9E1F2"/>
          </w:tcPr>
          <w:p>
            <w:pPr>
              <w:jc w:val="left"/>
            </w:pPr>
            <w:r/>
            <w:r>
              <w:rPr>
                <w:rFonts w:ascii="Times New Roman" w:hAnsi="Times New Roman" w:eastAsia="Times New Roman"/>
                <w:b/>
                <w:sz w:val="17"/>
              </w:rPr>
              <w:t>Result</w:t>
            </w:r>
          </w:p>
        </w:tc>
      </w:tr>
      <w:tr>
        <w:trPr>
          <w:cantSplit/>
        </w:trPr>
        <w:tc>
          <w:tcPr>
            <w:tcW w:type="dxa" w:w="3912"/>
            <w:vAlign w:val="center"/>
          </w:tcPr>
          <w:p>
            <w:pPr>
              <w:jc w:val="left"/>
            </w:pPr>
            <w:r/>
            <w:r>
              <w:rPr>
                <w:rFonts w:ascii="Times New Roman" w:hAnsi="Times New Roman" w:eastAsia="Times New Roman"/>
                <w:b w:val="0"/>
                <w:sz w:val="17"/>
              </w:rPr>
              <w:t>Diagnostic report E2E test</w:t>
            </w:r>
          </w:p>
        </w:tc>
        <w:tc>
          <w:tcPr>
            <w:tcW w:type="dxa" w:w="1871"/>
            <w:vAlign w:val="center"/>
          </w:tcPr>
          <w:p>
            <w:pPr>
              <w:jc w:val="left"/>
            </w:pPr>
            <w:r/>
            <w:r>
              <w:rPr>
                <w:rFonts w:ascii="Times New Roman" w:hAnsi="Times New Roman" w:eastAsia="Times New Roman"/>
                <w:b w:val="0"/>
                <w:sz w:val="17"/>
              </w:rPr>
              <w:t>exit code 0</w:t>
            </w:r>
          </w:p>
        </w:tc>
        <w:tc>
          <w:tcPr>
            <w:tcW w:type="dxa" w:w="1871"/>
            <w:vAlign w:val="center"/>
          </w:tcPr>
          <w:p>
            <w:pPr>
              <w:jc w:val="left"/>
            </w:pPr>
            <w:r/>
            <w:r>
              <w:rPr>
                <w:rFonts w:ascii="Times New Roman" w:hAnsi="Times New Roman" w:eastAsia="Times New Roman"/>
                <w:b w:val="0"/>
                <w:sz w:val="17"/>
              </w:rPr>
              <w:t>exit code 0</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New audit records</w:t>
            </w:r>
          </w:p>
        </w:tc>
        <w:tc>
          <w:tcPr>
            <w:tcW w:type="dxa" w:w="1871"/>
            <w:vAlign w:val="center"/>
          </w:tcPr>
          <w:p>
            <w:pPr>
              <w:jc w:val="left"/>
            </w:pPr>
            <w:r/>
            <w:r>
              <w:rPr>
                <w:rFonts w:ascii="Times New Roman" w:hAnsi="Times New Roman" w:eastAsia="Times New Roman"/>
                <w:b w:val="0"/>
                <w:sz w:val="17"/>
              </w:rPr>
              <w:t>at least 6</w:t>
            </w:r>
          </w:p>
        </w:tc>
        <w:tc>
          <w:tcPr>
            <w:tcW w:type="dxa" w:w="1871"/>
            <w:vAlign w:val="center"/>
          </w:tcPr>
          <w:p>
            <w:pPr>
              <w:jc w:val="left"/>
            </w:pPr>
            <w:r/>
            <w:r>
              <w:rPr>
                <w:rFonts w:ascii="Times New Roman" w:hAnsi="Times New Roman" w:eastAsia="Times New Roman"/>
                <w:b w:val="0"/>
                <w:sz w:val="17"/>
              </w:rPr>
              <w:t>6</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ACCESS_DENIED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LOGIN_SUCCESS</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REPORT_DOWNLOAD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REPORT_READ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REPORT_UPLOAD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Diagnostic report audit context</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Diagnostic report cleanup</w:t>
            </w:r>
          </w:p>
        </w:tc>
        <w:tc>
          <w:tcPr>
            <w:tcW w:type="dxa" w:w="1871"/>
            <w:vAlign w:val="center"/>
          </w:tcPr>
          <w:p>
            <w:pPr>
              <w:jc w:val="left"/>
            </w:pPr>
            <w:r/>
            <w:r>
              <w:rPr>
                <w:rFonts w:ascii="Times New Roman" w:hAnsi="Times New Roman" w:eastAsia="Times New Roman"/>
                <w:b w:val="0"/>
                <w:sz w:val="17"/>
              </w:rPr>
              <w:t>5</w:t>
            </w:r>
          </w:p>
        </w:tc>
        <w:tc>
          <w:tcPr>
            <w:tcW w:type="dxa" w:w="1871"/>
            <w:vAlign w:val="center"/>
          </w:tcPr>
          <w:p>
            <w:pPr>
              <w:jc w:val="left"/>
            </w:pPr>
            <w:r/>
            <w:r>
              <w:rPr>
                <w:rFonts w:ascii="Times New Roman" w:hAnsi="Times New Roman" w:eastAsia="Times New Roman"/>
                <w:b w:val="0"/>
                <w:sz w:val="17"/>
              </w:rPr>
              <w:t>5</w:t>
            </w:r>
          </w:p>
        </w:tc>
        <w:tc>
          <w:tcPr>
            <w:tcW w:type="dxa" w:w="1247"/>
            <w:vAlign w:val="center"/>
          </w:tcPr>
          <w:p>
            <w:pPr>
              <w:jc w:val="left"/>
            </w:pPr>
            <w:r/>
            <w:r>
              <w:rPr>
                <w:rFonts w:ascii="Times New Roman" w:hAnsi="Times New Roman" w:eastAsia="Times New Roman"/>
                <w:b w:val="0"/>
                <w:sz w:val="17"/>
              </w:rPr>
              <w:t>PASS</w:t>
            </w:r>
          </w:p>
        </w:tc>
      </w:tr>
    </w:tbl>
    <w:p/>
    <w:p>
      <w:r>
        <w:t>The diagnostic-report end-to-end security test created six new audit records and confirmed ACCESS_DENIED, LOGIN_SUCCESS, REPORT_UPLOAD, REPORT_READ, and REPORT_DOWNLOAD actions. It also verified report-specific context and cleanup. All nine checks passed.</w:t>
      </w:r>
    </w:p>
    <w:p>
      <w:pPr>
        <w:pStyle w:val="Heading1"/>
      </w:pPr>
      <w:r>
        <w:t>6. HTTP and Application-Layer Hardening</w:t>
      </w:r>
    </w:p>
    <w:p>
      <w:pPr>
        <w:pStyle w:val="Heading2"/>
      </w:pPr>
      <w:r>
        <w:t>6.1 Security headers</w:t>
      </w:r>
    </w:p>
    <w:p>
      <w:r>
        <w:t>The application adds defensive HTTP headers to every response. These controls reduce browser-side content interpretation, framing, referrer disclosure, permission use, caching, and content-loading risks. In production mode, the application also adds Strict-Transport-Security.</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948"/>
            <w:vAlign w:val="center"/>
            <w:shd w:fill="D9E1F2"/>
          </w:tcPr>
          <w:p>
            <w:pPr>
              <w:jc w:val="left"/>
            </w:pPr>
            <w:r/>
            <w:r>
              <w:rPr>
                <w:rFonts w:ascii="Times New Roman" w:hAnsi="Times New Roman" w:eastAsia="Times New Roman"/>
                <w:b/>
                <w:sz w:val="16"/>
              </w:rPr>
              <w:t>Control or test</w:t>
            </w:r>
          </w:p>
        </w:tc>
        <w:tc>
          <w:tcPr>
            <w:tcW w:type="dxa" w:w="2154"/>
            <w:vAlign w:val="center"/>
            <w:shd w:fill="D9E1F2"/>
          </w:tcPr>
          <w:p>
            <w:pPr>
              <w:jc w:val="left"/>
            </w:pPr>
            <w:r/>
            <w:r>
              <w:rPr>
                <w:rFonts w:ascii="Times New Roman" w:hAnsi="Times New Roman" w:eastAsia="Times New Roman"/>
                <w:b/>
                <w:sz w:val="16"/>
              </w:rPr>
              <w:t>Expected</w:t>
            </w:r>
          </w:p>
        </w:tc>
        <w:tc>
          <w:tcPr>
            <w:tcW w:type="dxa" w:w="2835"/>
            <w:vAlign w:val="center"/>
            <w:shd w:fill="D9E1F2"/>
          </w:tcPr>
          <w:p>
            <w:pPr>
              <w:jc w:val="left"/>
            </w:pPr>
            <w:r/>
            <w:r>
              <w:rPr>
                <w:rFonts w:ascii="Times New Roman" w:hAnsi="Times New Roman" w:eastAsia="Times New Roman"/>
                <w:b/>
                <w:sz w:val="16"/>
              </w:rPr>
              <w:t>Observed</w:t>
            </w:r>
          </w:p>
        </w:tc>
        <w:tc>
          <w:tcPr>
            <w:tcW w:type="dxa" w:w="1134"/>
            <w:vAlign w:val="center"/>
            <w:shd w:fill="D9E1F2"/>
          </w:tcPr>
          <w:p>
            <w:pPr>
              <w:jc w:val="left"/>
            </w:pPr>
            <w:r/>
            <w:r>
              <w:rPr>
                <w:rFonts w:ascii="Times New Roman" w:hAnsi="Times New Roman" w:eastAsia="Times New Roman"/>
                <w:b/>
                <w:sz w:val="16"/>
              </w:rPr>
              <w:t>Result</w:t>
            </w:r>
          </w:p>
        </w:tc>
      </w:tr>
      <w:tr>
        <w:trPr>
          <w:cantSplit/>
        </w:trPr>
        <w:tc>
          <w:tcPr>
            <w:tcW w:type="dxa" w:w="2948"/>
            <w:vAlign w:val="center"/>
          </w:tcPr>
          <w:p>
            <w:pPr>
              <w:jc w:val="left"/>
            </w:pPr>
            <w:r/>
            <w:r>
              <w:rPr>
                <w:rFonts w:ascii="Times New Roman" w:hAnsi="Times New Roman" w:eastAsia="Times New Roman"/>
                <w:b w:val="0"/>
                <w:sz w:val="16"/>
              </w:rPr>
              <w:t>Backend health</w:t>
            </w:r>
          </w:p>
        </w:tc>
        <w:tc>
          <w:tcPr>
            <w:tcW w:type="dxa" w:w="2154"/>
            <w:vAlign w:val="center"/>
          </w:tcPr>
          <w:p>
            <w:pPr>
              <w:jc w:val="left"/>
            </w:pPr>
            <w:r/>
            <w:r>
              <w:rPr>
                <w:rFonts w:ascii="Times New Roman" w:hAnsi="Times New Roman" w:eastAsia="Times New Roman"/>
                <w:b w:val="0"/>
                <w:sz w:val="16"/>
              </w:rPr>
              <w:t>HTTP 200</w:t>
            </w:r>
          </w:p>
        </w:tc>
        <w:tc>
          <w:tcPr>
            <w:tcW w:type="dxa" w:w="2835"/>
            <w:vAlign w:val="center"/>
          </w:tcPr>
          <w:p>
            <w:pPr>
              <w:jc w:val="left"/>
            </w:pPr>
            <w:r/>
            <w:r>
              <w:rPr>
                <w:rFonts w:ascii="Times New Roman" w:hAnsi="Times New Roman" w:eastAsia="Times New Roman"/>
                <w:b w:val="0"/>
                <w:sz w:val="16"/>
              </w:rPr>
              <w:t>HTTP 200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X-Content-Type-Options</w:t>
            </w:r>
          </w:p>
        </w:tc>
        <w:tc>
          <w:tcPr>
            <w:tcW w:type="dxa" w:w="2154"/>
            <w:vAlign w:val="center"/>
          </w:tcPr>
          <w:p>
            <w:pPr>
              <w:jc w:val="left"/>
            </w:pPr>
            <w:r/>
            <w:r>
              <w:rPr>
                <w:rFonts w:ascii="Times New Roman" w:hAnsi="Times New Roman" w:eastAsia="Times New Roman"/>
                <w:b w:val="0"/>
                <w:sz w:val="16"/>
              </w:rPr>
              <w:t>nosniff</w:t>
            </w:r>
          </w:p>
        </w:tc>
        <w:tc>
          <w:tcPr>
            <w:tcW w:type="dxa" w:w="2835"/>
            <w:vAlign w:val="center"/>
          </w:tcPr>
          <w:p>
            <w:pPr>
              <w:jc w:val="left"/>
            </w:pPr>
            <w:r/>
            <w:r>
              <w:rPr>
                <w:rFonts w:ascii="Times New Roman" w:hAnsi="Times New Roman" w:eastAsia="Times New Roman"/>
                <w:b w:val="0"/>
                <w:sz w:val="16"/>
              </w:rPr>
              <w:t>nosniff</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X-Frame-Options</w:t>
            </w:r>
          </w:p>
        </w:tc>
        <w:tc>
          <w:tcPr>
            <w:tcW w:type="dxa" w:w="2154"/>
            <w:vAlign w:val="center"/>
          </w:tcPr>
          <w:p>
            <w:pPr>
              <w:jc w:val="left"/>
            </w:pPr>
            <w:r/>
            <w:r>
              <w:rPr>
                <w:rFonts w:ascii="Times New Roman" w:hAnsi="Times New Roman" w:eastAsia="Times New Roman"/>
                <w:b w:val="0"/>
                <w:sz w:val="16"/>
              </w:rPr>
              <w:t>DENY</w:t>
            </w:r>
          </w:p>
        </w:tc>
        <w:tc>
          <w:tcPr>
            <w:tcW w:type="dxa" w:w="2835"/>
            <w:vAlign w:val="center"/>
          </w:tcPr>
          <w:p>
            <w:pPr>
              <w:jc w:val="left"/>
            </w:pPr>
            <w:r/>
            <w:r>
              <w:rPr>
                <w:rFonts w:ascii="Times New Roman" w:hAnsi="Times New Roman" w:eastAsia="Times New Roman"/>
                <w:b w:val="0"/>
                <w:sz w:val="16"/>
              </w:rPr>
              <w:t>DENY</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Referrer-Policy</w:t>
            </w:r>
          </w:p>
        </w:tc>
        <w:tc>
          <w:tcPr>
            <w:tcW w:type="dxa" w:w="2154"/>
            <w:vAlign w:val="center"/>
          </w:tcPr>
          <w:p>
            <w:pPr>
              <w:jc w:val="left"/>
            </w:pPr>
            <w:r/>
            <w:r>
              <w:rPr>
                <w:rFonts w:ascii="Times New Roman" w:hAnsi="Times New Roman" w:eastAsia="Times New Roman"/>
                <w:b w:val="0"/>
                <w:sz w:val="16"/>
              </w:rPr>
              <w:t>no-referrer</w:t>
            </w:r>
          </w:p>
        </w:tc>
        <w:tc>
          <w:tcPr>
            <w:tcW w:type="dxa" w:w="2835"/>
            <w:vAlign w:val="center"/>
          </w:tcPr>
          <w:p>
            <w:pPr>
              <w:jc w:val="left"/>
            </w:pPr>
            <w:r/>
            <w:r>
              <w:rPr>
                <w:rFonts w:ascii="Times New Roman" w:hAnsi="Times New Roman" w:eastAsia="Times New Roman"/>
                <w:b w:val="0"/>
                <w:sz w:val="16"/>
              </w:rPr>
              <w:t>no-referrer</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Content-Security-Policy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default-src 'none'; frame-ancestors 'none'; base-uri 'none'; form-action 'none'</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Permissions-Policy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camera=(), microphone=(), geolocation=()</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Strict-Transport-Security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max-age=31536000; includeSubDomains</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Cache-Control</w:t>
            </w:r>
          </w:p>
        </w:tc>
        <w:tc>
          <w:tcPr>
            <w:tcW w:type="dxa" w:w="2154"/>
            <w:vAlign w:val="center"/>
          </w:tcPr>
          <w:p>
            <w:pPr>
              <w:jc w:val="left"/>
            </w:pPr>
            <w:r/>
            <w:r>
              <w:rPr>
                <w:rFonts w:ascii="Times New Roman" w:hAnsi="Times New Roman" w:eastAsia="Times New Roman"/>
                <w:b w:val="0"/>
                <w:sz w:val="16"/>
              </w:rPr>
              <w:t>contains no-store</w:t>
            </w:r>
          </w:p>
        </w:tc>
        <w:tc>
          <w:tcPr>
            <w:tcW w:type="dxa" w:w="2835"/>
            <w:vAlign w:val="center"/>
          </w:tcPr>
          <w:p>
            <w:pPr>
              <w:jc w:val="left"/>
            </w:pPr>
            <w:r/>
            <w:r>
              <w:rPr>
                <w:rFonts w:ascii="Times New Roman" w:hAnsi="Times New Roman" w:eastAsia="Times New Roman"/>
                <w:b w:val="0"/>
                <w:sz w:val="16"/>
              </w:rPr>
              <w:t>no-store</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Server disclosure</w:t>
            </w:r>
          </w:p>
        </w:tc>
        <w:tc>
          <w:tcPr>
            <w:tcW w:type="dxa" w:w="2154"/>
            <w:vAlign w:val="center"/>
          </w:tcPr>
          <w:p>
            <w:pPr>
              <w:jc w:val="left"/>
            </w:pPr>
            <w:r/>
            <w:r>
              <w:rPr>
                <w:rFonts w:ascii="Times New Roman" w:hAnsi="Times New Roman" w:eastAsia="Times New Roman"/>
                <w:b w:val="0"/>
                <w:sz w:val="16"/>
              </w:rPr>
              <w:t>uvicorn not disclosed</w:t>
            </w:r>
          </w:p>
        </w:tc>
        <w:tc>
          <w:tcPr>
            <w:tcW w:type="dxa" w:w="2835"/>
            <w:vAlign w:val="center"/>
          </w:tcPr>
          <w:p>
            <w:pPr>
              <w:jc w:val="left"/>
            </w:pPr>
            <w:r/>
            <w:r>
              <w:rPr>
                <w:rFonts w:ascii="Times New Roman" w:hAnsi="Times New Roman" w:eastAsia="Times New Roman"/>
                <w:b w:val="0"/>
                <w:sz w:val="16"/>
              </w:rPr>
              <w:t>absent</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/docs</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/redoc</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/openapi.json</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Trusted CORS origin</w:t>
            </w:r>
          </w:p>
        </w:tc>
        <w:tc>
          <w:tcPr>
            <w:tcW w:type="dxa" w:w="2154"/>
            <w:vAlign w:val="center"/>
          </w:tcPr>
          <w:p>
            <w:pPr>
              <w:jc w:val="left"/>
            </w:pPr>
            <w:r/>
            <w:r>
              <w:rPr>
                <w:rFonts w:ascii="Times New Roman" w:hAnsi="Times New Roman" w:eastAsia="Times New Roman"/>
                <w:b w:val="0"/>
                <w:sz w:val="16"/>
              </w:rPr>
              <w:t>http://localhost:3000</w:t>
            </w:r>
          </w:p>
        </w:tc>
        <w:tc>
          <w:tcPr>
            <w:tcW w:type="dxa" w:w="2835"/>
            <w:vAlign w:val="center"/>
          </w:tcPr>
          <w:p>
            <w:pPr>
              <w:jc w:val="left"/>
            </w:pPr>
            <w:r/>
            <w:r>
              <w:rPr>
                <w:rFonts w:ascii="Times New Roman" w:hAnsi="Times New Roman" w:eastAsia="Times New Roman"/>
                <w:b w:val="0"/>
                <w:sz w:val="16"/>
              </w:rPr>
              <w:t>http://localhost:3000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Untrusted CORS origin</w:t>
            </w:r>
          </w:p>
        </w:tc>
        <w:tc>
          <w:tcPr>
            <w:tcW w:type="dxa" w:w="2154"/>
            <w:vAlign w:val="center"/>
          </w:tcPr>
          <w:p>
            <w:pPr>
              <w:jc w:val="left"/>
            </w:pPr>
            <w:r/>
            <w:r>
              <w:rPr>
                <w:rFonts w:ascii="Times New Roman" w:hAnsi="Times New Roman" w:eastAsia="Times New Roman"/>
                <w:b w:val="0"/>
                <w:sz w:val="16"/>
              </w:rPr>
              <w:t>not allowed</w:t>
            </w:r>
          </w:p>
        </w:tc>
        <w:tc>
          <w:tcPr>
            <w:tcW w:type="dxa" w:w="2835"/>
            <w:vAlign w:val="center"/>
          </w:tcPr>
          <w:p>
            <w:pPr>
              <w:jc w:val="left"/>
            </w:pPr>
            <w:r/>
            <w:r>
              <w:rPr>
                <w:rFonts w:ascii="Times New Roman" w:hAnsi="Times New Roman" w:eastAsia="Times New Roman"/>
                <w:b w:val="0"/>
                <w:sz w:val="16"/>
              </w:rPr>
              <w:t>not allowed</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Trusted Host</w:t>
            </w:r>
          </w:p>
        </w:tc>
        <w:tc>
          <w:tcPr>
            <w:tcW w:type="dxa" w:w="2154"/>
            <w:vAlign w:val="center"/>
          </w:tcPr>
          <w:p>
            <w:pPr>
              <w:jc w:val="left"/>
            </w:pPr>
            <w:r/>
            <w:r>
              <w:rPr>
                <w:rFonts w:ascii="Times New Roman" w:hAnsi="Times New Roman" w:eastAsia="Times New Roman"/>
                <w:b w:val="0"/>
                <w:sz w:val="16"/>
              </w:rPr>
              <w:t>HTTP 200</w:t>
            </w:r>
          </w:p>
        </w:tc>
        <w:tc>
          <w:tcPr>
            <w:tcW w:type="dxa" w:w="2835"/>
            <w:vAlign w:val="center"/>
          </w:tcPr>
          <w:p>
            <w:pPr>
              <w:jc w:val="left"/>
            </w:pPr>
            <w:r/>
            <w:r>
              <w:rPr>
                <w:rFonts w:ascii="Times New Roman" w:hAnsi="Times New Roman" w:eastAsia="Times New Roman"/>
                <w:b w:val="0"/>
                <w:sz w:val="16"/>
              </w:rPr>
              <w:t>HTTP 200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Untrusted Host</w:t>
            </w:r>
          </w:p>
        </w:tc>
        <w:tc>
          <w:tcPr>
            <w:tcW w:type="dxa" w:w="2154"/>
            <w:vAlign w:val="center"/>
          </w:tcPr>
          <w:p>
            <w:pPr>
              <w:jc w:val="left"/>
            </w:pPr>
            <w:r/>
            <w:r>
              <w:rPr>
                <w:rFonts w:ascii="Times New Roman" w:hAnsi="Times New Roman" w:eastAsia="Times New Roman"/>
                <w:b w:val="0"/>
                <w:sz w:val="16"/>
              </w:rPr>
              <w:t>HTTP 400</w:t>
            </w:r>
          </w:p>
        </w:tc>
        <w:tc>
          <w:tcPr>
            <w:tcW w:type="dxa" w:w="2835"/>
            <w:vAlign w:val="center"/>
          </w:tcPr>
          <w:p>
            <w:pPr>
              <w:jc w:val="left"/>
            </w:pPr>
            <w:r/>
            <w:r>
              <w:rPr>
                <w:rFonts w:ascii="Times New Roman" w:hAnsi="Times New Roman" w:eastAsia="Times New Roman"/>
                <w:b w:val="0"/>
                <w:sz w:val="16"/>
              </w:rPr>
              <w:t>HTTP 400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Development configuration restored</w:t>
            </w:r>
          </w:p>
        </w:tc>
        <w:tc>
          <w:tcPr>
            <w:tcW w:type="dxa" w:w="2154"/>
            <w:vAlign w:val="center"/>
          </w:tcPr>
          <w:p>
            <w:pPr>
              <w:jc w:val="left"/>
            </w:pPr>
            <w:r/>
            <w:r>
              <w:rPr>
                <w:rFonts w:ascii="Times New Roman" w:hAnsi="Times New Roman" w:eastAsia="Times New Roman"/>
                <w:b w:val="0"/>
                <w:sz w:val="16"/>
              </w:rPr>
              <w:t>healthy</w:t>
            </w:r>
          </w:p>
        </w:tc>
        <w:tc>
          <w:tcPr>
            <w:tcW w:type="dxa" w:w="2835"/>
            <w:vAlign w:val="center"/>
          </w:tcPr>
          <w:p>
            <w:pPr>
              <w:jc w:val="left"/>
            </w:pPr>
            <w:r/>
            <w:r>
              <w:rPr>
                <w:rFonts w:ascii="Times New Roman" w:hAnsi="Times New Roman" w:eastAsia="Times New Roman"/>
                <w:b w:val="0"/>
                <w:sz w:val="16"/>
              </w:rPr>
              <w:t>healthy</w:t>
            </w:r>
          </w:p>
        </w:tc>
        <w:tc>
          <w:tcPr>
            <w:tcW w:type="dxa" w:w="1134"/>
            <w:vAlign w:val="center"/>
          </w:tcPr>
          <w:p>
            <w:pPr>
              <w:jc w:val="left"/>
            </w:pPr>
            <w:r/>
            <w:r>
              <w:rPr>
                <w:rFonts w:ascii="Times New Roman" w:hAnsi="Times New Roman" w:eastAsia="Times New Roman"/>
                <w:b w:val="0"/>
                <w:sz w:val="16"/>
              </w:rPr>
              <w:t>PASS</w:t>
            </w:r>
          </w:p>
        </w:tc>
      </w:tr>
    </w:tbl>
    <w:p/>
    <w:p>
      <w:pPr>
        <w:pStyle w:val="Heading2"/>
      </w:pPr>
      <w:r>
        <w:t>6.2 CORS, Trusted Hosts, and production documentation</w:t>
      </w:r>
    </w:p>
    <w:p>
      <w:r>
        <w:t>CORS is configured as an allow-list rather than a wildcard policy. The validation confirmed that the trusted localhost origin was accepted and an untrusted origin was not allowed. In production, TrustedHostMiddleware restricts accepted Host headers. The trusted host returned HTTP 200, while an untrusted host returned HTTP 400.</w:t>
      </w:r>
    </w:p>
    <w:p>
      <w:r>
        <w:t>Interactive API documentation, ReDoc, and the OpenAPI document are disabled when the application runs in production. The corresponding routes returned HTTP 404 in the security test. This reduces unnecessary production exposure, although operational teams may choose to provide authenticated internal documentation through a separate channel.</w:t>
      </w:r>
    </w:p>
    <w:p>
      <w:pPr>
        <w:pStyle w:val="Heading2"/>
      </w:pPr>
      <w:r>
        <w:t>6.3 HSTS interpretation</w:t>
      </w:r>
    </w:p>
    <w:p>
      <w:r>
        <w:t>The test confirms the presence of the HSTS header. However, HSTS provides meaningful browser protection only when the application is delivered over HTTPS. The current local deployment uses HTTP on localhost. Consequently, the test establishes correct header configuration, not completed TLS deployment. TLS termination and certificate validation must be retested on the future UESTC or external server.</w:t>
      </w:r>
    </w:p>
    <w:p>
      <w:pPr>
        <w:pStyle w:val="Heading1"/>
      </w:pPr>
      <w:r>
        <w:t>7. Container and Network Isolation</w:t>
      </w:r>
    </w:p>
    <w:p>
      <w:r>
        <w:t>The production Docker Compose configuration separates an edge network from an internal data network. Nginx is attached only to the edge network. PostgreSQL and MinIO are attached only to the data network, which is declared internal. The backend is the sole service connected to both networks. PostgreSQL and MinIO are not published directly to the host, while Nginx is the only publicly mapped entry point in the local production topology.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814"/>
            <w:vAlign w:val="center"/>
            <w:shd w:fill="D9E1F2"/>
          </w:tcPr>
          <w:p>
            <w:pPr>
              <w:jc w:val="left"/>
            </w:pPr>
            <w:r/>
            <w:r>
              <w:rPr>
                <w:rFonts w:ascii="Times New Roman" w:hAnsi="Times New Roman" w:eastAsia="Times New Roman"/>
                <w:b/>
                <w:sz w:val="17"/>
              </w:rPr>
              <w:t>Service</w:t>
            </w:r>
          </w:p>
        </w:tc>
        <w:tc>
          <w:tcPr>
            <w:tcW w:type="dxa" w:w="3628"/>
            <w:vAlign w:val="center"/>
            <w:shd w:fill="D9E1F2"/>
          </w:tcPr>
          <w:p>
            <w:pPr>
              <w:jc w:val="left"/>
            </w:pPr>
            <w:r/>
            <w:r>
              <w:rPr>
                <w:rFonts w:ascii="Times New Roman" w:hAnsi="Times New Roman" w:eastAsia="Times New Roman"/>
                <w:b/>
                <w:sz w:val="17"/>
              </w:rPr>
              <w:t>Network exposure</w:t>
            </w:r>
          </w:p>
        </w:tc>
        <w:tc>
          <w:tcPr>
            <w:tcW w:type="dxa" w:w="3515"/>
            <w:vAlign w:val="center"/>
            <w:shd w:fill="D9E1F2"/>
          </w:tcPr>
          <w:p>
            <w:pPr>
              <w:jc w:val="left"/>
            </w:pPr>
            <w:r/>
            <w:r>
              <w:rPr>
                <w:rFonts w:ascii="Times New Roman" w:hAnsi="Times New Roman" w:eastAsia="Times New Roman"/>
                <w:b/>
                <w:sz w:val="17"/>
              </w:rPr>
              <w:t>Security implication</w:t>
            </w:r>
          </w:p>
        </w:tc>
      </w:tr>
      <w:tr>
        <w:trPr>
          <w:cantSplit/>
        </w:trPr>
        <w:tc>
          <w:tcPr>
            <w:tcW w:type="dxa" w:w="1814"/>
            <w:vAlign w:val="center"/>
          </w:tcPr>
          <w:p>
            <w:pPr>
              <w:jc w:val="left"/>
            </w:pPr>
            <w:r/>
            <w:r>
              <w:rPr>
                <w:rFonts w:ascii="Times New Roman" w:hAnsi="Times New Roman" w:eastAsia="Times New Roman"/>
                <w:b w:val="0"/>
                <w:sz w:val="17"/>
              </w:rPr>
              <w:t>Nginx</w:t>
            </w:r>
          </w:p>
        </w:tc>
        <w:tc>
          <w:tcPr>
            <w:tcW w:type="dxa" w:w="3628"/>
            <w:vAlign w:val="center"/>
          </w:tcPr>
          <w:p>
            <w:pPr>
              <w:jc w:val="left"/>
            </w:pPr>
            <w:r/>
            <w:r>
              <w:rPr>
                <w:rFonts w:ascii="Times New Roman" w:hAnsi="Times New Roman" w:eastAsia="Times New Roman"/>
                <w:b w:val="0"/>
                <w:sz w:val="17"/>
              </w:rPr>
              <w:t>Edge network; host port 8080 mapped to container port 80</w:t>
            </w:r>
          </w:p>
        </w:tc>
        <w:tc>
          <w:tcPr>
            <w:tcW w:type="dxa" w:w="3515"/>
            <w:vAlign w:val="center"/>
          </w:tcPr>
          <w:p>
            <w:pPr>
              <w:jc w:val="left"/>
            </w:pPr>
            <w:r/>
            <w:r>
              <w:rPr>
                <w:rFonts w:ascii="Times New Roman" w:hAnsi="Times New Roman" w:eastAsia="Times New Roman"/>
                <w:b w:val="0"/>
                <w:sz w:val="17"/>
              </w:rPr>
              <w:t>Controlled reverse-proxy entry point</w:t>
            </w:r>
          </w:p>
        </w:tc>
      </w:tr>
      <w:tr>
        <w:trPr>
          <w:cantSplit/>
        </w:trPr>
        <w:tc>
          <w:tcPr>
            <w:tcW w:type="dxa" w:w="1814"/>
            <w:vAlign w:val="center"/>
          </w:tcPr>
          <w:p>
            <w:pPr>
              <w:jc w:val="left"/>
            </w:pPr>
            <w:r/>
            <w:r>
              <w:rPr>
                <w:rFonts w:ascii="Times New Roman" w:hAnsi="Times New Roman" w:eastAsia="Times New Roman"/>
                <w:b w:val="0"/>
                <w:sz w:val="17"/>
              </w:rPr>
              <w:t>FastAPI backend</w:t>
            </w:r>
          </w:p>
        </w:tc>
        <w:tc>
          <w:tcPr>
            <w:tcW w:type="dxa" w:w="3628"/>
            <w:vAlign w:val="center"/>
          </w:tcPr>
          <w:p>
            <w:pPr>
              <w:jc w:val="left"/>
            </w:pPr>
            <w:r/>
            <w:r>
              <w:rPr>
                <w:rFonts w:ascii="Times New Roman" w:hAnsi="Times New Roman" w:eastAsia="Times New Roman"/>
                <w:b w:val="0"/>
                <w:sz w:val="17"/>
              </w:rPr>
              <w:t>Edge and internal data networks; port 8000 exposed only to containers</w:t>
            </w:r>
          </w:p>
        </w:tc>
        <w:tc>
          <w:tcPr>
            <w:tcW w:type="dxa" w:w="3515"/>
            <w:vAlign w:val="center"/>
          </w:tcPr>
          <w:p>
            <w:pPr>
              <w:jc w:val="left"/>
            </w:pPr>
            <w:r/>
            <w:r>
              <w:rPr>
                <w:rFonts w:ascii="Times New Roman" w:hAnsi="Times New Roman" w:eastAsia="Times New Roman"/>
                <w:b w:val="0"/>
                <w:sz w:val="17"/>
              </w:rPr>
              <w:t>Mediates all application access to persistence services</w:t>
            </w:r>
          </w:p>
        </w:tc>
      </w:tr>
      <w:tr>
        <w:trPr>
          <w:cantSplit/>
        </w:trPr>
        <w:tc>
          <w:tcPr>
            <w:tcW w:type="dxa" w:w="1814"/>
            <w:vAlign w:val="center"/>
          </w:tcPr>
          <w:p>
            <w:pPr>
              <w:jc w:val="left"/>
            </w:pPr>
            <w:r/>
            <w:r>
              <w:rPr>
                <w:rFonts w:ascii="Times New Roman" w:hAnsi="Times New Roman" w:eastAsia="Times New Roman"/>
                <w:b w:val="0"/>
                <w:sz w:val="17"/>
              </w:rPr>
              <w:t>PostgreSQL</w:t>
            </w:r>
          </w:p>
        </w:tc>
        <w:tc>
          <w:tcPr>
            <w:tcW w:type="dxa" w:w="3628"/>
            <w:vAlign w:val="center"/>
          </w:tcPr>
          <w:p>
            <w:pPr>
              <w:jc w:val="left"/>
            </w:pPr>
            <w:r/>
            <w:r>
              <w:rPr>
                <w:rFonts w:ascii="Times New Roman" w:hAnsi="Times New Roman" w:eastAsia="Times New Roman"/>
                <w:b w:val="0"/>
                <w:sz w:val="17"/>
              </w:rPr>
              <w:t>Internal data network only; no host port mapping</w:t>
            </w:r>
          </w:p>
        </w:tc>
        <w:tc>
          <w:tcPr>
            <w:tcW w:type="dxa" w:w="3515"/>
            <w:vAlign w:val="center"/>
          </w:tcPr>
          <w:p>
            <w:pPr>
              <w:jc w:val="left"/>
            </w:pPr>
            <w:r/>
            <w:r>
              <w:rPr>
                <w:rFonts w:ascii="Times New Roman" w:hAnsi="Times New Roman" w:eastAsia="Times New Roman"/>
                <w:b w:val="0"/>
                <w:sz w:val="17"/>
              </w:rPr>
              <w:t>Reduces direct database attack surface</w:t>
            </w:r>
          </w:p>
        </w:tc>
      </w:tr>
      <w:tr>
        <w:trPr>
          <w:cantSplit/>
        </w:trPr>
        <w:tc>
          <w:tcPr>
            <w:tcW w:type="dxa" w:w="1814"/>
            <w:vAlign w:val="center"/>
          </w:tcPr>
          <w:p>
            <w:pPr>
              <w:jc w:val="left"/>
            </w:pPr>
            <w:r/>
            <w:r>
              <w:rPr>
                <w:rFonts w:ascii="Times New Roman" w:hAnsi="Times New Roman" w:eastAsia="Times New Roman"/>
                <w:b w:val="0"/>
                <w:sz w:val="17"/>
              </w:rPr>
              <w:t>MinIO</w:t>
            </w:r>
          </w:p>
        </w:tc>
        <w:tc>
          <w:tcPr>
            <w:tcW w:type="dxa" w:w="3628"/>
            <w:vAlign w:val="center"/>
          </w:tcPr>
          <w:p>
            <w:pPr>
              <w:jc w:val="left"/>
            </w:pPr>
            <w:r/>
            <w:r>
              <w:rPr>
                <w:rFonts w:ascii="Times New Roman" w:hAnsi="Times New Roman" w:eastAsia="Times New Roman"/>
                <w:b w:val="0"/>
                <w:sz w:val="17"/>
              </w:rPr>
              <w:t>Internal data network only; no host port mapping</w:t>
            </w:r>
          </w:p>
        </w:tc>
        <w:tc>
          <w:tcPr>
            <w:tcW w:type="dxa" w:w="3515"/>
            <w:vAlign w:val="center"/>
          </w:tcPr>
          <w:p>
            <w:pPr>
              <w:jc w:val="left"/>
            </w:pPr>
            <w:r/>
            <w:r>
              <w:rPr>
                <w:rFonts w:ascii="Times New Roman" w:hAnsi="Times New Roman" w:eastAsia="Times New Roman"/>
                <w:b w:val="0"/>
                <w:sz w:val="17"/>
              </w:rPr>
              <w:t>Prevents direct host or Internet access to object storage</w:t>
            </w:r>
          </w:p>
        </w:tc>
      </w:tr>
    </w:tbl>
    <w:p/>
    <w:p>
      <w:r>
        <w:t>This architecture limits lateral reach from the external boundary. It is not a substitute for database credentials, MinIO credentials, host hardening, patch management, or firewall rules on the future VM, but it provides a defensible default segmentation model.</w:t>
      </w:r>
    </w:p>
    <w:p>
      <w:pPr>
        <w:pStyle w:val="Heading1"/>
      </w:pPr>
      <w:r>
        <w:t>8. Empirical Security Validation</w:t>
      </w:r>
    </w:p>
    <w:p>
      <w:pPr>
        <w:pStyle w:val="Heading2"/>
      </w:pPr>
      <w:r>
        <w:t>8.1 Validation design</w:t>
      </w:r>
    </w:p>
    <w:p>
      <w:r>
        <w:t>The evidence set combines static inspection and executable tests. Static inspection maps route operations to allowed roles and identifies the implementation of password hashing, JWT validation, account-state verification, audit recording, and security headers. Executable tests evaluate authentication failure modes, production HTTP behavior, audit-event generation, storage behavior, backup and restore, and optimized load performance.</w:t>
      </w:r>
    </w:p>
    <w:p>
      <w:pPr>
        <w:pStyle w:val="Heading2"/>
      </w:pPr>
      <w:r>
        <w:t>8.2 Consolidated outcomes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1984"/>
            <w:vAlign w:val="center"/>
            <w:shd w:fill="D9E1F2"/>
          </w:tcPr>
          <w:p>
            <w:pPr>
              <w:jc w:val="left"/>
            </w:pPr>
            <w:r/>
            <w:r>
              <w:rPr>
                <w:rFonts w:ascii="Times New Roman" w:hAnsi="Times New Roman" w:eastAsia="Times New Roman"/>
                <w:b/>
                <w:sz w:val="17"/>
              </w:rPr>
              <w:t>Domain</w:t>
            </w:r>
          </w:p>
        </w:tc>
        <w:tc>
          <w:tcPr>
            <w:tcW w:type="dxa" w:w="4535"/>
            <w:vAlign w:val="center"/>
            <w:shd w:fill="D9E1F2"/>
          </w:tcPr>
          <w:p>
            <w:pPr>
              <w:jc w:val="left"/>
            </w:pPr>
            <w:r/>
            <w:r>
              <w:rPr>
                <w:rFonts w:ascii="Times New Roman" w:hAnsi="Times New Roman" w:eastAsia="Times New Roman"/>
                <w:b/>
                <w:sz w:val="17"/>
              </w:rPr>
              <w:t>Validation</w:t>
            </w:r>
          </w:p>
        </w:tc>
        <w:tc>
          <w:tcPr>
            <w:tcW w:type="dxa" w:w="1304"/>
            <w:vAlign w:val="center"/>
            <w:shd w:fill="D9E1F2"/>
          </w:tcPr>
          <w:p>
            <w:pPr>
              <w:jc w:val="left"/>
            </w:pPr>
            <w:r/>
            <w:r>
              <w:rPr>
                <w:rFonts w:ascii="Times New Roman" w:hAnsi="Times New Roman" w:eastAsia="Times New Roman"/>
                <w:b/>
                <w:sz w:val="17"/>
              </w:rPr>
              <w:t>Checks</w:t>
            </w:r>
          </w:p>
        </w:tc>
        <w:tc>
          <w:tcPr>
            <w:tcW w:type="dxa" w:w="1134"/>
            <w:vAlign w:val="center"/>
            <w:shd w:fill="D9E1F2"/>
          </w:tcPr>
          <w:p>
            <w:pPr>
              <w:jc w:val="left"/>
            </w:pPr>
            <w:r/>
            <w:r>
              <w:rPr>
                <w:rFonts w:ascii="Times New Roman" w:hAnsi="Times New Roman" w:eastAsia="Times New Roman"/>
                <w:b/>
                <w:sz w:val="17"/>
              </w:rPr>
              <w:t>Status</w:t>
            </w:r>
          </w:p>
        </w:tc>
      </w:tr>
      <w:tr>
        <w:trPr>
          <w:cantSplit/>
        </w:trPr>
        <w:tc>
          <w:tcPr>
            <w:tcW w:type="dxa" w:w="1984"/>
            <w:vAlign w:val="center"/>
          </w:tcPr>
          <w:p>
            <w:pPr>
              <w:jc w:val="left"/>
            </w:pPr>
            <w:r/>
            <w:r>
              <w:rPr>
                <w:rFonts w:ascii="Times New Roman" w:hAnsi="Times New Roman" w:eastAsia="Times New Roman"/>
                <w:b w:val="0"/>
                <w:sz w:val="17"/>
              </w:rPr>
              <w:t>Security</w:t>
            </w:r>
          </w:p>
        </w:tc>
        <w:tc>
          <w:tcPr>
            <w:tcW w:type="dxa" w:w="4535"/>
            <w:vAlign w:val="center"/>
          </w:tcPr>
          <w:p>
            <w:pPr>
              <w:jc w:val="left"/>
            </w:pPr>
            <w:r/>
            <w:r>
              <w:rPr>
                <w:rFonts w:ascii="Times New Roman" w:hAnsi="Times New Roman" w:eastAsia="Times New Roman"/>
                <w:b w:val="0"/>
                <w:sz w:val="17"/>
              </w:rPr>
              <w:t>Production HTTP security</w:t>
            </w:r>
          </w:p>
        </w:tc>
        <w:tc>
          <w:tcPr>
            <w:tcW w:type="dxa" w:w="1304"/>
            <w:vAlign w:val="center"/>
          </w:tcPr>
          <w:p>
            <w:pPr>
              <w:jc w:val="left"/>
            </w:pPr>
            <w:r/>
            <w:r>
              <w:rPr>
                <w:rFonts w:ascii="Times New Roman" w:hAnsi="Times New Roman" w:eastAsia="Times New Roman"/>
                <w:b w:val="0"/>
                <w:sz w:val="17"/>
              </w:rPr>
              <w:t>17/17</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Security</w:t>
            </w:r>
          </w:p>
        </w:tc>
        <w:tc>
          <w:tcPr>
            <w:tcW w:type="dxa" w:w="4535"/>
            <w:vAlign w:val="center"/>
          </w:tcPr>
          <w:p>
            <w:pPr>
              <w:jc w:val="left"/>
            </w:pPr>
            <w:r/>
            <w:r>
              <w:rPr>
                <w:rFonts w:ascii="Times New Roman" w:hAnsi="Times New Roman" w:eastAsia="Times New Roman"/>
                <w:b w:val="0"/>
                <w:sz w:val="17"/>
              </w:rPr>
              <w:t>Diagnostic report strict audit</w:t>
            </w:r>
          </w:p>
        </w:tc>
        <w:tc>
          <w:tcPr>
            <w:tcW w:type="dxa" w:w="1304"/>
            <w:vAlign w:val="center"/>
          </w:tcPr>
          <w:p>
            <w:pPr>
              <w:jc w:val="left"/>
            </w:pPr>
            <w:r/>
            <w:r>
              <w:rPr>
                <w:rFonts w:ascii="Times New Roman" w:hAnsi="Times New Roman" w:eastAsia="Times New Roman"/>
                <w:b w:val="0"/>
                <w:sz w:val="17"/>
              </w:rPr>
              <w:t>9/9</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Storage</w:t>
            </w:r>
          </w:p>
        </w:tc>
        <w:tc>
          <w:tcPr>
            <w:tcW w:type="dxa" w:w="4535"/>
            <w:vAlign w:val="center"/>
          </w:tcPr>
          <w:p>
            <w:pPr>
              <w:jc w:val="left"/>
            </w:pPr>
            <w:r/>
            <w:r>
              <w:rPr>
                <w:rFonts w:ascii="Times New Roman" w:hAnsi="Times New Roman" w:eastAsia="Times New Roman"/>
                <w:b w:val="0"/>
                <w:sz w:val="17"/>
              </w:rPr>
              <w:t>Diagnostic report end-to-end storage</w:t>
            </w:r>
          </w:p>
        </w:tc>
        <w:tc>
          <w:tcPr>
            <w:tcW w:type="dxa" w:w="1304"/>
            <w:vAlign w:val="center"/>
          </w:tcPr>
          <w:p>
            <w:pPr>
              <w:jc w:val="left"/>
            </w:pPr>
            <w:r/>
            <w:r>
              <w:rPr>
                <w:rFonts w:ascii="Times New Roman" w:hAnsi="Times New Roman" w:eastAsia="Times New Roman"/>
                <w:b w:val="0"/>
                <w:sz w:val="17"/>
              </w:rPr>
              <w:t>10/10</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Storage</w:t>
            </w:r>
          </w:p>
        </w:tc>
        <w:tc>
          <w:tcPr>
            <w:tcW w:type="dxa" w:w="4535"/>
            <w:vAlign w:val="center"/>
          </w:tcPr>
          <w:p>
            <w:pPr>
              <w:jc w:val="left"/>
            </w:pPr>
            <w:r/>
            <w:r>
              <w:rPr>
                <w:rFonts w:ascii="Times New Roman" w:hAnsi="Times New Roman" w:eastAsia="Times New Roman"/>
                <w:b w:val="0"/>
                <w:sz w:val="17"/>
              </w:rPr>
              <w:t>MinIO service lifecycle</w:t>
            </w:r>
          </w:p>
        </w:tc>
        <w:tc>
          <w:tcPr>
            <w:tcW w:type="dxa" w:w="1304"/>
            <w:vAlign w:val="center"/>
          </w:tcPr>
          <w:p>
            <w:pPr>
              <w:jc w:val="left"/>
            </w:pPr>
            <w:r/>
            <w:r>
              <w:rPr>
                <w:rFonts w:ascii="Times New Roman" w:hAnsi="Times New Roman" w:eastAsia="Times New Roman"/>
                <w:b w:val="0"/>
                <w:sz w:val="17"/>
              </w:rPr>
              <w:t>4/4</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Disaster recovery</w:t>
            </w:r>
          </w:p>
        </w:tc>
        <w:tc>
          <w:tcPr>
            <w:tcW w:type="dxa" w:w="4535"/>
            <w:vAlign w:val="center"/>
          </w:tcPr>
          <w:p>
            <w:pPr>
              <w:jc w:val="left"/>
            </w:pPr>
            <w:r/>
            <w:r>
              <w:rPr>
                <w:rFonts w:ascii="Times New Roman" w:hAnsi="Times New Roman" w:eastAsia="Times New Roman"/>
                <w:b w:val="0"/>
                <w:sz w:val="17"/>
              </w:rPr>
              <w:t>PostgreSQL backup and restore</w:t>
            </w:r>
          </w:p>
        </w:tc>
        <w:tc>
          <w:tcPr>
            <w:tcW w:type="dxa" w:w="1304"/>
            <w:vAlign w:val="center"/>
          </w:tcPr>
          <w:p>
            <w:pPr>
              <w:jc w:val="left"/>
            </w:pPr>
            <w:r/>
            <w:r>
              <w:rPr>
                <w:rFonts w:ascii="Times New Roman" w:hAnsi="Times New Roman" w:eastAsia="Times New Roman"/>
                <w:b w:val="0"/>
                <w:sz w:val="17"/>
              </w:rPr>
              <w:t>19/19</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Disaster recovery</w:t>
            </w:r>
          </w:p>
        </w:tc>
        <w:tc>
          <w:tcPr>
            <w:tcW w:type="dxa" w:w="4535"/>
            <w:vAlign w:val="center"/>
          </w:tcPr>
          <w:p>
            <w:pPr>
              <w:jc w:val="left"/>
            </w:pPr>
            <w:r/>
            <w:r>
              <w:rPr>
                <w:rFonts w:ascii="Times New Roman" w:hAnsi="Times New Roman" w:eastAsia="Times New Roman"/>
                <w:b w:val="0"/>
                <w:sz w:val="17"/>
              </w:rPr>
              <w:t>MinIO backup and restore</w:t>
            </w:r>
          </w:p>
        </w:tc>
        <w:tc>
          <w:tcPr>
            <w:tcW w:type="dxa" w:w="1304"/>
            <w:vAlign w:val="center"/>
          </w:tcPr>
          <w:p>
            <w:pPr>
              <w:jc w:val="left"/>
            </w:pPr>
            <w:r/>
            <w:r>
              <w:rPr>
                <w:rFonts w:ascii="Times New Roman" w:hAnsi="Times New Roman" w:eastAsia="Times New Roman"/>
                <w:b w:val="0"/>
                <w:sz w:val="17"/>
              </w:rPr>
              <w:t>23/23</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Performance</w:t>
            </w:r>
          </w:p>
        </w:tc>
        <w:tc>
          <w:tcPr>
            <w:tcW w:type="dxa" w:w="4535"/>
            <w:vAlign w:val="center"/>
          </w:tcPr>
          <w:p>
            <w:pPr>
              <w:jc w:val="left"/>
            </w:pPr>
            <w:r/>
            <w:r>
              <w:rPr>
                <w:rFonts w:ascii="Times New Roman" w:hAnsi="Times New Roman" w:eastAsia="Times New Roman"/>
                <w:b w:val="0"/>
                <w:sz w:val="17"/>
              </w:rPr>
              <w:t>Optimized 200-user load</w:t>
            </w:r>
          </w:p>
        </w:tc>
        <w:tc>
          <w:tcPr>
            <w:tcW w:type="dxa" w:w="1304"/>
            <w:vAlign w:val="center"/>
          </w:tcPr>
          <w:p>
            <w:pPr>
              <w:jc w:val="left"/>
            </w:pPr>
            <w:r/>
            <w:r>
              <w:rPr>
                <w:rFonts w:ascii="Times New Roman" w:hAnsi="Times New Roman" w:eastAsia="Times New Roman"/>
                <w:b w:val="0"/>
                <w:sz w:val="17"/>
              </w:rPr>
              <w:t>1/1</w:t>
            </w:r>
          </w:p>
        </w:tc>
        <w:tc>
          <w:tcPr>
            <w:tcW w:type="dxa" w:w="1134"/>
            <w:vAlign w:val="center"/>
          </w:tcPr>
          <w:p>
            <w:pPr>
              <w:jc w:val="left"/>
            </w:pPr>
            <w:r/>
            <w:r>
              <w:rPr>
                <w:rFonts w:ascii="Times New Roman" w:hAnsi="Times New Roman" w:eastAsia="Times New Roman"/>
                <w:b w:val="0"/>
                <w:sz w:val="17"/>
              </w:rPr>
              <w:t>PASS</w:t>
            </w:r>
          </w:p>
        </w:tc>
      </w:tr>
    </w:tbl>
    <w:p/>
    <w:p>
      <w:r>
        <w:t>The final matrix contains seven passing validation items and no failed, pending, or review items. According to the project criterion recorded in the matrix, a production-readiness claim is justified only when no item remains in those non-passing states. The platform satisfies that criterion for the tested local production configuration.</w:t>
      </w:r>
    </w:p>
    <w:p>
      <w:pPr>
        <w:pStyle w:val="Heading1"/>
      </w:pPr>
      <w:r>
        <w:t>9. Critical Appraisal, Limitations, and Recommendations</w:t>
      </w:r>
    </w:p>
    <w:p>
      <w:pPr>
        <w:pStyle w:val="Heading2"/>
      </w:pPr>
      <w:r>
        <w:t>9.1 Strengths supported by evidence</w:t>
      </w:r>
    </w:p>
    <w:p>
      <w:pPr>
        <w:pStyle w:val="ListBullet"/>
        <w:ind w:left="283" w:hanging="142"/>
      </w:pPr>
      <w:r>
        <w:t>Authentication is not accepted solely on token syntax; the linked user must exist and remain active.</w:t>
      </w:r>
    </w:p>
    <w:p>
      <w:pPr>
        <w:pStyle w:val="ListBullet"/>
        <w:ind w:left="283" w:hanging="142"/>
      </w:pPr>
      <w:r>
        <w:t>Authorization is declared at route level and denied operations are audited.</w:t>
      </w:r>
    </w:p>
    <w:p>
      <w:pPr>
        <w:pStyle w:val="ListBullet"/>
        <w:ind w:left="283" w:hanging="142"/>
      </w:pPr>
      <w:r>
        <w:t>HTTP hardening was tested through positive and negative origin and host scenarios.</w:t>
      </w:r>
    </w:p>
    <w:p>
      <w:pPr>
        <w:pStyle w:val="ListBullet"/>
        <w:ind w:left="283" w:hanging="142"/>
      </w:pPr>
      <w:r>
        <w:t>Audit coverage was validated through a diagnostic-report workflow rather than only through unit-level assertions.</w:t>
      </w:r>
    </w:p>
    <w:p>
      <w:pPr>
        <w:pStyle w:val="ListBullet"/>
        <w:ind w:left="283" w:hanging="142"/>
      </w:pPr>
      <w:r>
        <w:t>Database and object-storage services are isolated from the host in the production Compose topology.</w:t>
      </w:r>
    </w:p>
    <w:p>
      <w:pPr>
        <w:pStyle w:val="ListBullet"/>
        <w:ind w:left="283" w:hanging="142"/>
      </w:pPr>
      <w:r>
        <w:t>The validation matrix is complete, reproducible, and linked to explicit evidence files.</w:t>
      </w:r>
    </w:p>
    <w:p>
      <w:pPr>
        <w:pStyle w:val="Heading2"/>
      </w:pPr>
      <w:r>
        <w:t>9.2 Limitations that must be reported</w:t>
      </w:r>
    </w:p>
    <w:p>
      <w:pPr>
        <w:pStyle w:val="ListBullet"/>
        <w:ind w:left="283" w:hanging="142"/>
      </w:pPr>
      <w:r>
        <w:t>The current results are from a local production-like Docker environment, not from the final public VM.</w:t>
      </w:r>
    </w:p>
    <w:p>
      <w:pPr>
        <w:pStyle w:val="ListBullet"/>
        <w:ind w:left="283" w:hanging="142"/>
      </w:pPr>
      <w:r>
        <w:t>The presence of the HSTS header does not demonstrate encrypted transport until HTTPS is configured and tested.</w:t>
      </w:r>
    </w:p>
    <w:p>
      <w:pPr>
        <w:pStyle w:val="ListBullet"/>
        <w:ind w:left="283" w:hanging="142"/>
      </w:pPr>
      <w:r>
        <w:t>No multi-factor authentication, account lockout, rate limiting, password breach checking, or password-history mechanism is shown in the supplied source.</w:t>
      </w:r>
    </w:p>
    <w:p>
      <w:pPr>
        <w:pStyle w:val="ListBullet"/>
        <w:ind w:left="283" w:hanging="142"/>
      </w:pPr>
      <w:r>
        <w:t>JWT signing uses a symmetric secret. Automated key rotation and centralized secret management are not evidenced.</w:t>
      </w:r>
    </w:p>
    <w:p>
      <w:pPr>
        <w:pStyle w:val="ListBullet"/>
        <w:ind w:left="283" w:hanging="142"/>
      </w:pPr>
      <w:r>
        <w:t>The audit model is described as immutable, but the supplied source does not demonstrate database-level prevention of update or deletion.</w:t>
      </w:r>
    </w:p>
    <w:p>
      <w:pPr>
        <w:pStyle w:val="ListBullet"/>
        <w:ind w:left="283" w:hanging="142"/>
      </w:pPr>
      <w:r>
        <w:t>safe_record_event protects application availability but can silently lose audit events when the audit write fails.</w:t>
      </w:r>
    </w:p>
    <w:p>
      <w:pPr>
        <w:pStyle w:val="ListBullet"/>
        <w:ind w:left="283" w:hanging="142"/>
      </w:pPr>
      <w:r>
        <w:t>No web application firewall, intrusion-detection integration, SIEM forwarding, or automated vulnerability scan is evidenced.</w:t>
      </w:r>
    </w:p>
    <w:p>
      <w:pPr>
        <w:pStyle w:val="ListBullet"/>
        <w:ind w:left="283" w:hanging="142"/>
      </w:pPr>
      <w:r>
        <w:t>Passing functional security tests does not establish legal compliance with HIPAA, GDPR, Chinese data-protection law, or any other regulatory framework.</w:t>
      </w:r>
    </w:p>
    <w:p>
      <w:pPr>
        <w:pStyle w:val="Heading2"/>
      </w:pPr>
      <w:r>
        <w:t>9.3 Prioritized recommendations for the remote deployment</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1134"/>
            <w:vAlign w:val="center"/>
            <w:shd w:fill="D9E1F2"/>
          </w:tcPr>
          <w:p>
            <w:pPr>
              <w:jc w:val="left"/>
            </w:pPr>
            <w:r/>
            <w:r>
              <w:rPr>
                <w:rFonts w:ascii="Times New Roman" w:hAnsi="Times New Roman" w:eastAsia="Times New Roman"/>
                <w:b/>
                <w:sz w:val="18"/>
              </w:rPr>
              <w:t>Priority</w:t>
            </w:r>
          </w:p>
        </w:tc>
        <w:tc>
          <w:tcPr>
            <w:tcW w:type="dxa" w:w="7824"/>
            <w:vAlign w:val="center"/>
            <w:shd w:fill="D9E1F2"/>
          </w:tcPr>
          <w:p>
            <w:pPr>
              <w:jc w:val="left"/>
            </w:pPr>
            <w:r/>
            <w:r>
              <w:rPr>
                <w:rFonts w:ascii="Times New Roman" w:hAnsi="Times New Roman" w:eastAsia="Times New Roman"/>
                <w:b/>
                <w:sz w:val="18"/>
              </w:rPr>
              <w:t>Recommended action</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Configure a real domain, TLS certificate, HTTPS-only redirection, and then retest HSTS.</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Replace all local secrets with high-entropy production secrets and document a rotation procedure.</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Add firewall rules that expose only SSH, HTTP, and HTTPS, with administrative access restricted where possible.</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Implement rate limiting and login-throttling at Nginx or application level.</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Emit monitoring alerts for failed audit writes and verify audit-retention and tamper-resistance controls.</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Introduce an external encrypted backup destination and periodically test restoration.</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Perform dependency, container-image, and dynamic application security scans against the deployed VM.</w:t>
            </w:r>
          </w:p>
        </w:tc>
      </w:tr>
      <w:tr>
        <w:trPr>
          <w:cantSplit/>
        </w:trPr>
        <w:tc>
          <w:tcPr>
            <w:tcW w:type="dxa" w:w="1134"/>
            <w:vAlign w:val="center"/>
          </w:tcPr>
          <w:p>
            <w:pPr>
              <w:jc w:val="left"/>
            </w:pPr>
            <w:r/>
            <w:r>
              <w:rPr>
                <w:rFonts w:ascii="Times New Roman" w:hAnsi="Times New Roman" w:eastAsia="Times New Roman"/>
                <w:b w:val="0"/>
                <w:sz w:val="18"/>
              </w:rPr>
              <w:t>P3</w:t>
            </w:r>
          </w:p>
        </w:tc>
        <w:tc>
          <w:tcPr>
            <w:tcW w:type="dxa" w:w="7824"/>
            <w:vAlign w:val="center"/>
          </w:tcPr>
          <w:p>
            <w:pPr>
              <w:jc w:val="left"/>
            </w:pPr>
            <w:r/>
            <w:r>
              <w:rPr>
                <w:rFonts w:ascii="Times New Roman" w:hAnsi="Times New Roman" w:eastAsia="Times New Roman"/>
                <w:b w:val="0"/>
                <w:sz w:val="18"/>
              </w:rPr>
              <w:t>Evaluate multi-factor authentication for privileged and clinical roles.</w:t>
            </w:r>
          </w:p>
        </w:tc>
      </w:tr>
    </w:tbl>
    <w:p/>
    <w:p>
      <w:pPr>
        <w:pStyle w:val="Heading1"/>
      </w:pPr>
      <w:r>
        <w:t>10. Evidence Traceability and Conclusion</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798"/>
            <w:vAlign w:val="center"/>
            <w:shd w:fill="D9E1F2"/>
          </w:tcPr>
          <w:p>
            <w:pPr>
              <w:jc w:val="left"/>
            </w:pPr>
            <w:r/>
            <w:r>
              <w:rPr>
                <w:rFonts w:ascii="Times New Roman" w:hAnsi="Times New Roman" w:eastAsia="Times New Roman"/>
                <w:b/>
                <w:sz w:val="17"/>
              </w:rPr>
              <w:t>Chapter claim or component</w:t>
            </w:r>
          </w:p>
        </w:tc>
        <w:tc>
          <w:tcPr>
            <w:tcW w:type="dxa" w:w="5159"/>
            <w:vAlign w:val="center"/>
            <w:shd w:fill="D9E1F2"/>
          </w:tcPr>
          <w:p>
            <w:pPr>
              <w:jc w:val="left"/>
            </w:pPr>
            <w:r/>
            <w:r>
              <w:rPr>
                <w:rFonts w:ascii="Times New Roman" w:hAnsi="Times New Roman" w:eastAsia="Times New Roman"/>
                <w:b/>
                <w:sz w:val="17"/>
              </w:rPr>
              <w:t>Primary project evidence</w:t>
            </w:r>
          </w:p>
        </w:tc>
      </w:tr>
      <w:tr>
        <w:trPr>
          <w:cantSplit/>
        </w:trPr>
        <w:tc>
          <w:tcPr>
            <w:tcW w:type="dxa" w:w="3798"/>
            <w:vAlign w:val="center"/>
          </w:tcPr>
          <w:p>
            <w:pPr>
              <w:jc w:val="left"/>
            </w:pPr>
            <w:r/>
            <w:r>
              <w:rPr>
                <w:rFonts w:ascii="Times New Roman" w:hAnsi="Times New Roman" w:eastAsia="Times New Roman"/>
                <w:b w:val="0"/>
                <w:sz w:val="17"/>
              </w:rPr>
              <w:t>Password hashing and JWT</w:t>
            </w:r>
          </w:p>
        </w:tc>
        <w:tc>
          <w:tcPr>
            <w:tcW w:type="dxa" w:w="5159"/>
            <w:vAlign w:val="center"/>
          </w:tcPr>
          <w:p>
            <w:pPr>
              <w:jc w:val="left"/>
            </w:pPr>
            <w:r/>
            <w:r>
              <w:rPr>
                <w:rFonts w:ascii="Times New Roman" w:hAnsi="Times New Roman" w:eastAsia="Times New Roman"/>
                <w:b w:val="0"/>
                <w:sz w:val="17"/>
              </w:rPr>
              <w:t>backend/app/core/security.py</w:t>
            </w:r>
          </w:p>
        </w:tc>
      </w:tr>
      <w:tr>
        <w:trPr>
          <w:cantSplit/>
        </w:trPr>
        <w:tc>
          <w:tcPr>
            <w:tcW w:type="dxa" w:w="3798"/>
            <w:vAlign w:val="center"/>
          </w:tcPr>
          <w:p>
            <w:pPr>
              <w:jc w:val="left"/>
            </w:pPr>
            <w:r/>
            <w:r>
              <w:rPr>
                <w:rFonts w:ascii="Times New Roman" w:hAnsi="Times New Roman" w:eastAsia="Times New Roman"/>
                <w:b w:val="0"/>
                <w:sz w:val="17"/>
              </w:rPr>
              <w:t>Authenticated-user resolution</w:t>
            </w:r>
          </w:p>
        </w:tc>
        <w:tc>
          <w:tcPr>
            <w:tcW w:type="dxa" w:w="5159"/>
            <w:vAlign w:val="center"/>
          </w:tcPr>
          <w:p>
            <w:pPr>
              <w:jc w:val="left"/>
            </w:pPr>
            <w:r/>
            <w:r>
              <w:rPr>
                <w:rFonts w:ascii="Times New Roman" w:hAnsi="Times New Roman" w:eastAsia="Times New Roman"/>
                <w:b w:val="0"/>
                <w:sz w:val="17"/>
              </w:rPr>
              <w:t>backend/app/api/dependencies/auth.py</w:t>
            </w:r>
          </w:p>
        </w:tc>
      </w:tr>
      <w:tr>
        <w:trPr>
          <w:cantSplit/>
        </w:trPr>
        <w:tc>
          <w:tcPr>
            <w:tcW w:type="dxa" w:w="3798"/>
            <w:vAlign w:val="center"/>
          </w:tcPr>
          <w:p>
            <w:pPr>
              <w:jc w:val="left"/>
            </w:pPr>
            <w:r/>
            <w:r>
              <w:rPr>
                <w:rFonts w:ascii="Times New Roman" w:hAnsi="Times New Roman" w:eastAsia="Times New Roman"/>
                <w:b w:val="0"/>
                <w:sz w:val="17"/>
              </w:rPr>
              <w:t>RBAC and denied-access audit</w:t>
            </w:r>
          </w:p>
        </w:tc>
        <w:tc>
          <w:tcPr>
            <w:tcW w:type="dxa" w:w="5159"/>
            <w:vAlign w:val="center"/>
          </w:tcPr>
          <w:p>
            <w:pPr>
              <w:jc w:val="left"/>
            </w:pPr>
            <w:r/>
            <w:r>
              <w:rPr>
                <w:rFonts w:ascii="Times New Roman" w:hAnsi="Times New Roman" w:eastAsia="Times New Roman"/>
                <w:b w:val="0"/>
                <w:sz w:val="17"/>
              </w:rPr>
              <w:t>backend/app/api/dependencies/rbac.py</w:t>
            </w:r>
          </w:p>
        </w:tc>
      </w:tr>
      <w:tr>
        <w:trPr>
          <w:cantSplit/>
        </w:trPr>
        <w:tc>
          <w:tcPr>
            <w:tcW w:type="dxa" w:w="3798"/>
            <w:vAlign w:val="center"/>
          </w:tcPr>
          <w:p>
            <w:pPr>
              <w:jc w:val="left"/>
            </w:pPr>
            <w:r/>
            <w:r>
              <w:rPr>
                <w:rFonts w:ascii="Times New Roman" w:hAnsi="Times New Roman" w:eastAsia="Times New Roman"/>
                <w:b w:val="0"/>
                <w:sz w:val="17"/>
              </w:rPr>
              <w:t>Audit service</w:t>
            </w:r>
          </w:p>
        </w:tc>
        <w:tc>
          <w:tcPr>
            <w:tcW w:type="dxa" w:w="5159"/>
            <w:vAlign w:val="center"/>
          </w:tcPr>
          <w:p>
            <w:pPr>
              <w:jc w:val="left"/>
            </w:pPr>
            <w:r/>
            <w:r>
              <w:rPr>
                <w:rFonts w:ascii="Times New Roman" w:hAnsi="Times New Roman" w:eastAsia="Times New Roman"/>
                <w:b w:val="0"/>
                <w:sz w:val="17"/>
              </w:rPr>
              <w:t>backend/app/services/audit_service.py</w:t>
            </w:r>
          </w:p>
        </w:tc>
      </w:tr>
      <w:tr>
        <w:trPr>
          <w:cantSplit/>
        </w:trPr>
        <w:tc>
          <w:tcPr>
            <w:tcW w:type="dxa" w:w="3798"/>
            <w:vAlign w:val="center"/>
          </w:tcPr>
          <w:p>
            <w:pPr>
              <w:jc w:val="left"/>
            </w:pPr>
            <w:r/>
            <w:r>
              <w:rPr>
                <w:rFonts w:ascii="Times New Roman" w:hAnsi="Times New Roman" w:eastAsia="Times New Roman"/>
                <w:b w:val="0"/>
                <w:sz w:val="17"/>
              </w:rPr>
              <w:t>Audit schema</w:t>
            </w:r>
          </w:p>
        </w:tc>
        <w:tc>
          <w:tcPr>
            <w:tcW w:type="dxa" w:w="5159"/>
            <w:vAlign w:val="center"/>
          </w:tcPr>
          <w:p>
            <w:pPr>
              <w:jc w:val="left"/>
            </w:pPr>
            <w:r/>
            <w:r>
              <w:rPr>
                <w:rFonts w:ascii="Times New Roman" w:hAnsi="Times New Roman" w:eastAsia="Times New Roman"/>
                <w:b w:val="0"/>
                <w:sz w:val="17"/>
              </w:rPr>
              <w:t>backend/app/models/audit_log.py</w:t>
            </w:r>
          </w:p>
        </w:tc>
      </w:tr>
      <w:tr>
        <w:trPr>
          <w:cantSplit/>
        </w:trPr>
        <w:tc>
          <w:tcPr>
            <w:tcW w:type="dxa" w:w="3798"/>
            <w:vAlign w:val="center"/>
          </w:tcPr>
          <w:p>
            <w:pPr>
              <w:jc w:val="left"/>
            </w:pPr>
            <w:r/>
            <w:r>
              <w:rPr>
                <w:rFonts w:ascii="Times New Roman" w:hAnsi="Times New Roman" w:eastAsia="Times New Roman"/>
                <w:b w:val="0"/>
                <w:sz w:val="17"/>
              </w:rPr>
              <w:t>User and role models</w:t>
            </w:r>
          </w:p>
        </w:tc>
        <w:tc>
          <w:tcPr>
            <w:tcW w:type="dxa" w:w="5159"/>
            <w:vAlign w:val="center"/>
          </w:tcPr>
          <w:p>
            <w:pPr>
              <w:jc w:val="left"/>
            </w:pPr>
            <w:r/>
            <w:r>
              <w:rPr>
                <w:rFonts w:ascii="Times New Roman" w:hAnsi="Times New Roman" w:eastAsia="Times New Roman"/>
                <w:b w:val="0"/>
                <w:sz w:val="17"/>
              </w:rPr>
              <w:t>backend/app/models/user.py; backend/app/models/role.py</w:t>
            </w:r>
          </w:p>
        </w:tc>
      </w:tr>
      <w:tr>
        <w:trPr>
          <w:cantSplit/>
        </w:trPr>
        <w:tc>
          <w:tcPr>
            <w:tcW w:type="dxa" w:w="3798"/>
            <w:vAlign w:val="center"/>
          </w:tcPr>
          <w:p>
            <w:pPr>
              <w:jc w:val="left"/>
            </w:pPr>
            <w:r/>
            <w:r>
              <w:rPr>
                <w:rFonts w:ascii="Times New Roman" w:hAnsi="Times New Roman" w:eastAsia="Times New Roman"/>
                <w:b w:val="0"/>
                <w:sz w:val="17"/>
              </w:rPr>
              <w:t>HTTP security validation</w:t>
            </w:r>
          </w:p>
        </w:tc>
        <w:tc>
          <w:tcPr>
            <w:tcW w:type="dxa" w:w="5159"/>
            <w:vAlign w:val="center"/>
          </w:tcPr>
          <w:p>
            <w:pPr>
              <w:jc w:val="left"/>
            </w:pPr>
            <w:r/>
            <w:r>
              <w:rPr>
                <w:rFonts w:ascii="Times New Roman" w:hAnsi="Times New Roman" w:eastAsia="Times New Roman"/>
                <w:b w:val="0"/>
                <w:sz w:val="17"/>
              </w:rPr>
              <w:t>tests/security/production_security_results.csv</w:t>
            </w:r>
          </w:p>
        </w:tc>
      </w:tr>
      <w:tr>
        <w:trPr>
          <w:cantSplit/>
        </w:trPr>
        <w:tc>
          <w:tcPr>
            <w:tcW w:type="dxa" w:w="3798"/>
            <w:vAlign w:val="center"/>
          </w:tcPr>
          <w:p>
            <w:pPr>
              <w:jc w:val="left"/>
            </w:pPr>
            <w:r/>
            <w:r>
              <w:rPr>
                <w:rFonts w:ascii="Times New Roman" w:hAnsi="Times New Roman" w:eastAsia="Times New Roman"/>
                <w:b w:val="0"/>
                <w:sz w:val="17"/>
              </w:rPr>
              <w:t>JWT validation</w:t>
            </w:r>
          </w:p>
        </w:tc>
        <w:tc>
          <w:tcPr>
            <w:tcW w:type="dxa" w:w="5159"/>
            <w:vAlign w:val="center"/>
          </w:tcPr>
          <w:p>
            <w:pPr>
              <w:jc w:val="left"/>
            </w:pPr>
            <w:r/>
            <w:r>
              <w:rPr>
                <w:rFonts w:ascii="Times New Roman" w:hAnsi="Times New Roman" w:eastAsia="Times New Roman"/>
                <w:b w:val="0"/>
                <w:sz w:val="17"/>
              </w:rPr>
              <w:t>tests/security/jwt_security_results.csv</w:t>
            </w:r>
          </w:p>
        </w:tc>
      </w:tr>
      <w:tr>
        <w:trPr>
          <w:cantSplit/>
        </w:trPr>
        <w:tc>
          <w:tcPr>
            <w:tcW w:type="dxa" w:w="3798"/>
            <w:vAlign w:val="center"/>
          </w:tcPr>
          <w:p>
            <w:pPr>
              <w:jc w:val="left"/>
            </w:pPr>
            <w:r/>
            <w:r>
              <w:rPr>
                <w:rFonts w:ascii="Times New Roman" w:hAnsi="Times New Roman" w:eastAsia="Times New Roman"/>
                <w:b w:val="0"/>
                <w:sz w:val="17"/>
              </w:rPr>
              <w:t>RBAC inventory</w:t>
            </w:r>
          </w:p>
        </w:tc>
        <w:tc>
          <w:tcPr>
            <w:tcW w:type="dxa" w:w="5159"/>
            <w:vAlign w:val="center"/>
          </w:tcPr>
          <w:p>
            <w:pPr>
              <w:jc w:val="left"/>
            </w:pPr>
            <w:r/>
            <w:r>
              <w:rPr>
                <w:rFonts w:ascii="Times New Roman" w:hAnsi="Times New Roman" w:eastAsia="Times New Roman"/>
                <w:b w:val="0"/>
                <w:sz w:val="17"/>
              </w:rPr>
              <w:t>tests/security/rbac_matrix.csv</w:t>
            </w:r>
          </w:p>
        </w:tc>
      </w:tr>
      <w:tr>
        <w:trPr>
          <w:cantSplit/>
        </w:trPr>
        <w:tc>
          <w:tcPr>
            <w:tcW w:type="dxa" w:w="3798"/>
            <w:vAlign w:val="center"/>
          </w:tcPr>
          <w:p>
            <w:pPr>
              <w:jc w:val="left"/>
            </w:pPr>
            <w:r/>
            <w:r>
              <w:rPr>
                <w:rFonts w:ascii="Times New Roman" w:hAnsi="Times New Roman" w:eastAsia="Times New Roman"/>
                <w:b w:val="0"/>
                <w:sz w:val="17"/>
              </w:rPr>
              <w:t>Diagnostic-report audit validation</w:t>
            </w:r>
          </w:p>
        </w:tc>
        <w:tc>
          <w:tcPr>
            <w:tcW w:type="dxa" w:w="5159"/>
            <w:vAlign w:val="center"/>
          </w:tcPr>
          <w:p>
            <w:pPr>
              <w:jc w:val="left"/>
            </w:pPr>
            <w:r/>
            <w:r>
              <w:rPr>
                <w:rFonts w:ascii="Times New Roman" w:hAnsi="Times New Roman" w:eastAsia="Times New Roman"/>
                <w:b w:val="0"/>
                <w:sz w:val="17"/>
              </w:rPr>
              <w:t>tests/security/diagnostic_report_audit_results.csv</w:t>
            </w:r>
          </w:p>
        </w:tc>
      </w:tr>
      <w:tr>
        <w:trPr>
          <w:cantSplit/>
        </w:trPr>
        <w:tc>
          <w:tcPr>
            <w:tcW w:type="dxa" w:w="3798"/>
            <w:vAlign w:val="center"/>
          </w:tcPr>
          <w:p>
            <w:pPr>
              <w:jc w:val="left"/>
            </w:pPr>
            <w:r/>
            <w:r>
              <w:rPr>
                <w:rFonts w:ascii="Times New Roman" w:hAnsi="Times New Roman" w:eastAsia="Times New Roman"/>
                <w:b w:val="0"/>
                <w:sz w:val="17"/>
              </w:rPr>
              <w:t>Overall validation status</w:t>
            </w:r>
          </w:p>
        </w:tc>
        <w:tc>
          <w:tcPr>
            <w:tcW w:type="dxa" w:w="5159"/>
            <w:vAlign w:val="center"/>
          </w:tcPr>
          <w:p>
            <w:pPr>
              <w:jc w:val="left"/>
            </w:pPr>
            <w:r/>
            <w:r>
              <w:rPr>
                <w:rFonts w:ascii="Times New Roman" w:hAnsi="Times New Roman" w:eastAsia="Times New Roman"/>
                <w:b w:val="0"/>
                <w:sz w:val="17"/>
              </w:rPr>
              <w:t>docs/evidence/final_validation_matrix.md</w:t>
            </w:r>
          </w:p>
        </w:tc>
      </w:tr>
      <w:tr>
        <w:trPr>
          <w:cantSplit/>
        </w:trPr>
        <w:tc>
          <w:tcPr>
            <w:tcW w:type="dxa" w:w="3798"/>
            <w:vAlign w:val="center"/>
          </w:tcPr>
          <w:p>
            <w:pPr>
              <w:jc w:val="left"/>
            </w:pPr>
            <w:r/>
            <w:r>
              <w:rPr>
                <w:rFonts w:ascii="Times New Roman" w:hAnsi="Times New Roman" w:eastAsia="Times New Roman"/>
                <w:b w:val="0"/>
                <w:sz w:val="17"/>
              </w:rPr>
              <w:t>Network isolation</w:t>
            </w:r>
          </w:p>
        </w:tc>
        <w:tc>
          <w:tcPr>
            <w:tcW w:type="dxa" w:w="5159"/>
            <w:vAlign w:val="center"/>
          </w:tcPr>
          <w:p>
            <w:pPr>
              <w:jc w:val="left"/>
            </w:pPr>
            <w:r/>
            <w:r>
              <w:rPr>
                <w:rFonts w:ascii="Times New Roman" w:hAnsi="Times New Roman" w:eastAsia="Times New Roman"/>
                <w:b w:val="0"/>
                <w:sz w:val="17"/>
              </w:rPr>
              <w:t>docker-compose.prod.yml and nginx/default.conf, as documented in the implementation source extract</w:t>
            </w:r>
          </w:p>
        </w:tc>
      </w:tr>
    </w:tbl>
    <w:p/>
    <w:p>
      <w:r>
        <w:t>The Healthcare Cloud Platform implements a coherent defense-in-depth baseline. Bcrypt protects stored credentials, signed JWTs establish short-lived authenticated sessions, PostgreSQL-backed identity resolution supports immediate account deactivation, route-level RBAC enforces explicit professional permissions, and audit records provide accountability for denied and healthcare-data operations. HTTP hardening, origin and host restrictions, documentation suppression, and container network segmentation further reduce exposure.</w:t>
      </w:r>
    </w:p>
    <w:p>
      <w:r>
        <w:t>The supplied evidence demonstrates that the implemented controls behaved as expected in the local production configuration. The result is a validated, cloud-ready security baseline. Final claims about public-cloud security must await deployment to the remote VM, activation of HTTPS, external network testing, and completion of the prioritized hardening measures.</w:t>
      </w:r>
    </w:p>
    <w:p>
      <w:r/>
    </w:p>
    <w:p>
      <w:pPr>
        <w:pStyle w:val="Heading1"/>
      </w:pPr>
      <w:r>
        <w:t>Appendix A. Role-to-Module Access Summary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551"/>
            <w:vAlign w:val="center"/>
            <w:shd w:fill="D9E1F2"/>
          </w:tcPr>
          <w:p>
            <w:pPr>
              <w:jc w:val="left"/>
            </w:pPr>
            <w:r/>
            <w:r>
              <w:rPr>
                <w:rFonts w:ascii="Times New Roman" w:hAnsi="Times New Roman" w:eastAsia="Times New Roman"/>
                <w:b/>
                <w:sz w:val="17"/>
              </w:rPr>
              <w:t>Module</w:t>
            </w:r>
          </w:p>
        </w:tc>
        <w:tc>
          <w:tcPr>
            <w:tcW w:type="dxa" w:w="1417"/>
            <w:vAlign w:val="center"/>
            <w:shd w:fill="D9E1F2"/>
          </w:tcPr>
          <w:p>
            <w:pPr>
              <w:jc w:val="left"/>
            </w:pPr>
            <w:r/>
            <w:r>
              <w:rPr>
                <w:rFonts w:ascii="Times New Roman" w:hAnsi="Times New Roman" w:eastAsia="Times New Roman"/>
                <w:b/>
                <w:sz w:val="17"/>
              </w:rPr>
              <w:t>Operations</w:t>
            </w:r>
          </w:p>
        </w:tc>
        <w:tc>
          <w:tcPr>
            <w:tcW w:type="dxa" w:w="4989"/>
            <w:vAlign w:val="center"/>
            <w:shd w:fill="D9E1F2"/>
          </w:tcPr>
          <w:p>
            <w:pPr>
              <w:jc w:val="left"/>
            </w:pPr>
            <w:r/>
            <w:r>
              <w:rPr>
                <w:rFonts w:ascii="Times New Roman" w:hAnsi="Times New Roman" w:eastAsia="Times New Roman"/>
                <w:b/>
                <w:sz w:val="17"/>
              </w:rPr>
              <w:t>Roles represented</w:t>
            </w:r>
          </w:p>
        </w:tc>
      </w:tr>
      <w:tr>
        <w:trPr>
          <w:cantSplit/>
        </w:trPr>
        <w:tc>
          <w:tcPr>
            <w:tcW w:type="dxa" w:w="2551"/>
            <w:vAlign w:val="center"/>
          </w:tcPr>
          <w:p>
            <w:pPr>
              <w:jc w:val="left"/>
            </w:pPr>
            <w:r/>
            <w:r>
              <w:rPr>
                <w:rFonts w:ascii="Times New Roman" w:hAnsi="Times New Roman" w:eastAsia="Times New Roman"/>
                <w:b w:val="0"/>
                <w:sz w:val="17"/>
              </w:rPr>
              <w:t>auth</w:t>
            </w:r>
          </w:p>
        </w:tc>
        <w:tc>
          <w:tcPr>
            <w:tcW w:type="dxa" w:w="1417"/>
            <w:vAlign w:val="center"/>
          </w:tcPr>
          <w:p>
            <w:pPr>
              <w:jc w:val="left"/>
            </w:pPr>
            <w:r/>
            <w:r>
              <w:rPr>
                <w:rFonts w:ascii="Times New Roman" w:hAnsi="Times New Roman" w:eastAsia="Times New Roman"/>
                <w:b w:val="0"/>
                <w:sz w:val="17"/>
              </w:rPr>
              <w:t>2</w:t>
            </w:r>
          </w:p>
        </w:tc>
        <w:tc>
          <w:tcPr>
            <w:tcW w:type="dxa" w:w="4989"/>
            <w:vAlign w:val="center"/>
          </w:tcPr>
          <w:p>
            <w:pPr>
              <w:jc w:val="left"/>
            </w:pPr>
            <w:r/>
            <w:r>
              <w:rPr>
                <w:rFonts w:ascii="Times New Roman" w:hAnsi="Times New Roman" w:eastAsia="Times New Roman"/>
                <w:b w:val="0"/>
                <w:sz w:val="17"/>
              </w:rPr>
              <w:t>Authentication-dependent; no route-level role list</w:t>
            </w:r>
          </w:p>
        </w:tc>
      </w:tr>
      <w:tr>
        <w:trPr>
          <w:cantSplit/>
        </w:trPr>
        <w:tc>
          <w:tcPr>
            <w:tcW w:type="dxa" w:w="2551"/>
            <w:vAlign w:val="center"/>
          </w:tcPr>
          <w:p>
            <w:pPr>
              <w:jc w:val="left"/>
            </w:pPr>
            <w:r/>
            <w:r>
              <w:rPr>
                <w:rFonts w:ascii="Times New Roman" w:hAnsi="Times New Roman" w:eastAsia="Times New Roman"/>
                <w:b w:val="0"/>
                <w:sz w:val="17"/>
              </w:rPr>
              <w:t>diagnostic_reports</w:t>
            </w:r>
          </w:p>
        </w:tc>
        <w:tc>
          <w:tcPr>
            <w:tcW w:type="dxa" w:w="1417"/>
            <w:vAlign w:val="center"/>
          </w:tcPr>
          <w:p>
            <w:pPr>
              <w:jc w:val="left"/>
            </w:pPr>
            <w:r/>
            <w:r>
              <w:rPr>
                <w:rFonts w:ascii="Times New Roman" w:hAnsi="Times New Roman" w:eastAsia="Times New Roman"/>
                <w:b w:val="0"/>
                <w:sz w:val="17"/>
              </w:rPr>
              <w:t>3</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encounters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fhir</w:t>
            </w:r>
          </w:p>
        </w:tc>
        <w:tc>
          <w:tcPr>
            <w:tcW w:type="dxa" w:w="1417"/>
            <w:vAlign w:val="center"/>
          </w:tcPr>
          <w:p>
            <w:pPr>
              <w:jc w:val="left"/>
            </w:pPr>
            <w:r/>
            <w:r>
              <w:rPr>
                <w:rFonts w:ascii="Times New Roman" w:hAnsi="Times New Roman" w:eastAsia="Times New Roman"/>
                <w:b w:val="0"/>
                <w:sz w:val="17"/>
              </w:rPr>
              <w:t>8</w:t>
            </w:r>
          </w:p>
        </w:tc>
        <w:tc>
          <w:tcPr>
            <w:tcW w:type="dxa" w:w="4989"/>
            <w:vAlign w:val="center"/>
          </w:tcPr>
          <w:p>
            <w:pPr>
              <w:jc w:val="left"/>
            </w:pPr>
            <w:r/>
            <w:r>
              <w:rPr>
                <w:rFonts w:ascii="Times New Roman" w:hAnsi="Times New Roman" w:eastAsia="Times New Roman"/>
                <w:b w:val="0"/>
                <w:sz w:val="17"/>
              </w:rPr>
              <w:t>Admin, Data Manager, Doctor, Nurse, Pharmacist</w:t>
            </w:r>
          </w:p>
        </w:tc>
      </w:tr>
      <w:tr>
        <w:trPr>
          <w:cantSplit/>
        </w:trPr>
        <w:tc>
          <w:tcPr>
            <w:tcW w:type="dxa" w:w="2551"/>
            <w:vAlign w:val="center"/>
          </w:tcPr>
          <w:p>
            <w:pPr>
              <w:jc w:val="left"/>
            </w:pPr>
            <w:r/>
            <w:r>
              <w:rPr>
                <w:rFonts w:ascii="Times New Roman" w:hAnsi="Times New Roman" w:eastAsia="Times New Roman"/>
                <w:b w:val="0"/>
                <w:sz w:val="17"/>
              </w:rPr>
              <w:t>fhir_conditions</w:t>
            </w:r>
          </w:p>
        </w:tc>
        <w:tc>
          <w:tcPr>
            <w:tcW w:type="dxa" w:w="1417"/>
            <w:vAlign w:val="center"/>
          </w:tcPr>
          <w:p>
            <w:pPr>
              <w:jc w:val="left"/>
            </w:pPr>
            <w:r/>
            <w:r>
              <w:rPr>
                <w:rFonts w:ascii="Times New Roman" w:hAnsi="Times New Roman" w:eastAsia="Times New Roman"/>
                <w:b w:val="0"/>
                <w:sz w:val="17"/>
              </w:rPr>
              <w:t>2</w:t>
            </w:r>
          </w:p>
        </w:tc>
        <w:tc>
          <w:tcPr>
            <w:tcW w:type="dxa" w:w="4989"/>
            <w:vAlign w:val="center"/>
          </w:tcPr>
          <w:p>
            <w:pPr>
              <w:jc w:val="left"/>
            </w:pPr>
            <w:r/>
            <w:r>
              <w:rPr>
                <w:rFonts w:ascii="Times New Roman" w:hAnsi="Times New Roman" w:eastAsia="Times New Roman"/>
                <w:b w:val="0"/>
                <w:sz w:val="17"/>
              </w:rPr>
              <w:t>Admin, Data Manager, Doctor, Nurse</w:t>
            </w:r>
          </w:p>
        </w:tc>
      </w:tr>
      <w:tr>
        <w:trPr>
          <w:cantSplit/>
        </w:trPr>
        <w:tc>
          <w:tcPr>
            <w:tcW w:type="dxa" w:w="2551"/>
            <w:vAlign w:val="center"/>
          </w:tcPr>
          <w:p>
            <w:pPr>
              <w:jc w:val="left"/>
            </w:pPr>
            <w:r/>
            <w:r>
              <w:rPr>
                <w:rFonts w:ascii="Times New Roman" w:hAnsi="Times New Roman" w:eastAsia="Times New Roman"/>
                <w:b w:val="0"/>
                <w:sz w:val="17"/>
              </w:rPr>
              <w:t>observations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patients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prescriptions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Nurse, Pharmacist</w:t>
            </w:r>
          </w:p>
        </w:tc>
      </w:tr>
    </w:tbl>
    <w:p/>
    <w:sectPr w:rsidR="00FC693F" w:rsidRPr="0006063C" w:rsidSect="00034616">
      <w:headerReference w:type="default" r:id="rId9"/>
      <w:footerReference w:type="default" r:id="rId10"/>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7"/>
      </w:rPr>
      <w:t>Healthcare Cloud Platform | Security Architecture and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6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