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imes New Roman" w:hAnsi="Times New Roman"/>
          <w:b/>
          <w:sz w:val="48"/>
        </w:rPr>
        <w:t>BACKUP, RECOVERY</w:t>
        <w:br/>
        <w:t>AND DATA RESILIENCE</w:t>
      </w:r>
    </w:p>
    <w:p>
      <w:pPr>
        <w:spacing w:before="360"/>
        <w:jc w:val="center"/>
      </w:pPr>
      <w:r>
        <w:rPr>
          <w:rFonts w:ascii="Times New Roman" w:hAnsi="Times New Roman"/>
          <w:b/>
          <w:sz w:val="32"/>
        </w:rPr>
        <w:t>Healthcare Cloud Platform</w:t>
      </w:r>
    </w:p>
    <w:p>
      <w:pPr>
        <w:spacing w:before="840"/>
        <w:jc w:val="center"/>
      </w:pPr>
      <w:r>
        <w:rPr>
          <w:rFonts w:ascii="Times New Roman" w:hAnsi="Times New Roman"/>
          <w:i/>
          <w:sz w:val="24"/>
        </w:rPr>
        <w:t>A source-grounded evaluation of PostgreSQL and MinIO backup, isolated restoration, integrity verification, cleanup, and persistent Docker storage</w:t>
      </w:r>
    </w:p>
    <w:p>
      <w:pPr>
        <w:spacing w:before="1900"/>
        <w:jc w:val="center"/>
      </w:pPr>
      <w:r>
        <w:rPr>
          <w:rFonts w:ascii="Times New Roman" w:hAnsi="Times New Roman"/>
          <w:b/>
          <w:sz w:val="24"/>
        </w:rPr>
        <w:t>PostgreSQL: 19/19 checks passed | MinIO: 23/23 checks passed</w:t>
      </w:r>
    </w:p>
    <w:p>
      <w:r>
        <w:br w:type="page"/>
      </w:r>
    </w:p>
    <w:p>
      <w:pPr>
        <w:pStyle w:val="Heading1"/>
      </w:pPr>
      <w:r>
        <w:t>Executive Summary</w:t>
      </w:r>
    </w:p>
    <w:p>
      <w:r>
        <w:t>This chapter evaluates the backup, restoration, and data-resilience mechanisms implemented for the Healthcare Cloud Platform. Structured healthcare data are stored in PostgreSQL, while binary diagnostic objects are stored in MinIO. The supplied recovery tests do not merely create backup files. They restore the backups into temporary isolated targets and compare the restored state with the source state.</w:t>
      </w:r>
    </w:p>
    <w:p>
      <w:r>
        <w:t>The current PostgreSQL validation produced a 52,847,810-byte custom archive, recorded SHA-256 digest 2ccded46a6fd14c6ec584bf2bed7fee4c82f37518b5908295ec7184430bbaec3, restored the archive into healthcare_cloud_db_restore_test, verified 10 public tables, 30 constraints, 50 indexes, and exact row counts totaling 1,581,949 rows. All 19 checks passed and the temporary restore database was removed.</w:t>
      </w:r>
    </w:p>
    <w:p>
      <w:r>
        <w:t>The MinIO validation inventoried seven objects totaling 488 bytes, copied each object to a local backup directory, recorded metadata and SHA-256 values, restored the objects into a uniquely named temporary bucket, and reverified object count, total size, per-object size, and per-object checksum. All 23 checks passed and the temporary bucket was removed.</w:t>
      </w:r>
    </w:p>
    <w:p>
      <w:r>
        <w:t>These results demonstrate recoverability for the tested local environment and datasets. They do not establish off-site disaster recovery, encrypted backup retention, point-in-time recovery, defined recovery objectives, or recovery from complete host loss.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Validation</w:t>
            </w:r>
          </w:p>
        </w:tc>
        <w:tc>
          <w:tcPr>
            <w:tcW w:type="dxa" w:w="2379"/>
            <w:vAlign w:val="center"/>
            <w:shd w:fill="D9E1F2"/>
          </w:tcPr>
          <w:p>
            <w:pPr>
              <w:jc w:val="left"/>
            </w:pPr>
            <w:r/>
            <w:r>
              <w:rPr>
                <w:rFonts w:ascii="Times New Roman" w:hAnsi="Times New Roman" w:eastAsia="Times New Roman"/>
                <w:b/>
                <w:sz w:val="17"/>
              </w:rPr>
              <w:t>Checks</w:t>
            </w:r>
          </w:p>
        </w:tc>
        <w:tc>
          <w:tcPr>
            <w:tcW w:type="dxa" w:w="2379"/>
            <w:vAlign w:val="center"/>
            <w:shd w:fill="D9E1F2"/>
          </w:tcPr>
          <w:p>
            <w:pPr>
              <w:jc w:val="left"/>
            </w:pPr>
            <w:r/>
            <w:r>
              <w:rPr>
                <w:rFonts w:ascii="Times New Roman" w:hAnsi="Times New Roman" w:eastAsia="Times New Roman"/>
                <w:b/>
                <w:sz w:val="17"/>
              </w:rPr>
              <w:t>Scope</w:t>
            </w:r>
          </w:p>
        </w:tc>
        <w:tc>
          <w:tcPr>
            <w:tcW w:type="dxa" w:w="2379"/>
            <w:vAlign w:val="center"/>
            <w:shd w:fill="D9E1F2"/>
          </w:tcPr>
          <w:p>
            <w:pPr>
              <w:jc w:val="left"/>
            </w:pPr>
            <w:r/>
            <w:r>
              <w:rPr>
                <w:rFonts w:ascii="Times New Roman" w:hAnsi="Times New Roman" w:eastAsia="Times New Roman"/>
                <w:b/>
                <w:sz w:val="17"/>
              </w:rPr>
              <w:t>Status</w:t>
            </w:r>
          </w:p>
        </w:tc>
      </w:tr>
      <w:tr>
        <w:trPr>
          <w:cantSplit/>
        </w:trPr>
        <w:tc>
          <w:tcPr>
            <w:tcW w:type="dxa" w:w="2379"/>
            <w:vAlign w:val="center"/>
          </w:tcPr>
          <w:p>
            <w:pPr>
              <w:jc w:val="left"/>
            </w:pPr>
            <w:r/>
            <w:r>
              <w:rPr>
                <w:rFonts w:ascii="Times New Roman" w:hAnsi="Times New Roman" w:eastAsia="Times New Roman"/>
                <w:b w:val="0"/>
                <w:sz w:val="17"/>
              </w:rPr>
              <w:t>PostgreSQL backup and restore</w:t>
            </w:r>
          </w:p>
        </w:tc>
        <w:tc>
          <w:tcPr>
            <w:tcW w:type="dxa" w:w="2379"/>
            <w:vAlign w:val="center"/>
          </w:tcPr>
          <w:p>
            <w:pPr>
              <w:jc w:val="left"/>
            </w:pPr>
            <w:r/>
            <w:r>
              <w:rPr>
                <w:rFonts w:ascii="Times New Roman" w:hAnsi="Times New Roman" w:eastAsia="Times New Roman"/>
                <w:b w:val="0"/>
                <w:sz w:val="17"/>
              </w:rPr>
              <w:t>19/19</w:t>
            </w:r>
          </w:p>
        </w:tc>
        <w:tc>
          <w:tcPr>
            <w:tcW w:type="dxa" w:w="2379"/>
            <w:vAlign w:val="center"/>
          </w:tcPr>
          <w:p>
            <w:pPr>
              <w:jc w:val="left"/>
            </w:pPr>
            <w:r/>
            <w:r>
              <w:rPr>
                <w:rFonts w:ascii="Times New Roman" w:hAnsi="Times New Roman" w:eastAsia="Times New Roman"/>
                <w:b w:val="0"/>
                <w:sz w:val="17"/>
              </w:rPr>
              <w:t>10 tables; 30 constraints; 50 indexes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Exact PostgreSQL row comparison</w:t>
            </w:r>
          </w:p>
        </w:tc>
        <w:tc>
          <w:tcPr>
            <w:tcW w:type="dxa" w:w="2379"/>
            <w:vAlign w:val="center"/>
          </w:tcPr>
          <w:p>
            <w:pPr>
              <w:jc w:val="left"/>
            </w:pPr>
            <w:r/>
            <w:r>
              <w:rPr>
                <w:rFonts w:ascii="Times New Roman" w:hAnsi="Times New Roman" w:eastAsia="Times New Roman"/>
                <w:b w:val="0"/>
                <w:sz w:val="17"/>
              </w:rPr>
              <w:t>10/10 tables</w:t>
            </w:r>
          </w:p>
        </w:tc>
        <w:tc>
          <w:tcPr>
            <w:tcW w:type="dxa" w:w="2379"/>
            <w:vAlign w:val="center"/>
          </w:tcPr>
          <w:p>
            <w:pPr>
              <w:jc w:val="left"/>
            </w:pPr>
            <w:r/>
            <w:r>
              <w:rPr>
                <w:rFonts w:ascii="Times New Roman" w:hAnsi="Times New Roman" w:eastAsia="Times New Roman"/>
                <w:b w:val="0"/>
                <w:sz w:val="17"/>
              </w:rPr>
              <w:t>1,581,949 rows matched</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MinIO backup and restore</w:t>
            </w:r>
          </w:p>
        </w:tc>
        <w:tc>
          <w:tcPr>
            <w:tcW w:type="dxa" w:w="2379"/>
            <w:vAlign w:val="center"/>
          </w:tcPr>
          <w:p>
            <w:pPr>
              <w:jc w:val="left"/>
            </w:pPr>
            <w:r/>
            <w:r>
              <w:rPr>
                <w:rFonts w:ascii="Times New Roman" w:hAnsi="Times New Roman" w:eastAsia="Times New Roman"/>
                <w:b w:val="0"/>
                <w:sz w:val="17"/>
              </w:rPr>
              <w:t>23/23</w:t>
            </w:r>
          </w:p>
        </w:tc>
        <w:tc>
          <w:tcPr>
            <w:tcW w:type="dxa" w:w="2379"/>
            <w:vAlign w:val="center"/>
          </w:tcPr>
          <w:p>
            <w:pPr>
              <w:jc w:val="left"/>
            </w:pPr>
            <w:r/>
            <w:r>
              <w:rPr>
                <w:rFonts w:ascii="Times New Roman" w:hAnsi="Times New Roman" w:eastAsia="Times New Roman"/>
                <w:b w:val="0"/>
                <w:sz w:val="17"/>
              </w:rPr>
              <w:t>7 objects; 488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target cleanup</w:t>
            </w:r>
          </w:p>
        </w:tc>
        <w:tc>
          <w:tcPr>
            <w:tcW w:type="dxa" w:w="2379"/>
            <w:vAlign w:val="center"/>
          </w:tcPr>
          <w:p>
            <w:pPr>
              <w:jc w:val="left"/>
            </w:pPr>
            <w:r/>
            <w:r>
              <w:rPr>
                <w:rFonts w:ascii="Times New Roman" w:hAnsi="Times New Roman" w:eastAsia="Times New Roman"/>
                <w:b w:val="0"/>
                <w:sz w:val="17"/>
              </w:rPr>
              <w:t>2/2</w:t>
            </w:r>
          </w:p>
        </w:tc>
        <w:tc>
          <w:tcPr>
            <w:tcW w:type="dxa" w:w="2379"/>
            <w:vAlign w:val="center"/>
          </w:tcPr>
          <w:p>
            <w:pPr>
              <w:jc w:val="left"/>
            </w:pPr>
            <w:r/>
            <w:r>
              <w:rPr>
                <w:rFonts w:ascii="Times New Roman" w:hAnsi="Times New Roman" w:eastAsia="Times New Roman"/>
                <w:b w:val="0"/>
                <w:sz w:val="17"/>
              </w:rPr>
              <w:t>Database and bucket removed</w:t>
            </w:r>
          </w:p>
        </w:tc>
        <w:tc>
          <w:tcPr>
            <w:tcW w:type="dxa" w:w="2379"/>
            <w:vAlign w:val="center"/>
          </w:tcPr>
          <w:p>
            <w:pPr>
              <w:jc w:val="left"/>
            </w:pPr>
            <w:r/>
            <w:r>
              <w:rPr>
                <w:rFonts w:ascii="Times New Roman" w:hAnsi="Times New Roman" w:eastAsia="Times New Roman"/>
                <w:b w:val="0"/>
                <w:sz w:val="17"/>
              </w:rPr>
              <w:t>PASS</w:t>
            </w:r>
          </w:p>
        </w:tc>
      </w:tr>
    </w:tbl>
    <w:p/>
    <w:p>
      <w:pPr>
        <w:pStyle w:val="Heading1"/>
      </w:pPr>
      <w:r>
        <w:t>Chapter Structure</w:t>
      </w:r>
    </w:p>
    <w:p>
      <w:pPr>
        <w:spacing w:after="0" w:line="240" w:lineRule="auto"/>
        <w:ind w:left="227"/>
      </w:pPr>
      <w:r>
        <w:rPr>
          <w:rFonts w:ascii="Times New Roman" w:hAnsi="Times New Roman"/>
          <w:sz w:val="19"/>
        </w:rPr>
        <w:t>1. Resilience objectives and data domains</w:t>
      </w:r>
    </w:p>
    <w:p>
      <w:pPr>
        <w:spacing w:after="0" w:line="240" w:lineRule="auto"/>
        <w:ind w:left="227"/>
      </w:pPr>
      <w:r>
        <w:rPr>
          <w:rFonts w:ascii="Times New Roman" w:hAnsi="Times New Roman"/>
          <w:sz w:val="19"/>
        </w:rPr>
        <w:t>2. Persistent storage architecture</w:t>
      </w:r>
    </w:p>
    <w:p>
      <w:pPr>
        <w:spacing w:after="0" w:line="240" w:lineRule="auto"/>
        <w:ind w:left="227"/>
      </w:pPr>
      <w:r>
        <w:rPr>
          <w:rFonts w:ascii="Times New Roman" w:hAnsi="Times New Roman"/>
          <w:sz w:val="19"/>
        </w:rPr>
        <w:t>3. PostgreSQL backup procedure</w:t>
      </w:r>
    </w:p>
    <w:p>
      <w:pPr>
        <w:spacing w:after="0" w:line="240" w:lineRule="auto"/>
        <w:ind w:left="227"/>
      </w:pPr>
      <w:r>
        <w:rPr>
          <w:rFonts w:ascii="Times New Roman" w:hAnsi="Times New Roman"/>
          <w:sz w:val="19"/>
        </w:rPr>
        <w:t>4. PostgreSQL restoration and validation</w:t>
      </w:r>
    </w:p>
    <w:p>
      <w:pPr>
        <w:spacing w:after="0" w:line="240" w:lineRule="auto"/>
        <w:ind w:left="227"/>
      </w:pPr>
      <w:r>
        <w:rPr>
          <w:rFonts w:ascii="Times New Roman" w:hAnsi="Times New Roman"/>
          <w:sz w:val="19"/>
        </w:rPr>
        <w:t>5. MinIO backup procedure</w:t>
      </w:r>
    </w:p>
    <w:p>
      <w:pPr>
        <w:spacing w:after="0" w:line="240" w:lineRule="auto"/>
        <w:ind w:left="227"/>
      </w:pPr>
      <w:r>
        <w:rPr>
          <w:rFonts w:ascii="Times New Roman" w:hAnsi="Times New Roman"/>
          <w:sz w:val="19"/>
        </w:rPr>
        <w:t>6. MinIO restoration and object-integrity validation</w:t>
      </w:r>
    </w:p>
    <w:p>
      <w:pPr>
        <w:spacing w:after="0" w:line="240" w:lineRule="auto"/>
        <w:ind w:left="227"/>
      </w:pPr>
      <w:r>
        <w:rPr>
          <w:rFonts w:ascii="Times New Roman" w:hAnsi="Times New Roman"/>
          <w:sz w:val="19"/>
        </w:rPr>
        <w:t>7. Validation results and evidence</w:t>
      </w:r>
    </w:p>
    <w:p>
      <w:pPr>
        <w:spacing w:after="0" w:line="240" w:lineRule="auto"/>
        <w:ind w:left="227"/>
      </w:pPr>
      <w:r>
        <w:rPr>
          <w:rFonts w:ascii="Times New Roman" w:hAnsi="Times New Roman"/>
          <w:sz w:val="19"/>
        </w:rPr>
        <w:t>8. Recovery limitations and risk analysis</w:t>
      </w:r>
    </w:p>
    <w:p>
      <w:pPr>
        <w:spacing w:after="0" w:line="240" w:lineRule="auto"/>
        <w:ind w:left="227"/>
      </w:pPr>
      <w:r>
        <w:rPr>
          <w:rFonts w:ascii="Times New Roman" w:hAnsi="Times New Roman"/>
          <w:sz w:val="19"/>
        </w:rPr>
        <w:t>9. Remote backup and disaster-recovery recommendations</w:t>
      </w:r>
    </w:p>
    <w:p>
      <w:pPr>
        <w:spacing w:after="0" w:line="240" w:lineRule="auto"/>
        <w:ind w:left="227"/>
      </w:pPr>
      <w:r>
        <w:rPr>
          <w:rFonts w:ascii="Times New Roman" w:hAnsi="Times New Roman"/>
          <w:sz w:val="19"/>
        </w:rPr>
        <w:t>10. Conclusion</w:t>
      </w:r>
    </w:p>
    <w:p>
      <w:r>
        <w:br w:type="page"/>
      </w:r>
    </w:p>
    <w:p>
      <w:pPr>
        <w:pStyle w:val="Heading1"/>
      </w:pPr>
      <w:r>
        <w:t>1. Resilience Objectives and Data Domains</w:t>
      </w:r>
    </w:p>
    <w:p>
      <w:r>
        <w:t>The recovery design addresses two persistence domains with different data characteristics. PostgreSQL contains relational healthcare records, authentication data, roles, audit records, constraints, indexes, and the Alembic migration state. MinIO contains binary healthcare objects and related object metadata. A complete recovery strategy must protect both domains because restoring only one would produce an inconsistent platform.</w:t>
      </w:r>
    </w:p>
    <w:p>
      <w:pPr>
        <w:pStyle w:val="ListBullet"/>
      </w:pPr>
      <w:r>
        <w:t>Recoverability: backup artifacts must be readable and restorable into isolated targets.</w:t>
      </w:r>
    </w:p>
    <w:p>
      <w:pPr>
        <w:pStyle w:val="ListBullet"/>
      </w:pPr>
      <w:r>
        <w:t>Integrity: restored relational rows and binary object hashes must match their sources.</w:t>
      </w:r>
    </w:p>
    <w:p>
      <w:pPr>
        <w:pStyle w:val="ListBullet"/>
      </w:pPr>
      <w:r>
        <w:t>Completeness: schema objects, tables, object counts, and total object sizes must be verified.</w:t>
      </w:r>
    </w:p>
    <w:p>
      <w:pPr>
        <w:pStyle w:val="ListBullet"/>
      </w:pPr>
      <w:r>
        <w:t>Isolation: validation must not overwrite the production database or source bucket.</w:t>
      </w:r>
    </w:p>
    <w:p>
      <w:pPr>
        <w:pStyle w:val="ListBullet"/>
      </w:pPr>
      <w:r>
        <w:t>Cleanup: temporary recovery targets must be removed after validation.</w:t>
      </w:r>
    </w:p>
    <w:p>
      <w:pPr>
        <w:pStyle w:val="ListBullet"/>
      </w:pPr>
      <w:r>
        <w:t>Evidence: machine-readable CSV files and human-readable summaries must record the result.</w:t>
      </w:r>
    </w:p>
    <w:p>
      <w:pPr>
        <w:jc w:val="center"/>
      </w:pPr>
      <w:r>
        <w:drawing>
          <wp:inline xmlns:a="http://schemas.openxmlformats.org/drawingml/2006/main" xmlns:pic="http://schemas.openxmlformats.org/drawingml/2006/picture">
            <wp:extent cx="6126480" cy="3834307"/>
            <wp:docPr id="1" name="Picture 1"/>
            <wp:cNvGraphicFramePr>
              <a:graphicFrameLocks noChangeAspect="1"/>
            </wp:cNvGraphicFramePr>
            <a:graphic>
              <a:graphicData uri="http://schemas.openxmlformats.org/drawingml/2006/picture">
                <pic:pic>
                  <pic:nvPicPr>
                    <pic:cNvPr id="0" name="recovery_workflow.png"/>
                    <pic:cNvPicPr/>
                  </pic:nvPicPr>
                  <pic:blipFill>
                    <a:blip r:embed="rId11"/>
                    <a:stretch>
                      <a:fillRect/>
                    </a:stretch>
                  </pic:blipFill>
                  <pic:spPr>
                    <a:xfrm>
                      <a:off x="0" y="0"/>
                      <a:ext cx="6126480" cy="3834307"/>
                    </a:xfrm>
                    <a:prstGeom prst="rect"/>
                  </pic:spPr>
                </pic:pic>
              </a:graphicData>
            </a:graphic>
          </wp:inline>
        </w:drawing>
      </w:r>
    </w:p>
    <w:p>
      <w:pPr>
        <w:pStyle w:val="AcademicCaption"/>
      </w:pPr>
      <w:r>
        <w:t>Figure 1. Backup and recovery validation workflow used for PostgreSQL and MinIO.</w:t>
      </w:r>
    </w:p>
    <w:p>
      <w:pPr>
        <w:pStyle w:val="Heading1"/>
      </w:pPr>
      <w:r>
        <w:t>2. Persistent Storage Architecture</w:t>
      </w:r>
    </w:p>
    <w:p>
      <w:r>
        <w:t>The production Docker Compose configuration assigns PostgreSQL and MinIO separate named volumes: postgres_prod_data and minio_prod_data. The services are attached to an internal data network and are not published directly to the host. The backend is connected to both the edge and data networks and mediates application access to persistence services.</w:t>
      </w:r>
    </w:p>
    <w:p>
      <w:pPr>
        <w:jc w:val="center"/>
      </w:pPr>
      <w:r>
        <w:drawing>
          <wp:inline xmlns:a="http://schemas.openxmlformats.org/drawingml/2006/main" xmlns:pic="http://schemas.openxmlformats.org/drawingml/2006/picture">
            <wp:extent cx="6035040" cy="3599975"/>
            <wp:docPr id="2" name="Picture 2"/>
            <wp:cNvGraphicFramePr>
              <a:graphicFrameLocks noChangeAspect="1"/>
            </wp:cNvGraphicFramePr>
            <a:graphic>
              <a:graphicData uri="http://schemas.openxmlformats.org/drawingml/2006/picture">
                <pic:pic>
                  <pic:nvPicPr>
                    <pic:cNvPr id="0" name="persistent_storage_topology.png"/>
                    <pic:cNvPicPr/>
                  </pic:nvPicPr>
                  <pic:blipFill>
                    <a:blip r:embed="rId12"/>
                    <a:stretch>
                      <a:fillRect/>
                    </a:stretch>
                  </pic:blipFill>
                  <pic:spPr>
                    <a:xfrm>
                      <a:off x="0" y="0"/>
                      <a:ext cx="6035040" cy="3599975"/>
                    </a:xfrm>
                    <a:prstGeom prst="rect"/>
                  </pic:spPr>
                </pic:pic>
              </a:graphicData>
            </a:graphic>
          </wp:inline>
        </w:drawing>
      </w:r>
    </w:p>
    <w:p>
      <w:pPr>
        <w:pStyle w:val="AcademicCaption"/>
      </w:pPr>
      <w:r>
        <w:t>Figure 2. Persistent Docker storage topology.</w:t>
      </w:r>
    </w:p>
    <w:p>
      <w:r>
        <w:t>Named volumes preserve service data across normal container replacement and restart operations. They do not constitute independent backups because volume loss, host failure, administrative deletion, ransomware, or storage corruption can affect both the service and its local volume. The validated logical PostgreSQL dump and MinIO object-copy workflow therefore provide a separate recovery layer.</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Service</w:t>
            </w:r>
          </w:p>
        </w:tc>
        <w:tc>
          <w:tcPr>
            <w:tcW w:type="dxa" w:w="2379"/>
            <w:vAlign w:val="center"/>
            <w:shd w:fill="D9E1F2"/>
          </w:tcPr>
          <w:p>
            <w:pPr>
              <w:jc w:val="left"/>
            </w:pPr>
            <w:r/>
            <w:r>
              <w:rPr>
                <w:rFonts w:ascii="Times New Roman" w:hAnsi="Times New Roman" w:eastAsia="Times New Roman"/>
                <w:b/>
                <w:sz w:val="17"/>
              </w:rPr>
              <w:t>Persistent volume</w:t>
            </w:r>
          </w:p>
        </w:tc>
        <w:tc>
          <w:tcPr>
            <w:tcW w:type="dxa" w:w="2379"/>
            <w:vAlign w:val="center"/>
            <w:shd w:fill="D9E1F2"/>
          </w:tcPr>
          <w:p>
            <w:pPr>
              <w:jc w:val="left"/>
            </w:pPr>
            <w:r/>
            <w:r>
              <w:rPr>
                <w:rFonts w:ascii="Times New Roman" w:hAnsi="Times New Roman" w:eastAsia="Times New Roman"/>
                <w:b/>
                <w:sz w:val="17"/>
              </w:rPr>
              <w:t>Primary contents</w:t>
            </w:r>
          </w:p>
        </w:tc>
        <w:tc>
          <w:tcPr>
            <w:tcW w:type="dxa" w:w="2379"/>
            <w:vAlign w:val="center"/>
            <w:shd w:fill="D9E1F2"/>
          </w:tcPr>
          <w:p>
            <w:pPr>
              <w:jc w:val="left"/>
            </w:pPr>
            <w:r/>
            <w:r>
              <w:rPr>
                <w:rFonts w:ascii="Times New Roman" w:hAnsi="Times New Roman" w:eastAsia="Times New Roman"/>
                <w:b/>
                <w:sz w:val="17"/>
              </w:rPr>
              <w:t>Backup form</w:t>
            </w:r>
          </w:p>
        </w:tc>
      </w:tr>
      <w:tr>
        <w:trPr>
          <w:cantSplit/>
        </w:trPr>
        <w:tc>
          <w:tcPr>
            <w:tcW w:type="dxa" w:w="2379"/>
            <w:vAlign w:val="center"/>
          </w:tcPr>
          <w:p>
            <w:pPr>
              <w:jc w:val="left"/>
            </w:pPr>
            <w:r/>
            <w:r>
              <w:rPr>
                <w:rFonts w:ascii="Times New Roman" w:hAnsi="Times New Roman" w:eastAsia="Times New Roman"/>
                <w:b w:val="0"/>
                <w:sz w:val="17"/>
              </w:rPr>
              <w:t>PostgreSQL</w:t>
            </w:r>
          </w:p>
        </w:tc>
        <w:tc>
          <w:tcPr>
            <w:tcW w:type="dxa" w:w="2379"/>
            <w:vAlign w:val="center"/>
          </w:tcPr>
          <w:p>
            <w:pPr>
              <w:jc w:val="left"/>
            </w:pPr>
            <w:r/>
            <w:r>
              <w:rPr>
                <w:rFonts w:ascii="Times New Roman" w:hAnsi="Times New Roman" w:eastAsia="Times New Roman"/>
                <w:b w:val="0"/>
                <w:sz w:val="17"/>
              </w:rPr>
              <w:t>postgres_prod_data</w:t>
            </w:r>
          </w:p>
        </w:tc>
        <w:tc>
          <w:tcPr>
            <w:tcW w:type="dxa" w:w="2379"/>
            <w:vAlign w:val="center"/>
          </w:tcPr>
          <w:p>
            <w:pPr>
              <w:jc w:val="left"/>
            </w:pPr>
            <w:r/>
            <w:r>
              <w:rPr>
                <w:rFonts w:ascii="Times New Roman" w:hAnsi="Times New Roman" w:eastAsia="Times New Roman"/>
                <w:b w:val="0"/>
                <w:sz w:val="17"/>
              </w:rPr>
              <w:t>Structured relational records, schema, constraints, indexes</w:t>
            </w:r>
          </w:p>
        </w:tc>
        <w:tc>
          <w:tcPr>
            <w:tcW w:type="dxa" w:w="2379"/>
            <w:vAlign w:val="center"/>
          </w:tcPr>
          <w:p>
            <w:pPr>
              <w:jc w:val="left"/>
            </w:pPr>
            <w:r/>
            <w:r>
              <w:rPr>
                <w:rFonts w:ascii="Times New Roman" w:hAnsi="Times New Roman" w:eastAsia="Times New Roman"/>
                <w:b w:val="0"/>
                <w:sz w:val="17"/>
              </w:rPr>
              <w:t>Custom logical dump</w:t>
            </w:r>
          </w:p>
        </w:tc>
      </w:tr>
      <w:tr>
        <w:trPr>
          <w:cantSplit/>
        </w:trPr>
        <w:tc>
          <w:tcPr>
            <w:tcW w:type="dxa" w:w="2379"/>
            <w:vAlign w:val="center"/>
          </w:tcPr>
          <w:p>
            <w:pPr>
              <w:jc w:val="left"/>
            </w:pPr>
            <w:r/>
            <w:r>
              <w:rPr>
                <w:rFonts w:ascii="Times New Roman" w:hAnsi="Times New Roman" w:eastAsia="Times New Roman"/>
                <w:b w:val="0"/>
                <w:sz w:val="17"/>
              </w:rPr>
              <w:t>MinIO</w:t>
            </w:r>
          </w:p>
        </w:tc>
        <w:tc>
          <w:tcPr>
            <w:tcW w:type="dxa" w:w="2379"/>
            <w:vAlign w:val="center"/>
          </w:tcPr>
          <w:p>
            <w:pPr>
              <w:jc w:val="left"/>
            </w:pPr>
            <w:r/>
            <w:r>
              <w:rPr>
                <w:rFonts w:ascii="Times New Roman" w:hAnsi="Times New Roman" w:eastAsia="Times New Roman"/>
                <w:b w:val="0"/>
                <w:sz w:val="17"/>
              </w:rPr>
              <w:t>minio_prod_data</w:t>
            </w:r>
          </w:p>
        </w:tc>
        <w:tc>
          <w:tcPr>
            <w:tcW w:type="dxa" w:w="2379"/>
            <w:vAlign w:val="center"/>
          </w:tcPr>
          <w:p>
            <w:pPr>
              <w:jc w:val="left"/>
            </w:pPr>
            <w:r/>
            <w:r>
              <w:rPr>
                <w:rFonts w:ascii="Times New Roman" w:hAnsi="Times New Roman" w:eastAsia="Times New Roman"/>
                <w:b w:val="0"/>
                <w:sz w:val="17"/>
              </w:rPr>
              <w:t>Binary reports and attachments</w:t>
            </w:r>
          </w:p>
        </w:tc>
        <w:tc>
          <w:tcPr>
            <w:tcW w:type="dxa" w:w="2379"/>
            <w:vAlign w:val="center"/>
          </w:tcPr>
          <w:p>
            <w:pPr>
              <w:jc w:val="left"/>
            </w:pPr>
            <w:r/>
            <w:r>
              <w:rPr>
                <w:rFonts w:ascii="Times New Roman" w:hAnsi="Times New Roman" w:eastAsia="Times New Roman"/>
                <w:b w:val="0"/>
                <w:sz w:val="17"/>
              </w:rPr>
              <w:t>Object files plus manifest and checksums</w:t>
            </w:r>
          </w:p>
        </w:tc>
      </w:tr>
    </w:tbl>
    <w:p/>
    <w:p>
      <w:pPr>
        <w:pStyle w:val="Heading1"/>
      </w:pPr>
      <w:r>
        <w:t>3. PostgreSQL Backup Procedure</w:t>
      </w:r>
    </w:p>
    <w:p>
      <w:pPr>
        <w:pStyle w:val="Heading2"/>
      </w:pPr>
      <w:r>
        <w:t>3.1 Pre-flight validation</w:t>
      </w:r>
    </w:p>
    <w:p>
      <w:r>
        <w:t>The recovery script first confirms that the PostgreSQL container is running. It then queries the source database for the number of public tables, constraints, and indexes. These source values form part of the restoration oracle used later in the test.</w:t>
      </w:r>
    </w:p>
    <w:p>
      <w:pPr>
        <w:pStyle w:val="Heading2"/>
      </w:pPr>
      <w:r>
        <w:t>3.2 Logical backup creation</w:t>
      </w:r>
    </w:p>
    <w:p>
      <w:r>
        <w:t>The current Python validation invokes pg_dump inside the PostgreSQL container using custom archive format, compression level 6, no ownership statements, and no privilege statements. The archive is created temporarily inside the container and then copied to the host recovery directory.</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Setting</w:t>
            </w:r>
          </w:p>
        </w:tc>
        <w:tc>
          <w:tcPr>
            <w:tcW w:type="dxa" w:w="3173"/>
            <w:vAlign w:val="center"/>
            <w:shd w:fill="D9E1F2"/>
          </w:tcPr>
          <w:p>
            <w:pPr>
              <w:jc w:val="left"/>
            </w:pPr>
            <w:r/>
            <w:r>
              <w:rPr>
                <w:rFonts w:ascii="Times New Roman" w:hAnsi="Times New Roman" w:eastAsia="Times New Roman"/>
                <w:b/>
                <w:sz w:val="17"/>
              </w:rPr>
              <w:t>Implementation</w:t>
            </w:r>
          </w:p>
        </w:tc>
        <w:tc>
          <w:tcPr>
            <w:tcW w:type="dxa" w:w="3173"/>
            <w:vAlign w:val="center"/>
            <w:shd w:fill="D9E1F2"/>
          </w:tcPr>
          <w:p>
            <w:pPr>
              <w:jc w:val="left"/>
            </w:pPr>
            <w:r/>
            <w:r>
              <w:rPr>
                <w:rFonts w:ascii="Times New Roman" w:hAnsi="Times New Roman" w:eastAsia="Times New Roman"/>
                <w:b/>
                <w:sz w:val="17"/>
              </w:rPr>
              <w:t>Reason</w:t>
            </w:r>
          </w:p>
        </w:tc>
      </w:tr>
      <w:tr>
        <w:trPr>
          <w:cantSplit/>
        </w:trPr>
        <w:tc>
          <w:tcPr>
            <w:tcW w:type="dxa" w:w="3173"/>
            <w:vAlign w:val="center"/>
          </w:tcPr>
          <w:p>
            <w:pPr>
              <w:jc w:val="left"/>
            </w:pPr>
            <w:r/>
            <w:r>
              <w:rPr>
                <w:rFonts w:ascii="Times New Roman" w:hAnsi="Times New Roman" w:eastAsia="Times New Roman"/>
                <w:b w:val="0"/>
                <w:sz w:val="17"/>
              </w:rPr>
              <w:t>Archive format</w:t>
            </w:r>
          </w:p>
        </w:tc>
        <w:tc>
          <w:tcPr>
            <w:tcW w:type="dxa" w:w="3173"/>
            <w:vAlign w:val="center"/>
          </w:tcPr>
          <w:p>
            <w:pPr>
              <w:jc w:val="left"/>
            </w:pPr>
            <w:r/>
            <w:r>
              <w:rPr>
                <w:rFonts w:ascii="Times New Roman" w:hAnsi="Times New Roman" w:eastAsia="Times New Roman"/>
                <w:b w:val="0"/>
                <w:sz w:val="17"/>
              </w:rPr>
              <w:t>pg_dump --format=custom</w:t>
            </w:r>
          </w:p>
        </w:tc>
        <w:tc>
          <w:tcPr>
            <w:tcW w:type="dxa" w:w="3173"/>
            <w:vAlign w:val="center"/>
          </w:tcPr>
          <w:p>
            <w:pPr>
              <w:jc w:val="left"/>
            </w:pPr>
            <w:r/>
            <w:r>
              <w:rPr>
                <w:rFonts w:ascii="Times New Roman" w:hAnsi="Times New Roman" w:eastAsia="Times New Roman"/>
                <w:b w:val="0"/>
                <w:sz w:val="17"/>
              </w:rPr>
              <w:t>Supports pg_restore and archive inspection</w:t>
            </w:r>
          </w:p>
        </w:tc>
      </w:tr>
      <w:tr>
        <w:trPr>
          <w:cantSplit/>
        </w:trPr>
        <w:tc>
          <w:tcPr>
            <w:tcW w:type="dxa" w:w="3173"/>
            <w:vAlign w:val="center"/>
          </w:tcPr>
          <w:p>
            <w:pPr>
              <w:jc w:val="left"/>
            </w:pPr>
            <w:r/>
            <w:r>
              <w:rPr>
                <w:rFonts w:ascii="Times New Roman" w:hAnsi="Times New Roman" w:eastAsia="Times New Roman"/>
                <w:b w:val="0"/>
                <w:sz w:val="17"/>
              </w:rPr>
              <w:t>Compression</w:t>
            </w:r>
          </w:p>
        </w:tc>
        <w:tc>
          <w:tcPr>
            <w:tcW w:type="dxa" w:w="3173"/>
            <w:vAlign w:val="center"/>
          </w:tcPr>
          <w:p>
            <w:pPr>
              <w:jc w:val="left"/>
            </w:pPr>
            <w:r/>
            <w:r>
              <w:rPr>
                <w:rFonts w:ascii="Times New Roman" w:hAnsi="Times New Roman" w:eastAsia="Times New Roman"/>
                <w:b w:val="0"/>
                <w:sz w:val="17"/>
              </w:rPr>
              <w:t>--compress=6</w:t>
            </w:r>
          </w:p>
        </w:tc>
        <w:tc>
          <w:tcPr>
            <w:tcW w:type="dxa" w:w="3173"/>
            <w:vAlign w:val="center"/>
          </w:tcPr>
          <w:p>
            <w:pPr>
              <w:jc w:val="left"/>
            </w:pPr>
            <w:r/>
            <w:r>
              <w:rPr>
                <w:rFonts w:ascii="Times New Roman" w:hAnsi="Times New Roman" w:eastAsia="Times New Roman"/>
                <w:b w:val="0"/>
                <w:sz w:val="17"/>
              </w:rPr>
              <w:t>Reduces host backup size</w:t>
            </w:r>
          </w:p>
        </w:tc>
      </w:tr>
      <w:tr>
        <w:trPr>
          <w:cantSplit/>
        </w:trPr>
        <w:tc>
          <w:tcPr>
            <w:tcW w:type="dxa" w:w="3173"/>
            <w:vAlign w:val="center"/>
          </w:tcPr>
          <w:p>
            <w:pPr>
              <w:jc w:val="left"/>
            </w:pPr>
            <w:r/>
            <w:r>
              <w:rPr>
                <w:rFonts w:ascii="Times New Roman" w:hAnsi="Times New Roman" w:eastAsia="Times New Roman"/>
                <w:b w:val="0"/>
                <w:sz w:val="17"/>
              </w:rPr>
              <w:t>Ownership handling</w:t>
            </w:r>
          </w:p>
        </w:tc>
        <w:tc>
          <w:tcPr>
            <w:tcW w:type="dxa" w:w="3173"/>
            <w:vAlign w:val="center"/>
          </w:tcPr>
          <w:p>
            <w:pPr>
              <w:jc w:val="left"/>
            </w:pPr>
            <w:r/>
            <w:r>
              <w:rPr>
                <w:rFonts w:ascii="Times New Roman" w:hAnsi="Times New Roman" w:eastAsia="Times New Roman"/>
                <w:b w:val="0"/>
                <w:sz w:val="17"/>
              </w:rPr>
              <w:t>--no-owner</w:t>
            </w:r>
          </w:p>
        </w:tc>
        <w:tc>
          <w:tcPr>
            <w:tcW w:type="dxa" w:w="3173"/>
            <w:vAlign w:val="center"/>
          </w:tcPr>
          <w:p>
            <w:pPr>
              <w:jc w:val="left"/>
            </w:pPr>
            <w:r/>
            <w:r>
              <w:rPr>
                <w:rFonts w:ascii="Times New Roman" w:hAnsi="Times New Roman" w:eastAsia="Times New Roman"/>
                <w:b w:val="0"/>
                <w:sz w:val="17"/>
              </w:rPr>
              <w:t>Avoids restoration failures caused by absent source owners</w:t>
            </w:r>
          </w:p>
        </w:tc>
      </w:tr>
      <w:tr>
        <w:trPr>
          <w:cantSplit/>
        </w:trPr>
        <w:tc>
          <w:tcPr>
            <w:tcW w:type="dxa" w:w="3173"/>
            <w:vAlign w:val="center"/>
          </w:tcPr>
          <w:p>
            <w:pPr>
              <w:jc w:val="left"/>
            </w:pPr>
            <w:r/>
            <w:r>
              <w:rPr>
                <w:rFonts w:ascii="Times New Roman" w:hAnsi="Times New Roman" w:eastAsia="Times New Roman"/>
                <w:b w:val="0"/>
                <w:sz w:val="17"/>
              </w:rPr>
              <w:t>Privilege handling</w:t>
            </w:r>
          </w:p>
        </w:tc>
        <w:tc>
          <w:tcPr>
            <w:tcW w:type="dxa" w:w="3173"/>
            <w:vAlign w:val="center"/>
          </w:tcPr>
          <w:p>
            <w:pPr>
              <w:jc w:val="left"/>
            </w:pPr>
            <w:r/>
            <w:r>
              <w:rPr>
                <w:rFonts w:ascii="Times New Roman" w:hAnsi="Times New Roman" w:eastAsia="Times New Roman"/>
                <w:b w:val="0"/>
                <w:sz w:val="17"/>
              </w:rPr>
              <w:t>--no-privileges</w:t>
            </w:r>
          </w:p>
        </w:tc>
        <w:tc>
          <w:tcPr>
            <w:tcW w:type="dxa" w:w="3173"/>
            <w:vAlign w:val="center"/>
          </w:tcPr>
          <w:p>
            <w:pPr>
              <w:jc w:val="left"/>
            </w:pPr>
            <w:r/>
            <w:r>
              <w:rPr>
                <w:rFonts w:ascii="Times New Roman" w:hAnsi="Times New Roman" w:eastAsia="Times New Roman"/>
                <w:b w:val="0"/>
                <w:sz w:val="17"/>
              </w:rPr>
              <w:t>Avoids restoring environment-specific grants</w:t>
            </w:r>
          </w:p>
        </w:tc>
      </w:tr>
    </w:tbl>
    <w:p/>
    <w:p>
      <w:pPr>
        <w:pStyle w:val="Heading2"/>
      </w:pPr>
      <w:r>
        <w:t>3.3 Backup integrity and readability</w:t>
      </w:r>
    </w:p>
    <w:p>
      <w:r>
        <w:t>The validated archive size was 52,847,810 bytes. A SHA-256 digest was calculated over the host archive. The script also used pg_restore --list to confirm that the custom archive was readable before attempting restoration.</w:t>
      </w:r>
    </w:p>
    <w:p>
      <w:pPr>
        <w:ind w:left="283" w:right="283"/>
        <w:jc w:val="center"/>
      </w:pPr>
      <w:r>
        <w:rPr>
          <w:rFonts w:ascii="Courier New" w:hAnsi="Courier New"/>
          <w:sz w:val="18"/>
        </w:rPr>
        <w:t>2ccded46a6fd14c6ec584bf2bed7fee4c82f37518b5908295ec7184430bbaec3</w:t>
      </w:r>
    </w:p>
    <w:p>
      <w:pPr>
        <w:pStyle w:val="Heading1"/>
      </w:pPr>
      <w:r>
        <w:t>4. PostgreSQL Restoration and Validation</w:t>
      </w:r>
    </w:p>
    <w:p>
      <w:pPr>
        <w:pStyle w:val="Heading2"/>
      </w:pPr>
      <w:r>
        <w:t>4.1 Isolated temporary restoration</w:t>
      </w:r>
    </w:p>
    <w:p>
      <w:r>
        <w:t>The script terminates any stale connections to the temporary restore database, removes an earlier test database if present, creates a fresh healthcare_cloud_db_restore_test database, and restores the archive with pg_restore. The --exit-on-error option ensures that restoration stops when a database error occurs.</w:t>
      </w:r>
    </w:p>
    <w:p>
      <w:pPr>
        <w:pStyle w:val="Heading2"/>
      </w:pPr>
      <w:r>
        <w:t>4.2 Structural verification</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8"/>
              </w:rPr>
              <w:t>Structural element</w:t>
            </w:r>
          </w:p>
        </w:tc>
        <w:tc>
          <w:tcPr>
            <w:tcW w:type="dxa" w:w="2379"/>
            <w:vAlign w:val="center"/>
            <w:shd w:fill="D9E1F2"/>
          </w:tcPr>
          <w:p>
            <w:pPr>
              <w:jc w:val="left"/>
            </w:pPr>
            <w:r/>
            <w:r>
              <w:rPr>
                <w:rFonts w:ascii="Times New Roman" w:hAnsi="Times New Roman" w:eastAsia="Times New Roman"/>
                <w:b/>
                <w:sz w:val="18"/>
              </w:rPr>
              <w:t>Source</w:t>
            </w:r>
          </w:p>
        </w:tc>
        <w:tc>
          <w:tcPr>
            <w:tcW w:type="dxa" w:w="2379"/>
            <w:vAlign w:val="center"/>
            <w:shd w:fill="D9E1F2"/>
          </w:tcPr>
          <w:p>
            <w:pPr>
              <w:jc w:val="left"/>
            </w:pPr>
            <w:r/>
            <w:r>
              <w:rPr>
                <w:rFonts w:ascii="Times New Roman" w:hAnsi="Times New Roman" w:eastAsia="Times New Roman"/>
                <w:b/>
                <w:sz w:val="18"/>
              </w:rPr>
              <w:t>Restored</w:t>
            </w:r>
          </w:p>
        </w:tc>
        <w:tc>
          <w:tcPr>
            <w:tcW w:type="dxa" w:w="2379"/>
            <w:vAlign w:val="center"/>
            <w:shd w:fill="D9E1F2"/>
          </w:tcPr>
          <w:p>
            <w:pPr>
              <w:jc w:val="left"/>
            </w:pPr>
            <w:r/>
            <w:r>
              <w:rPr>
                <w:rFonts w:ascii="Times New Roman" w:hAnsi="Times New Roman" w:eastAsia="Times New Roman"/>
                <w:b/>
                <w:sz w:val="18"/>
              </w:rPr>
              <w:t>Result</w:t>
            </w:r>
          </w:p>
        </w:tc>
      </w:tr>
      <w:tr>
        <w:trPr>
          <w:cantSplit/>
        </w:trPr>
        <w:tc>
          <w:tcPr>
            <w:tcW w:type="dxa" w:w="2379"/>
            <w:vAlign w:val="center"/>
          </w:tcPr>
          <w:p>
            <w:pPr>
              <w:jc w:val="left"/>
            </w:pPr>
            <w:r/>
            <w:r>
              <w:rPr>
                <w:rFonts w:ascii="Times New Roman" w:hAnsi="Times New Roman" w:eastAsia="Times New Roman"/>
                <w:b w:val="0"/>
                <w:sz w:val="18"/>
              </w:rPr>
              <w:t>Public tables</w:t>
            </w:r>
          </w:p>
        </w:tc>
        <w:tc>
          <w:tcPr>
            <w:tcW w:type="dxa" w:w="2379"/>
            <w:vAlign w:val="center"/>
          </w:tcPr>
          <w:p>
            <w:pPr>
              <w:jc w:val="left"/>
            </w:pPr>
            <w:r/>
            <w:r>
              <w:rPr>
                <w:rFonts w:ascii="Times New Roman" w:hAnsi="Times New Roman" w:eastAsia="Times New Roman"/>
                <w:b w:val="0"/>
                <w:sz w:val="18"/>
              </w:rPr>
              <w:t>10</w:t>
            </w:r>
          </w:p>
        </w:tc>
        <w:tc>
          <w:tcPr>
            <w:tcW w:type="dxa" w:w="2379"/>
            <w:vAlign w:val="center"/>
          </w:tcPr>
          <w:p>
            <w:pPr>
              <w:jc w:val="left"/>
            </w:pPr>
            <w:r/>
            <w:r>
              <w:rPr>
                <w:rFonts w:ascii="Times New Roman" w:hAnsi="Times New Roman" w:eastAsia="Times New Roman"/>
                <w:b w:val="0"/>
                <w:sz w:val="18"/>
              </w:rPr>
              <w:t>10</w:t>
            </w:r>
          </w:p>
        </w:tc>
        <w:tc>
          <w:tcPr>
            <w:tcW w:type="dxa" w:w="2379"/>
            <w:vAlign w:val="center"/>
          </w:tcPr>
          <w:p>
            <w:pPr>
              <w:jc w:val="left"/>
            </w:pPr>
            <w:r/>
            <w:r>
              <w:rPr>
                <w:rFonts w:ascii="Times New Roman" w:hAnsi="Times New Roman" w:eastAsia="Times New Roman"/>
                <w:b w:val="0"/>
                <w:sz w:val="18"/>
              </w:rPr>
              <w:t>PASS</w:t>
            </w:r>
          </w:p>
        </w:tc>
      </w:tr>
      <w:tr>
        <w:trPr>
          <w:cantSplit/>
        </w:trPr>
        <w:tc>
          <w:tcPr>
            <w:tcW w:type="dxa" w:w="2379"/>
            <w:vAlign w:val="center"/>
          </w:tcPr>
          <w:p>
            <w:pPr>
              <w:jc w:val="left"/>
            </w:pPr>
            <w:r/>
            <w:r>
              <w:rPr>
                <w:rFonts w:ascii="Times New Roman" w:hAnsi="Times New Roman" w:eastAsia="Times New Roman"/>
                <w:b w:val="0"/>
                <w:sz w:val="18"/>
              </w:rPr>
              <w:t>Constraints</w:t>
            </w:r>
          </w:p>
        </w:tc>
        <w:tc>
          <w:tcPr>
            <w:tcW w:type="dxa" w:w="2379"/>
            <w:vAlign w:val="center"/>
          </w:tcPr>
          <w:p>
            <w:pPr>
              <w:jc w:val="left"/>
            </w:pPr>
            <w:r/>
            <w:r>
              <w:rPr>
                <w:rFonts w:ascii="Times New Roman" w:hAnsi="Times New Roman" w:eastAsia="Times New Roman"/>
                <w:b w:val="0"/>
                <w:sz w:val="18"/>
              </w:rPr>
              <w:t>30</w:t>
            </w:r>
          </w:p>
        </w:tc>
        <w:tc>
          <w:tcPr>
            <w:tcW w:type="dxa" w:w="2379"/>
            <w:vAlign w:val="center"/>
          </w:tcPr>
          <w:p>
            <w:pPr>
              <w:jc w:val="left"/>
            </w:pPr>
            <w:r/>
            <w:r>
              <w:rPr>
                <w:rFonts w:ascii="Times New Roman" w:hAnsi="Times New Roman" w:eastAsia="Times New Roman"/>
                <w:b w:val="0"/>
                <w:sz w:val="18"/>
              </w:rPr>
              <w:t>30</w:t>
            </w:r>
          </w:p>
        </w:tc>
        <w:tc>
          <w:tcPr>
            <w:tcW w:type="dxa" w:w="2379"/>
            <w:vAlign w:val="center"/>
          </w:tcPr>
          <w:p>
            <w:pPr>
              <w:jc w:val="left"/>
            </w:pPr>
            <w:r/>
            <w:r>
              <w:rPr>
                <w:rFonts w:ascii="Times New Roman" w:hAnsi="Times New Roman" w:eastAsia="Times New Roman"/>
                <w:b w:val="0"/>
                <w:sz w:val="18"/>
              </w:rPr>
              <w:t>PASS</w:t>
            </w:r>
          </w:p>
        </w:tc>
      </w:tr>
      <w:tr>
        <w:trPr>
          <w:cantSplit/>
        </w:trPr>
        <w:tc>
          <w:tcPr>
            <w:tcW w:type="dxa" w:w="2379"/>
            <w:vAlign w:val="center"/>
          </w:tcPr>
          <w:p>
            <w:pPr>
              <w:jc w:val="left"/>
            </w:pPr>
            <w:r/>
            <w:r>
              <w:rPr>
                <w:rFonts w:ascii="Times New Roman" w:hAnsi="Times New Roman" w:eastAsia="Times New Roman"/>
                <w:b w:val="0"/>
                <w:sz w:val="18"/>
              </w:rPr>
              <w:t>Indexes</w:t>
            </w:r>
          </w:p>
        </w:tc>
        <w:tc>
          <w:tcPr>
            <w:tcW w:type="dxa" w:w="2379"/>
            <w:vAlign w:val="center"/>
          </w:tcPr>
          <w:p>
            <w:pPr>
              <w:jc w:val="left"/>
            </w:pPr>
            <w:r/>
            <w:r>
              <w:rPr>
                <w:rFonts w:ascii="Times New Roman" w:hAnsi="Times New Roman" w:eastAsia="Times New Roman"/>
                <w:b w:val="0"/>
                <w:sz w:val="18"/>
              </w:rPr>
              <w:t>50</w:t>
            </w:r>
          </w:p>
        </w:tc>
        <w:tc>
          <w:tcPr>
            <w:tcW w:type="dxa" w:w="2379"/>
            <w:vAlign w:val="center"/>
          </w:tcPr>
          <w:p>
            <w:pPr>
              <w:jc w:val="left"/>
            </w:pPr>
            <w:r/>
            <w:r>
              <w:rPr>
                <w:rFonts w:ascii="Times New Roman" w:hAnsi="Times New Roman" w:eastAsia="Times New Roman"/>
                <w:b w:val="0"/>
                <w:sz w:val="18"/>
              </w:rPr>
              <w:t>50</w:t>
            </w:r>
          </w:p>
        </w:tc>
        <w:tc>
          <w:tcPr>
            <w:tcW w:type="dxa" w:w="2379"/>
            <w:vAlign w:val="center"/>
          </w:tcPr>
          <w:p>
            <w:pPr>
              <w:jc w:val="left"/>
            </w:pPr>
            <w:r/>
            <w:r>
              <w:rPr>
                <w:rFonts w:ascii="Times New Roman" w:hAnsi="Times New Roman" w:eastAsia="Times New Roman"/>
                <w:b w:val="0"/>
                <w:sz w:val="18"/>
              </w:rPr>
              <w:t>PASS</w:t>
            </w:r>
          </w:p>
        </w:tc>
      </w:tr>
    </w:tbl>
    <w:p/>
    <w:p>
      <w:r>
        <w:t>Matching row counts alone would not prove that the restored database retained the relational structure needed for correct application behavior. The separate checks for tables, constraints, and indexes therefore strengthen the recovery evidence.</w:t>
      </w:r>
    </w:p>
    <w:p>
      <w:pPr>
        <w:pStyle w:val="Heading2"/>
      </w:pPr>
      <w:r>
        <w:t>4.3 Exact table-row verification</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Table</w:t>
            </w:r>
          </w:p>
        </w:tc>
        <w:tc>
          <w:tcPr>
            <w:tcW w:type="dxa" w:w="1904"/>
            <w:vAlign w:val="center"/>
            <w:shd w:fill="D9E1F2"/>
          </w:tcPr>
          <w:p>
            <w:pPr>
              <w:jc w:val="left"/>
            </w:pPr>
            <w:r/>
            <w:r>
              <w:rPr>
                <w:rFonts w:ascii="Times New Roman" w:hAnsi="Times New Roman" w:eastAsia="Times New Roman"/>
                <w:b/>
                <w:sz w:val="16"/>
              </w:rPr>
              <w:t>Source rows</w:t>
            </w:r>
          </w:p>
        </w:tc>
        <w:tc>
          <w:tcPr>
            <w:tcW w:type="dxa" w:w="1904"/>
            <w:vAlign w:val="center"/>
            <w:shd w:fill="D9E1F2"/>
          </w:tcPr>
          <w:p>
            <w:pPr>
              <w:jc w:val="left"/>
            </w:pPr>
            <w:r/>
            <w:r>
              <w:rPr>
                <w:rFonts w:ascii="Times New Roman" w:hAnsi="Times New Roman" w:eastAsia="Times New Roman"/>
                <w:b/>
                <w:sz w:val="16"/>
              </w:rPr>
              <w:t>Restored rows</w:t>
            </w:r>
          </w:p>
        </w:tc>
        <w:tc>
          <w:tcPr>
            <w:tcW w:type="dxa" w:w="1904"/>
            <w:vAlign w:val="center"/>
            <w:shd w:fill="D9E1F2"/>
          </w:tcPr>
          <w:p>
            <w:pPr>
              <w:jc w:val="left"/>
            </w:pPr>
            <w:r/>
            <w:r>
              <w:rPr>
                <w:rFonts w:ascii="Times New Roman" w:hAnsi="Times New Roman" w:eastAsia="Times New Roman"/>
                <w:b/>
                <w:sz w:val="16"/>
              </w:rPr>
              <w:t>Difference</w:t>
            </w:r>
          </w:p>
        </w:tc>
        <w:tc>
          <w:tcPr>
            <w:tcW w:type="dxa" w:w="1904"/>
            <w:vAlign w:val="center"/>
            <w:shd w:fill="D9E1F2"/>
          </w:tcPr>
          <w:p>
            <w:pPr>
              <w:jc w:val="left"/>
            </w:pPr>
            <w:r/>
            <w:r>
              <w:rPr>
                <w:rFonts w:ascii="Times New Roman" w:hAnsi="Times New Roman" w:eastAsia="Times New Roman"/>
                <w:b/>
                <w:sz w:val="16"/>
              </w:rPr>
              <w:t>Result</w:t>
            </w:r>
          </w:p>
        </w:tc>
      </w:tr>
      <w:tr>
        <w:trPr>
          <w:cantSplit/>
        </w:trPr>
        <w:tc>
          <w:tcPr>
            <w:tcW w:type="dxa" w:w="1904"/>
            <w:vAlign w:val="center"/>
          </w:tcPr>
          <w:p>
            <w:pPr>
              <w:jc w:val="left"/>
            </w:pPr>
            <w:r/>
            <w:r>
              <w:rPr>
                <w:rFonts w:ascii="Times New Roman" w:hAnsi="Times New Roman" w:eastAsia="Times New Roman"/>
                <w:b w:val="0"/>
                <w:sz w:val="16"/>
              </w:rPr>
              <w:t>alembic_version</w:t>
            </w:r>
          </w:p>
        </w:tc>
        <w:tc>
          <w:tcPr>
            <w:tcW w:type="dxa" w:w="1904"/>
            <w:vAlign w:val="center"/>
          </w:tcPr>
          <w:p>
            <w:pPr>
              <w:jc w:val="left"/>
            </w:pPr>
            <w:r/>
            <w:r>
              <w:rPr>
                <w:rFonts w:ascii="Times New Roman" w:hAnsi="Times New Roman" w:eastAsia="Times New Roman"/>
                <w:b w:val="0"/>
                <w:sz w:val="16"/>
              </w:rPr>
              <w:t>1</w:t>
            </w:r>
          </w:p>
        </w:tc>
        <w:tc>
          <w:tcPr>
            <w:tcW w:type="dxa" w:w="1904"/>
            <w:vAlign w:val="center"/>
          </w:tcPr>
          <w:p>
            <w:pPr>
              <w:jc w:val="left"/>
            </w:pPr>
            <w:r/>
            <w:r>
              <w:rPr>
                <w:rFonts w:ascii="Times New Roman" w:hAnsi="Times New Roman" w:eastAsia="Times New Roman"/>
                <w:b w:val="0"/>
                <w:sz w:val="16"/>
              </w:rPr>
              <w:t>1</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audit_logs</w:t>
            </w:r>
          </w:p>
        </w:tc>
        <w:tc>
          <w:tcPr>
            <w:tcW w:type="dxa" w:w="1904"/>
            <w:vAlign w:val="center"/>
          </w:tcPr>
          <w:p>
            <w:pPr>
              <w:jc w:val="left"/>
            </w:pPr>
            <w:r/>
            <w:r>
              <w:rPr>
                <w:rFonts w:ascii="Times New Roman" w:hAnsi="Times New Roman" w:eastAsia="Times New Roman"/>
                <w:b w:val="0"/>
                <w:sz w:val="16"/>
              </w:rPr>
              <w:t>40,557</w:t>
            </w:r>
          </w:p>
        </w:tc>
        <w:tc>
          <w:tcPr>
            <w:tcW w:type="dxa" w:w="1904"/>
            <w:vAlign w:val="center"/>
          </w:tcPr>
          <w:p>
            <w:pPr>
              <w:jc w:val="left"/>
            </w:pPr>
            <w:r/>
            <w:r>
              <w:rPr>
                <w:rFonts w:ascii="Times New Roman" w:hAnsi="Times New Roman" w:eastAsia="Times New Roman"/>
                <w:b w:val="0"/>
                <w:sz w:val="16"/>
              </w:rPr>
              <w:t>40,557</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conditions</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diagnostic_reports</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encounters</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observations</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patients</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prescriptions</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roles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users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bl>
    <w:p/>
    <w:p>
      <w:r>
        <w:t>All 10 public tables matched exactly, representing 1,581,949 rows across application, audit, security, and migration tables.</w:t>
      </w:r>
    </w:p>
    <w:p>
      <w:pPr>
        <w:keepNext/>
        <w:jc w:val="center"/>
      </w:pPr>
      <w:r>
        <w:drawing>
          <wp:inline xmlns:a="http://schemas.openxmlformats.org/drawingml/2006/main" xmlns:pic="http://schemas.openxmlformats.org/drawingml/2006/picture">
            <wp:extent cx="4480560" cy="2987040"/>
            <wp:docPr id="3" name="Picture 3"/>
            <wp:cNvGraphicFramePr>
              <a:graphicFrameLocks noChangeAspect="1"/>
            </wp:cNvGraphicFramePr>
            <a:graphic>
              <a:graphicData uri="http://schemas.openxmlformats.org/drawingml/2006/picture">
                <pic:pic>
                  <pic:nvPicPr>
                    <pic:cNvPr id="0" name="postgres_row_counts.png"/>
                    <pic:cNvPicPr/>
                  </pic:nvPicPr>
                  <pic:blipFill>
                    <a:blip r:embed="rId13"/>
                    <a:stretch>
                      <a:fillRect/>
                    </a:stretch>
                  </pic:blipFill>
                  <pic:spPr>
                    <a:xfrm>
                      <a:off x="0" y="0"/>
                      <a:ext cx="4480560" cy="2987040"/>
                    </a:xfrm>
                    <a:prstGeom prst="rect"/>
                  </pic:spPr>
                </pic:pic>
              </a:graphicData>
            </a:graphic>
          </wp:inline>
        </w:drawing>
      </w:r>
    </w:p>
    <w:p>
      <w:pPr>
        <w:pStyle w:val="AcademicCaption"/>
        <w:keepLines/>
      </w:pPr>
      <w:r>
        <w:t>Figure 3. Exact PostgreSQL row-count verification. A logarithmic scale is used because table sizes range from 1 to more than 600,000 rows.</w:t>
      </w:r>
    </w:p>
    <w:p>
      <w:pPr>
        <w:pStyle w:val="Heading2"/>
      </w:pPr>
      <w:r>
        <w:t>4.4 Cleanup</w:t>
      </w:r>
    </w:p>
    <w:p>
      <w:r>
        <w:t>After validation, the temporary database is dropped and the temporary container archive is removed. The recorded result confirms successful cleanup. Removing recovery targets is important because stale test databases can consume storage, expose copied healthcare data, and interfere with future validation runs.</w:t>
      </w:r>
    </w:p>
    <w:p>
      <w:pPr>
        <w:pStyle w:val="Heading1"/>
      </w:pPr>
      <w:r>
        <w:t>5. MinIO Backup Procedure</w:t>
      </w:r>
    </w:p>
    <w:p>
      <w:pPr>
        <w:pStyle w:val="Heading2"/>
      </w:pPr>
      <w:r>
        <w:t>5.1 Source inventory</w:t>
      </w:r>
    </w:p>
    <w:p>
      <w:r>
        <w:t>The MinIO script resolves the configured endpoint and source bucket, verifies that the source bucket exists, and recursively lists all objects. The validated source bucket healthcare-files contained seven objects with a combined size of 488 bytes.</w:t>
      </w:r>
    </w:p>
    <w:p>
      <w:pPr>
        <w:pStyle w:val="Heading2"/>
      </w:pPr>
      <w:r>
        <w:t>5.2 Local backup representation</w:t>
      </w:r>
    </w:p>
    <w:p>
      <w:r>
        <w:t>Each MinIO object is downloaded to a local backup directory. The local filename is derived from a SHA-256 hash of the object name, while the original object name is preserved in a manifest and CSV inventory. For every object, the backup records local size, SHA-256 content checksum, ETag, content type, and last-modified timestamp when available.</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Manifest element</w:t>
            </w:r>
          </w:p>
        </w:tc>
        <w:tc>
          <w:tcPr>
            <w:tcW w:type="dxa" w:w="4759"/>
            <w:vAlign w:val="center"/>
            <w:shd w:fill="D9E1F2"/>
          </w:tcPr>
          <w:p>
            <w:pPr>
              <w:jc w:val="left"/>
            </w:pPr>
            <w:r/>
            <w:r>
              <w:rPr>
                <w:rFonts w:ascii="Times New Roman" w:hAnsi="Times New Roman" w:eastAsia="Times New Roman"/>
                <w:b/>
                <w:sz w:val="17"/>
              </w:rPr>
              <w:t>Recorded information</w:t>
            </w:r>
          </w:p>
        </w:tc>
      </w:tr>
      <w:tr>
        <w:trPr>
          <w:cantSplit/>
        </w:trPr>
        <w:tc>
          <w:tcPr>
            <w:tcW w:type="dxa" w:w="4759"/>
            <w:vAlign w:val="center"/>
          </w:tcPr>
          <w:p>
            <w:pPr>
              <w:jc w:val="left"/>
            </w:pPr>
            <w:r/>
            <w:r>
              <w:rPr>
                <w:rFonts w:ascii="Times New Roman" w:hAnsi="Times New Roman" w:eastAsia="Times New Roman"/>
                <w:b w:val="0"/>
                <w:sz w:val="17"/>
              </w:rPr>
              <w:t>Object identity</w:t>
            </w:r>
          </w:p>
        </w:tc>
        <w:tc>
          <w:tcPr>
            <w:tcW w:type="dxa" w:w="4759"/>
            <w:vAlign w:val="center"/>
          </w:tcPr>
          <w:p>
            <w:pPr>
              <w:jc w:val="left"/>
            </w:pPr>
            <w:r/>
            <w:r>
              <w:rPr>
                <w:rFonts w:ascii="Times New Roman" w:hAnsi="Times New Roman" w:eastAsia="Times New Roman"/>
                <w:b w:val="0"/>
                <w:sz w:val="17"/>
              </w:rPr>
              <w:t>Original object name and position</w:t>
            </w:r>
          </w:p>
        </w:tc>
      </w:tr>
      <w:tr>
        <w:trPr>
          <w:cantSplit/>
        </w:trPr>
        <w:tc>
          <w:tcPr>
            <w:tcW w:type="dxa" w:w="4759"/>
            <w:vAlign w:val="center"/>
          </w:tcPr>
          <w:p>
            <w:pPr>
              <w:jc w:val="left"/>
            </w:pPr>
            <w:r/>
            <w:r>
              <w:rPr>
                <w:rFonts w:ascii="Times New Roman" w:hAnsi="Times New Roman" w:eastAsia="Times New Roman"/>
                <w:b w:val="0"/>
                <w:sz w:val="17"/>
              </w:rPr>
              <w:t>Backup file</w:t>
            </w:r>
          </w:p>
        </w:tc>
        <w:tc>
          <w:tcPr>
            <w:tcW w:type="dxa" w:w="4759"/>
            <w:vAlign w:val="center"/>
          </w:tcPr>
          <w:p>
            <w:pPr>
              <w:jc w:val="left"/>
            </w:pPr>
            <w:r/>
            <w:r>
              <w:rPr>
                <w:rFonts w:ascii="Times New Roman" w:hAnsi="Times New Roman" w:eastAsia="Times New Roman"/>
                <w:b w:val="0"/>
                <w:sz w:val="17"/>
              </w:rPr>
              <w:t>Relative local .bin file path</w:t>
            </w:r>
          </w:p>
        </w:tc>
      </w:tr>
      <w:tr>
        <w:trPr>
          <w:cantSplit/>
        </w:trPr>
        <w:tc>
          <w:tcPr>
            <w:tcW w:type="dxa" w:w="4759"/>
            <w:vAlign w:val="center"/>
          </w:tcPr>
          <w:p>
            <w:pPr>
              <w:jc w:val="left"/>
            </w:pPr>
            <w:r/>
            <w:r>
              <w:rPr>
                <w:rFonts w:ascii="Times New Roman" w:hAnsi="Times New Roman" w:eastAsia="Times New Roman"/>
                <w:b w:val="0"/>
                <w:sz w:val="17"/>
              </w:rPr>
              <w:t>Integrity</w:t>
            </w:r>
          </w:p>
        </w:tc>
        <w:tc>
          <w:tcPr>
            <w:tcW w:type="dxa" w:w="4759"/>
            <w:vAlign w:val="center"/>
          </w:tcPr>
          <w:p>
            <w:pPr>
              <w:jc w:val="left"/>
            </w:pPr>
            <w:r/>
            <w:r>
              <w:rPr>
                <w:rFonts w:ascii="Times New Roman" w:hAnsi="Times New Roman" w:eastAsia="Times New Roman"/>
                <w:b w:val="0"/>
                <w:sz w:val="17"/>
              </w:rPr>
              <w:t>SHA-256 digest and byte size</w:t>
            </w:r>
          </w:p>
        </w:tc>
      </w:tr>
      <w:tr>
        <w:trPr>
          <w:cantSplit/>
        </w:trPr>
        <w:tc>
          <w:tcPr>
            <w:tcW w:type="dxa" w:w="4759"/>
            <w:vAlign w:val="center"/>
          </w:tcPr>
          <w:p>
            <w:pPr>
              <w:jc w:val="left"/>
            </w:pPr>
            <w:r/>
            <w:r>
              <w:rPr>
                <w:rFonts w:ascii="Times New Roman" w:hAnsi="Times New Roman" w:eastAsia="Times New Roman"/>
                <w:b w:val="0"/>
                <w:sz w:val="17"/>
              </w:rPr>
              <w:t>Object metadata</w:t>
            </w:r>
          </w:p>
        </w:tc>
        <w:tc>
          <w:tcPr>
            <w:tcW w:type="dxa" w:w="4759"/>
            <w:vAlign w:val="center"/>
          </w:tcPr>
          <w:p>
            <w:pPr>
              <w:jc w:val="left"/>
            </w:pPr>
            <w:r/>
            <w:r>
              <w:rPr>
                <w:rFonts w:ascii="Times New Roman" w:hAnsi="Times New Roman" w:eastAsia="Times New Roman"/>
                <w:b w:val="0"/>
                <w:sz w:val="17"/>
              </w:rPr>
              <w:t>ETag, content type, last-modified timestamp</w:t>
            </w:r>
          </w:p>
        </w:tc>
      </w:tr>
      <w:tr>
        <w:trPr>
          <w:cantSplit/>
        </w:trPr>
        <w:tc>
          <w:tcPr>
            <w:tcW w:type="dxa" w:w="4759"/>
            <w:vAlign w:val="center"/>
          </w:tcPr>
          <w:p>
            <w:pPr>
              <w:jc w:val="left"/>
            </w:pPr>
            <w:r/>
            <w:r>
              <w:rPr>
                <w:rFonts w:ascii="Times New Roman" w:hAnsi="Times New Roman" w:eastAsia="Times New Roman"/>
                <w:b w:val="0"/>
                <w:sz w:val="17"/>
              </w:rPr>
              <w:t>Backup context</w:t>
            </w:r>
          </w:p>
        </w:tc>
        <w:tc>
          <w:tcPr>
            <w:tcW w:type="dxa" w:w="4759"/>
            <w:vAlign w:val="center"/>
          </w:tcPr>
          <w:p>
            <w:pPr>
              <w:jc w:val="left"/>
            </w:pPr>
            <w:r/>
            <w:r>
              <w:rPr>
                <w:rFonts w:ascii="Times New Roman" w:hAnsi="Times New Roman" w:eastAsia="Times New Roman"/>
                <w:b w:val="0"/>
                <w:sz w:val="17"/>
              </w:rPr>
              <w:t>Creation time, endpoint, source bucket, temporary bucket</w:t>
            </w:r>
          </w:p>
        </w:tc>
      </w:tr>
    </w:tbl>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minio_object_sizes.png"/>
                    <pic:cNvPicPr/>
                  </pic:nvPicPr>
                  <pic:blipFill>
                    <a:blip r:embed="rId14"/>
                    <a:stretch>
                      <a:fillRect/>
                    </a:stretch>
                  </pic:blipFill>
                  <pic:spPr>
                    <a:xfrm>
                      <a:off x="0" y="0"/>
                      <a:ext cx="5577840" cy="3486150"/>
                    </a:xfrm>
                    <a:prstGeom prst="rect"/>
                  </pic:spPr>
                </pic:pic>
              </a:graphicData>
            </a:graphic>
          </wp:inline>
        </w:drawing>
      </w:r>
    </w:p>
    <w:p>
      <w:pPr>
        <w:pStyle w:val="AcademicCaption"/>
      </w:pPr>
      <w:r>
        <w:t>Figure 4. Sizes of the seven MinIO objects included in the validated backup.</w:t>
      </w:r>
    </w:p>
    <w:p>
      <w:pPr>
        <w:pStyle w:val="Heading1"/>
      </w:pPr>
      <w:r>
        <w:t>6. MinIO Restoration and Object-Integrity Validation</w:t>
      </w:r>
    </w:p>
    <w:p>
      <w:pPr>
        <w:pStyle w:val="Heading2"/>
      </w:pPr>
      <w:r>
        <w:t>6.1 Temporary bucket creation</w:t>
      </w:r>
    </w:p>
    <w:p>
      <w:r>
        <w:t>A unique temporary bucket name is generated from the source bucket name and a random suffix. If an object with the same temporary bucket name somehow exists, the script removes its objects and bucket before creating a clean restore target. This avoids overwriting the source bucket.</w:t>
      </w:r>
    </w:p>
    <w:p>
      <w:pPr>
        <w:pStyle w:val="Heading2"/>
      </w:pPr>
      <w:r>
        <w:t>6.2 Object restoration</w:t>
      </w:r>
    </w:p>
    <w:p>
      <w:r>
        <w:t>The script uploads each locally backed-up file to the temporary bucket under its original object name and content type. It then compares the restored object count and aggregate restored size with the backup inventory. Both values matched: seven restored objects and 488 restored bytes.</w:t>
      </w:r>
    </w:p>
    <w:p>
      <w:pPr>
        <w:pStyle w:val="Heading2"/>
      </w:pPr>
      <w:r>
        <w:t>6.3 Per-object integrity checks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6"/>
              </w:rPr>
              <w:t>Object</w:t>
            </w:r>
          </w:p>
        </w:tc>
        <w:tc>
          <w:tcPr>
            <w:tcW w:type="dxa" w:w="2379"/>
            <w:vAlign w:val="center"/>
            <w:shd w:fill="D9E1F2"/>
          </w:tcPr>
          <w:p>
            <w:pPr>
              <w:jc w:val="left"/>
            </w:pPr>
            <w:r/>
            <w:r>
              <w:rPr>
                <w:rFonts w:ascii="Times New Roman" w:hAnsi="Times New Roman" w:eastAsia="Times New Roman"/>
                <w:b/>
                <w:sz w:val="16"/>
              </w:rPr>
              <w:t>Size</w:t>
            </w:r>
          </w:p>
        </w:tc>
        <w:tc>
          <w:tcPr>
            <w:tcW w:type="dxa" w:w="2379"/>
            <w:vAlign w:val="center"/>
            <w:shd w:fill="D9E1F2"/>
          </w:tcPr>
          <w:p>
            <w:pPr>
              <w:jc w:val="left"/>
            </w:pPr>
            <w:r/>
            <w:r>
              <w:rPr>
                <w:rFonts w:ascii="Times New Roman" w:hAnsi="Times New Roman" w:eastAsia="Times New Roman"/>
                <w:b/>
                <w:sz w:val="16"/>
              </w:rPr>
              <w:t>SHA-256 prefix</w:t>
            </w:r>
          </w:p>
        </w:tc>
        <w:tc>
          <w:tcPr>
            <w:tcW w:type="dxa" w:w="2379"/>
            <w:vAlign w:val="center"/>
            <w:shd w:fill="D9E1F2"/>
          </w:tcPr>
          <w:p>
            <w:pPr>
              <w:jc w:val="left"/>
            </w:pPr>
            <w:r/>
            <w:r>
              <w:rPr>
                <w:rFonts w:ascii="Times New Roman" w:hAnsi="Times New Roman" w:eastAsia="Times New Roman"/>
                <w:b/>
                <w:sz w:val="16"/>
              </w:rPr>
              <w:t>Result</w:t>
            </w:r>
          </w:p>
        </w:tc>
      </w:tr>
      <w:tr>
        <w:trPr>
          <w:cantSplit/>
        </w:trPr>
        <w:tc>
          <w:tcPr>
            <w:tcW w:type="dxa" w:w="2379"/>
            <w:vAlign w:val="center"/>
          </w:tcPr>
          <w:p>
            <w:pPr>
              <w:jc w:val="left"/>
            </w:pPr>
            <w:r/>
            <w:r>
              <w:rPr>
                <w:rFonts w:ascii="Times New Roman" w:hAnsi="Times New Roman" w:eastAsia="Times New Roman"/>
                <w:b w:val="0"/>
                <w:sz w:val="16"/>
              </w:rPr>
              <w:t>Object 1</w:t>
            </w:r>
          </w:p>
        </w:tc>
        <w:tc>
          <w:tcPr>
            <w:tcW w:type="dxa" w:w="2379"/>
            <w:vAlign w:val="center"/>
          </w:tcPr>
          <w:p>
            <w:pPr>
              <w:jc w:val="left"/>
            </w:pPr>
            <w:r/>
            <w:r>
              <w:rPr>
                <w:rFonts w:ascii="Times New Roman" w:hAnsi="Times New Roman" w:eastAsia="Times New Roman"/>
                <w:b w:val="0"/>
                <w:sz w:val="16"/>
              </w:rPr>
              <w:t>77 bytes</w:t>
            </w:r>
          </w:p>
        </w:tc>
        <w:tc>
          <w:tcPr>
            <w:tcW w:type="dxa" w:w="2379"/>
            <w:vAlign w:val="center"/>
          </w:tcPr>
          <w:p>
            <w:pPr>
              <w:jc w:val="left"/>
            </w:pPr>
            <w:r/>
            <w:r>
              <w:rPr>
                <w:rFonts w:ascii="Times New Roman" w:hAnsi="Times New Roman" w:eastAsia="Times New Roman"/>
                <w:b w:val="0"/>
                <w:sz w:val="16"/>
              </w:rPr>
              <w:t>8e13b3b62dcfcd5e...</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2</w:t>
            </w:r>
          </w:p>
        </w:tc>
        <w:tc>
          <w:tcPr>
            <w:tcW w:type="dxa" w:w="2379"/>
            <w:vAlign w:val="center"/>
          </w:tcPr>
          <w:p>
            <w:pPr>
              <w:jc w:val="left"/>
            </w:pPr>
            <w:r/>
            <w:r>
              <w:rPr>
                <w:rFonts w:ascii="Times New Roman" w:hAnsi="Times New Roman" w:eastAsia="Times New Roman"/>
                <w:b w:val="0"/>
                <w:sz w:val="16"/>
              </w:rPr>
              <w:t>97 bytes</w:t>
            </w:r>
          </w:p>
        </w:tc>
        <w:tc>
          <w:tcPr>
            <w:tcW w:type="dxa" w:w="2379"/>
            <w:vAlign w:val="center"/>
          </w:tcPr>
          <w:p>
            <w:pPr>
              <w:jc w:val="left"/>
            </w:pPr>
            <w:r/>
            <w:r>
              <w:rPr>
                <w:rFonts w:ascii="Times New Roman" w:hAnsi="Times New Roman" w:eastAsia="Times New Roman"/>
                <w:b w:val="0"/>
                <w:sz w:val="16"/>
              </w:rPr>
              <w:t>733a5f7961289e7a...</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3</w:t>
            </w:r>
          </w:p>
        </w:tc>
        <w:tc>
          <w:tcPr>
            <w:tcW w:type="dxa" w:w="2379"/>
            <w:vAlign w:val="center"/>
          </w:tcPr>
          <w:p>
            <w:pPr>
              <w:jc w:val="left"/>
            </w:pPr>
            <w:r/>
            <w:r>
              <w:rPr>
                <w:rFonts w:ascii="Times New Roman" w:hAnsi="Times New Roman" w:eastAsia="Times New Roman"/>
                <w:b w:val="0"/>
                <w:sz w:val="16"/>
              </w:rPr>
              <w:t>77 bytes</w:t>
            </w:r>
          </w:p>
        </w:tc>
        <w:tc>
          <w:tcPr>
            <w:tcW w:type="dxa" w:w="2379"/>
            <w:vAlign w:val="center"/>
          </w:tcPr>
          <w:p>
            <w:pPr>
              <w:jc w:val="left"/>
            </w:pPr>
            <w:r/>
            <w:r>
              <w:rPr>
                <w:rFonts w:ascii="Times New Roman" w:hAnsi="Times New Roman" w:eastAsia="Times New Roman"/>
                <w:b w:val="0"/>
                <w:sz w:val="16"/>
              </w:rPr>
              <w:t>8e13b3b62dcfcd5e...</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4</w:t>
            </w:r>
          </w:p>
        </w:tc>
        <w:tc>
          <w:tcPr>
            <w:tcW w:type="dxa" w:w="2379"/>
            <w:vAlign w:val="center"/>
          </w:tcPr>
          <w:p>
            <w:pPr>
              <w:jc w:val="left"/>
            </w:pPr>
            <w:r/>
            <w:r>
              <w:rPr>
                <w:rFonts w:ascii="Times New Roman" w:hAnsi="Times New Roman" w:eastAsia="Times New Roman"/>
                <w:b w:val="0"/>
                <w:sz w:val="16"/>
              </w:rPr>
              <w:t>77 bytes</w:t>
            </w:r>
          </w:p>
        </w:tc>
        <w:tc>
          <w:tcPr>
            <w:tcW w:type="dxa" w:w="2379"/>
            <w:vAlign w:val="center"/>
          </w:tcPr>
          <w:p>
            <w:pPr>
              <w:jc w:val="left"/>
            </w:pPr>
            <w:r/>
            <w:r>
              <w:rPr>
                <w:rFonts w:ascii="Times New Roman" w:hAnsi="Times New Roman" w:eastAsia="Times New Roman"/>
                <w:b w:val="0"/>
                <w:sz w:val="16"/>
              </w:rPr>
              <w:t>8e13b3b62dcfcd5e...</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5</w:t>
            </w:r>
          </w:p>
        </w:tc>
        <w:tc>
          <w:tcPr>
            <w:tcW w:type="dxa" w:w="2379"/>
            <w:vAlign w:val="center"/>
          </w:tcPr>
          <w:p>
            <w:pPr>
              <w:jc w:val="left"/>
            </w:pPr>
            <w:r/>
            <w:r>
              <w:rPr>
                <w:rFonts w:ascii="Times New Roman" w:hAnsi="Times New Roman" w:eastAsia="Times New Roman"/>
                <w:b w:val="0"/>
                <w:sz w:val="16"/>
              </w:rPr>
              <w:t>46 bytes</w:t>
            </w:r>
          </w:p>
        </w:tc>
        <w:tc>
          <w:tcPr>
            <w:tcW w:type="dxa" w:w="2379"/>
            <w:vAlign w:val="center"/>
          </w:tcPr>
          <w:p>
            <w:pPr>
              <w:jc w:val="left"/>
            </w:pPr>
            <w:r/>
            <w:r>
              <w:rPr>
                <w:rFonts w:ascii="Times New Roman" w:hAnsi="Times New Roman" w:eastAsia="Times New Roman"/>
                <w:b w:val="0"/>
                <w:sz w:val="16"/>
              </w:rPr>
              <w:t>476559fb6977b2b0...</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6</w:t>
            </w:r>
          </w:p>
        </w:tc>
        <w:tc>
          <w:tcPr>
            <w:tcW w:type="dxa" w:w="2379"/>
            <w:vAlign w:val="center"/>
          </w:tcPr>
          <w:p>
            <w:pPr>
              <w:jc w:val="left"/>
            </w:pPr>
            <w:r/>
            <w:r>
              <w:rPr>
                <w:rFonts w:ascii="Times New Roman" w:hAnsi="Times New Roman" w:eastAsia="Times New Roman"/>
                <w:b w:val="0"/>
                <w:sz w:val="16"/>
              </w:rPr>
              <w:t>57 bytes</w:t>
            </w:r>
          </w:p>
        </w:tc>
        <w:tc>
          <w:tcPr>
            <w:tcW w:type="dxa" w:w="2379"/>
            <w:vAlign w:val="center"/>
          </w:tcPr>
          <w:p>
            <w:pPr>
              <w:jc w:val="left"/>
            </w:pPr>
            <w:r/>
            <w:r>
              <w:rPr>
                <w:rFonts w:ascii="Times New Roman" w:hAnsi="Times New Roman" w:eastAsia="Times New Roman"/>
                <w:b w:val="0"/>
                <w:sz w:val="16"/>
              </w:rPr>
              <w:t>75e916658673c9e2...</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7</w:t>
            </w:r>
          </w:p>
        </w:tc>
        <w:tc>
          <w:tcPr>
            <w:tcW w:type="dxa" w:w="2379"/>
            <w:vAlign w:val="center"/>
          </w:tcPr>
          <w:p>
            <w:pPr>
              <w:jc w:val="left"/>
            </w:pPr>
            <w:r/>
            <w:r>
              <w:rPr>
                <w:rFonts w:ascii="Times New Roman" w:hAnsi="Times New Roman" w:eastAsia="Times New Roman"/>
                <w:b w:val="0"/>
                <w:sz w:val="16"/>
              </w:rPr>
              <w:t>57 bytes</w:t>
            </w:r>
          </w:p>
        </w:tc>
        <w:tc>
          <w:tcPr>
            <w:tcW w:type="dxa" w:w="2379"/>
            <w:vAlign w:val="center"/>
          </w:tcPr>
          <w:p>
            <w:pPr>
              <w:jc w:val="left"/>
            </w:pPr>
            <w:r/>
            <w:r>
              <w:rPr>
                <w:rFonts w:ascii="Times New Roman" w:hAnsi="Times New Roman" w:eastAsia="Times New Roman"/>
                <w:b w:val="0"/>
                <w:sz w:val="16"/>
              </w:rPr>
              <w:t>75e916658673c9e2...</w:t>
            </w:r>
          </w:p>
        </w:tc>
        <w:tc>
          <w:tcPr>
            <w:tcW w:type="dxa" w:w="2379"/>
            <w:vAlign w:val="center"/>
          </w:tcPr>
          <w:p>
            <w:pPr>
              <w:jc w:val="left"/>
            </w:pPr>
            <w:r/>
            <w:r>
              <w:rPr>
                <w:rFonts w:ascii="Times New Roman" w:hAnsi="Times New Roman" w:eastAsia="Times New Roman"/>
                <w:b w:val="0"/>
                <w:sz w:val="16"/>
              </w:rPr>
              <w:t>PASS</w:t>
            </w:r>
          </w:p>
        </w:tc>
      </w:tr>
    </w:tbl>
    <w:p/>
    <w:p>
      <w:r>
        <w:t>For each restored object, the script downloads the restored content, recomputes SHA-256, and verifies both the digest and byte size against the local backup record. All seven restored objects passed.</w:t>
      </w:r>
    </w:p>
    <w:p>
      <w:pPr>
        <w:pStyle w:val="Heading2"/>
      </w:pPr>
      <w:r>
        <w:t>6.4 Temporary bucket cleanup</w:t>
      </w:r>
    </w:p>
    <w:p>
      <w:r>
        <w:t>The script removes every restored object and then removes the temporary bucket. Cleanup is performed in a finally block so that it is attempted even when another validation step fails. The recorded result confirms successful removal.</w:t>
      </w:r>
    </w:p>
    <w:p>
      <w:pPr>
        <w:pStyle w:val="Heading1"/>
      </w:pPr>
      <w:r>
        <w:t>7. Consolidated Validation Results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PostgreSQL validation area</w:t>
            </w:r>
          </w:p>
        </w:tc>
        <w:tc>
          <w:tcPr>
            <w:tcW w:type="dxa" w:w="2379"/>
            <w:vAlign w:val="center"/>
            <w:shd w:fill="D9E1F2"/>
          </w:tcPr>
          <w:p>
            <w:pPr>
              <w:jc w:val="left"/>
            </w:pPr>
            <w:r/>
            <w:r>
              <w:rPr>
                <w:rFonts w:ascii="Times New Roman" w:hAnsi="Times New Roman" w:eastAsia="Times New Roman"/>
                <w:b/>
                <w:sz w:val="17"/>
              </w:rPr>
              <w:t>Expected</w:t>
            </w:r>
          </w:p>
        </w:tc>
        <w:tc>
          <w:tcPr>
            <w:tcW w:type="dxa" w:w="2379"/>
            <w:vAlign w:val="center"/>
            <w:shd w:fill="D9E1F2"/>
          </w:tcPr>
          <w:p>
            <w:pPr>
              <w:jc w:val="left"/>
            </w:pPr>
            <w:r/>
            <w:r>
              <w:rPr>
                <w:rFonts w:ascii="Times New Roman" w:hAnsi="Times New Roman" w:eastAsia="Times New Roman"/>
                <w:b/>
                <w:sz w:val="17"/>
              </w:rPr>
              <w:t>Observed</w:t>
            </w:r>
          </w:p>
        </w:tc>
        <w:tc>
          <w:tcPr>
            <w:tcW w:type="dxa" w:w="2379"/>
            <w:vAlign w:val="center"/>
            <w:shd w:fill="D9E1F2"/>
          </w:tcPr>
          <w:p>
            <w:pPr>
              <w:jc w:val="left"/>
            </w:pPr>
            <w:r/>
            <w:r>
              <w:rPr>
                <w:rFonts w:ascii="Times New Roman" w:hAnsi="Times New Roman" w:eastAsia="Times New Roman"/>
                <w:b/>
                <w:sz w:val="17"/>
              </w:rPr>
              <w:t>Result</w:t>
            </w:r>
          </w:p>
        </w:tc>
      </w:tr>
      <w:tr>
        <w:trPr>
          <w:cantSplit/>
        </w:trPr>
        <w:tc>
          <w:tcPr>
            <w:tcW w:type="dxa" w:w="2379"/>
            <w:vAlign w:val="center"/>
          </w:tcPr>
          <w:p>
            <w:pPr>
              <w:jc w:val="left"/>
            </w:pPr>
            <w:r/>
            <w:r>
              <w:rPr>
                <w:rFonts w:ascii="Times New Roman" w:hAnsi="Times New Roman" w:eastAsia="Times New Roman"/>
                <w:b w:val="0"/>
                <w:sz w:val="17"/>
              </w:rPr>
              <w:t>PostgreSQL container</w:t>
            </w:r>
          </w:p>
        </w:tc>
        <w:tc>
          <w:tcPr>
            <w:tcW w:type="dxa" w:w="2379"/>
            <w:vAlign w:val="center"/>
          </w:tcPr>
          <w:p>
            <w:pPr>
              <w:jc w:val="left"/>
            </w:pPr>
            <w:r/>
            <w:r>
              <w:rPr>
                <w:rFonts w:ascii="Times New Roman" w:hAnsi="Times New Roman" w:eastAsia="Times New Roman"/>
                <w:b w:val="0"/>
                <w:sz w:val="17"/>
              </w:rPr>
              <w:t>running</w:t>
            </w:r>
          </w:p>
        </w:tc>
        <w:tc>
          <w:tcPr>
            <w:tcW w:type="dxa" w:w="2379"/>
            <w:vAlign w:val="center"/>
          </w:tcPr>
          <w:p>
            <w:pPr>
              <w:jc w:val="left"/>
            </w:pPr>
            <w:r/>
            <w:r>
              <w:rPr>
                <w:rFonts w:ascii="Times New Roman" w:hAnsi="Times New Roman" w:eastAsia="Times New Roman"/>
                <w:b w:val="0"/>
                <w:sz w:val="17"/>
              </w:rPr>
              <w:t>running</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file created</w:t>
            </w:r>
          </w:p>
        </w:tc>
        <w:tc>
          <w:tcPr>
            <w:tcW w:type="dxa" w:w="2379"/>
            <w:vAlign w:val="center"/>
          </w:tcPr>
          <w:p>
            <w:pPr>
              <w:jc w:val="left"/>
            </w:pPr>
            <w:r/>
            <w:r>
              <w:rPr>
                <w:rFonts w:ascii="Times New Roman" w:hAnsi="Times New Roman" w:eastAsia="Times New Roman"/>
                <w:b w:val="0"/>
                <w:sz w:val="17"/>
              </w:rPr>
              <w:t>non-empty</w:t>
            </w:r>
          </w:p>
        </w:tc>
        <w:tc>
          <w:tcPr>
            <w:tcW w:type="dxa" w:w="2379"/>
            <w:vAlign w:val="center"/>
          </w:tcPr>
          <w:p>
            <w:pPr>
              <w:jc w:val="left"/>
            </w:pPr>
            <w:r/>
            <w:r>
              <w:rPr>
                <w:rFonts w:ascii="Times New Roman" w:hAnsi="Times New Roman" w:eastAsia="Times New Roman"/>
                <w:b w:val="0"/>
                <w:sz w:val="17"/>
              </w:rPr>
              <w:t>52,847,810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SHA-256</w:t>
            </w:r>
          </w:p>
        </w:tc>
        <w:tc>
          <w:tcPr>
            <w:tcW w:type="dxa" w:w="2379"/>
            <w:vAlign w:val="center"/>
          </w:tcPr>
          <w:p>
            <w:pPr>
              <w:jc w:val="left"/>
            </w:pPr>
            <w:r/>
            <w:r>
              <w:rPr>
                <w:rFonts w:ascii="Times New Roman" w:hAnsi="Times New Roman" w:eastAsia="Times New Roman"/>
                <w:b w:val="0"/>
                <w:sz w:val="17"/>
              </w:rPr>
              <w:t>64 hexadecimal characters</w:t>
            </w:r>
          </w:p>
        </w:tc>
        <w:tc>
          <w:tcPr>
            <w:tcW w:type="dxa" w:w="2379"/>
            <w:vAlign w:val="center"/>
          </w:tcPr>
          <w:p>
            <w:pPr>
              <w:jc w:val="left"/>
            </w:pPr>
            <w:r/>
            <w:r>
              <w:rPr>
                <w:rFonts w:ascii="Times New Roman" w:hAnsi="Times New Roman" w:eastAsia="Times New Roman"/>
                <w:b w:val="0"/>
                <w:sz w:val="17"/>
              </w:rPr>
              <w:t>valid digest</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Archive readability</w:t>
            </w:r>
          </w:p>
        </w:tc>
        <w:tc>
          <w:tcPr>
            <w:tcW w:type="dxa" w:w="2379"/>
            <w:vAlign w:val="center"/>
          </w:tcPr>
          <w:p>
            <w:pPr>
              <w:jc w:val="left"/>
            </w:pPr>
            <w:r/>
            <w:r>
              <w:rPr>
                <w:rFonts w:ascii="Times New Roman" w:hAnsi="Times New Roman" w:eastAsia="Times New Roman"/>
                <w:b w:val="0"/>
                <w:sz w:val="17"/>
              </w:rPr>
              <w:t>readable pg_restore archive</w:t>
            </w:r>
          </w:p>
        </w:tc>
        <w:tc>
          <w:tcPr>
            <w:tcW w:type="dxa" w:w="2379"/>
            <w:vAlign w:val="center"/>
          </w:tcPr>
          <w:p>
            <w:pPr>
              <w:jc w:val="left"/>
            </w:pPr>
            <w:r/>
            <w:r>
              <w:rPr>
                <w:rFonts w:ascii="Times New Roman" w:hAnsi="Times New Roman" w:eastAsia="Times New Roman"/>
                <w:b w:val="0"/>
                <w:sz w:val="17"/>
              </w:rPr>
              <w:t>readable</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restore</w:t>
            </w:r>
          </w:p>
        </w:tc>
        <w:tc>
          <w:tcPr>
            <w:tcW w:type="dxa" w:w="2379"/>
            <w:vAlign w:val="center"/>
          </w:tcPr>
          <w:p>
            <w:pPr>
              <w:jc w:val="left"/>
            </w:pPr>
            <w:r/>
            <w:r>
              <w:rPr>
                <w:rFonts w:ascii="Times New Roman" w:hAnsi="Times New Roman" w:eastAsia="Times New Roman"/>
                <w:b w:val="0"/>
                <w:sz w:val="17"/>
              </w:rPr>
              <w:t>successful</w:t>
            </w:r>
          </w:p>
        </w:tc>
        <w:tc>
          <w:tcPr>
            <w:tcW w:type="dxa" w:w="2379"/>
            <w:vAlign w:val="center"/>
          </w:tcPr>
          <w:p>
            <w:pPr>
              <w:jc w:val="left"/>
            </w:pPr>
            <w:r/>
            <w:r>
              <w:rPr>
                <w:rFonts w:ascii="Times New Roman" w:hAnsi="Times New Roman" w:eastAsia="Times New Roman"/>
                <w:b w:val="0"/>
                <w:sz w:val="17"/>
              </w:rPr>
              <w:t>successful</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Public table count</w:t>
            </w:r>
          </w:p>
        </w:tc>
        <w:tc>
          <w:tcPr>
            <w:tcW w:type="dxa" w:w="2379"/>
            <w:vAlign w:val="center"/>
          </w:tcPr>
          <w:p>
            <w:pPr>
              <w:jc w:val="left"/>
            </w:pPr>
            <w:r/>
            <w:r>
              <w:rPr>
                <w:rFonts w:ascii="Times New Roman" w:hAnsi="Times New Roman" w:eastAsia="Times New Roman"/>
                <w:b w:val="0"/>
                <w:sz w:val="17"/>
              </w:rPr>
              <w:t>10</w:t>
            </w:r>
          </w:p>
        </w:tc>
        <w:tc>
          <w:tcPr>
            <w:tcW w:type="dxa" w:w="2379"/>
            <w:vAlign w:val="center"/>
          </w:tcPr>
          <w:p>
            <w:pPr>
              <w:jc w:val="left"/>
            </w:pPr>
            <w:r/>
            <w:r>
              <w:rPr>
                <w:rFonts w:ascii="Times New Roman" w:hAnsi="Times New Roman" w:eastAsia="Times New Roman"/>
                <w:b w:val="0"/>
                <w:sz w:val="17"/>
              </w:rPr>
              <w:t>10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Constraint count</w:t>
            </w:r>
          </w:p>
        </w:tc>
        <w:tc>
          <w:tcPr>
            <w:tcW w:type="dxa" w:w="2379"/>
            <w:vAlign w:val="center"/>
          </w:tcPr>
          <w:p>
            <w:pPr>
              <w:jc w:val="left"/>
            </w:pPr>
            <w:r/>
            <w:r>
              <w:rPr>
                <w:rFonts w:ascii="Times New Roman" w:hAnsi="Times New Roman" w:eastAsia="Times New Roman"/>
                <w:b w:val="0"/>
                <w:sz w:val="17"/>
              </w:rPr>
              <w:t>30</w:t>
            </w:r>
          </w:p>
        </w:tc>
        <w:tc>
          <w:tcPr>
            <w:tcW w:type="dxa" w:w="2379"/>
            <w:vAlign w:val="center"/>
          </w:tcPr>
          <w:p>
            <w:pPr>
              <w:jc w:val="left"/>
            </w:pPr>
            <w:r/>
            <w:r>
              <w:rPr>
                <w:rFonts w:ascii="Times New Roman" w:hAnsi="Times New Roman" w:eastAsia="Times New Roman"/>
                <w:b w:val="0"/>
                <w:sz w:val="17"/>
              </w:rPr>
              <w:t>30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Index count</w:t>
            </w:r>
          </w:p>
        </w:tc>
        <w:tc>
          <w:tcPr>
            <w:tcW w:type="dxa" w:w="2379"/>
            <w:vAlign w:val="center"/>
          </w:tcPr>
          <w:p>
            <w:pPr>
              <w:jc w:val="left"/>
            </w:pPr>
            <w:r/>
            <w:r>
              <w:rPr>
                <w:rFonts w:ascii="Times New Roman" w:hAnsi="Times New Roman" w:eastAsia="Times New Roman"/>
                <w:b w:val="0"/>
                <w:sz w:val="17"/>
              </w:rPr>
              <w:t>50</w:t>
            </w:r>
          </w:p>
        </w:tc>
        <w:tc>
          <w:tcPr>
            <w:tcW w:type="dxa" w:w="2379"/>
            <w:vAlign w:val="center"/>
          </w:tcPr>
          <w:p>
            <w:pPr>
              <w:jc w:val="left"/>
            </w:pPr>
            <w:r/>
            <w:r>
              <w:rPr>
                <w:rFonts w:ascii="Times New Roman" w:hAnsi="Times New Roman" w:eastAsia="Times New Roman"/>
                <w:b w:val="0"/>
                <w:sz w:val="17"/>
              </w:rPr>
              <w:t>50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Exact table rows</w:t>
            </w:r>
          </w:p>
        </w:tc>
        <w:tc>
          <w:tcPr>
            <w:tcW w:type="dxa" w:w="2379"/>
            <w:vAlign w:val="center"/>
          </w:tcPr>
          <w:p>
            <w:pPr>
              <w:jc w:val="left"/>
            </w:pPr>
            <w:r/>
            <w:r>
              <w:rPr>
                <w:rFonts w:ascii="Times New Roman" w:hAnsi="Times New Roman" w:eastAsia="Times New Roman"/>
                <w:b w:val="0"/>
                <w:sz w:val="17"/>
              </w:rPr>
              <w:t>10 matching tables</w:t>
            </w:r>
          </w:p>
        </w:tc>
        <w:tc>
          <w:tcPr>
            <w:tcW w:type="dxa" w:w="2379"/>
            <w:vAlign w:val="center"/>
          </w:tcPr>
          <w:p>
            <w:pPr>
              <w:jc w:val="left"/>
            </w:pPr>
            <w:r/>
            <w:r>
              <w:rPr>
                <w:rFonts w:ascii="Times New Roman" w:hAnsi="Times New Roman" w:eastAsia="Times New Roman"/>
                <w:b w:val="0"/>
                <w:sz w:val="17"/>
              </w:rPr>
              <w:t>10 matching tables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database cleanup</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PASS</w:t>
            </w:r>
          </w:p>
        </w:tc>
      </w:tr>
    </w:tbl>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MinIO validation area</w:t>
            </w:r>
          </w:p>
        </w:tc>
        <w:tc>
          <w:tcPr>
            <w:tcW w:type="dxa" w:w="2379"/>
            <w:vAlign w:val="center"/>
            <w:shd w:fill="D9E1F2"/>
          </w:tcPr>
          <w:p>
            <w:pPr>
              <w:jc w:val="left"/>
            </w:pPr>
            <w:r/>
            <w:r>
              <w:rPr>
                <w:rFonts w:ascii="Times New Roman" w:hAnsi="Times New Roman" w:eastAsia="Times New Roman"/>
                <w:b/>
                <w:sz w:val="17"/>
              </w:rPr>
              <w:t>Expected</w:t>
            </w:r>
          </w:p>
        </w:tc>
        <w:tc>
          <w:tcPr>
            <w:tcW w:type="dxa" w:w="2379"/>
            <w:vAlign w:val="center"/>
            <w:shd w:fill="D9E1F2"/>
          </w:tcPr>
          <w:p>
            <w:pPr>
              <w:jc w:val="left"/>
            </w:pPr>
            <w:r/>
            <w:r>
              <w:rPr>
                <w:rFonts w:ascii="Times New Roman" w:hAnsi="Times New Roman" w:eastAsia="Times New Roman"/>
                <w:b/>
                <w:sz w:val="17"/>
              </w:rPr>
              <w:t>Observed</w:t>
            </w:r>
          </w:p>
        </w:tc>
        <w:tc>
          <w:tcPr>
            <w:tcW w:type="dxa" w:w="2379"/>
            <w:vAlign w:val="center"/>
            <w:shd w:fill="D9E1F2"/>
          </w:tcPr>
          <w:p>
            <w:pPr>
              <w:jc w:val="left"/>
            </w:pPr>
            <w:r/>
            <w:r>
              <w:rPr>
                <w:rFonts w:ascii="Times New Roman" w:hAnsi="Times New Roman" w:eastAsia="Times New Roman"/>
                <w:b/>
                <w:sz w:val="17"/>
              </w:rPr>
              <w:t>Result</w:t>
            </w:r>
          </w:p>
        </w:tc>
      </w:tr>
      <w:tr>
        <w:trPr>
          <w:cantSplit/>
        </w:trPr>
        <w:tc>
          <w:tcPr>
            <w:tcW w:type="dxa" w:w="2379"/>
            <w:vAlign w:val="center"/>
          </w:tcPr>
          <w:p>
            <w:pPr>
              <w:jc w:val="left"/>
            </w:pPr>
            <w:r/>
            <w:r>
              <w:rPr>
                <w:rFonts w:ascii="Times New Roman" w:hAnsi="Times New Roman" w:eastAsia="Times New Roman"/>
                <w:b w:val="0"/>
                <w:sz w:val="17"/>
              </w:rPr>
              <w:t>Source bucket</w:t>
            </w:r>
          </w:p>
        </w:tc>
        <w:tc>
          <w:tcPr>
            <w:tcW w:type="dxa" w:w="2379"/>
            <w:vAlign w:val="center"/>
          </w:tcPr>
          <w:p>
            <w:pPr>
              <w:jc w:val="left"/>
            </w:pPr>
            <w:r/>
            <w:r>
              <w:rPr>
                <w:rFonts w:ascii="Times New Roman" w:hAnsi="Times New Roman" w:eastAsia="Times New Roman"/>
                <w:b w:val="0"/>
                <w:sz w:val="17"/>
              </w:rPr>
              <w:t>accessible</w:t>
            </w:r>
          </w:p>
        </w:tc>
        <w:tc>
          <w:tcPr>
            <w:tcW w:type="dxa" w:w="2379"/>
            <w:vAlign w:val="center"/>
          </w:tcPr>
          <w:p>
            <w:pPr>
              <w:jc w:val="left"/>
            </w:pPr>
            <w:r/>
            <w:r>
              <w:rPr>
                <w:rFonts w:ascii="Times New Roman" w:hAnsi="Times New Roman" w:eastAsia="Times New Roman"/>
                <w:b w:val="0"/>
                <w:sz w:val="17"/>
              </w:rPr>
              <w:t>present</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Source inventory</w:t>
            </w:r>
          </w:p>
        </w:tc>
        <w:tc>
          <w:tcPr>
            <w:tcW w:type="dxa" w:w="2379"/>
            <w:vAlign w:val="center"/>
          </w:tcPr>
          <w:p>
            <w:pPr>
              <w:jc w:val="left"/>
            </w:pPr>
            <w:r/>
            <w:r>
              <w:rPr>
                <w:rFonts w:ascii="Times New Roman" w:hAnsi="Times New Roman" w:eastAsia="Times New Roman"/>
                <w:b w:val="0"/>
                <w:sz w:val="17"/>
              </w:rPr>
              <w:t>completed</w:t>
            </w:r>
          </w:p>
        </w:tc>
        <w:tc>
          <w:tcPr>
            <w:tcW w:type="dxa" w:w="2379"/>
            <w:vAlign w:val="center"/>
          </w:tcPr>
          <w:p>
            <w:pPr>
              <w:jc w:val="left"/>
            </w:pPr>
            <w:r/>
            <w:r>
              <w:rPr>
                <w:rFonts w:ascii="Times New Roman" w:hAnsi="Times New Roman" w:eastAsia="Times New Roman"/>
                <w:b w:val="0"/>
                <w:sz w:val="17"/>
              </w:rPr>
              <w:t>7 objects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object count</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total size</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bucket</w:t>
            </w:r>
          </w:p>
        </w:tc>
        <w:tc>
          <w:tcPr>
            <w:tcW w:type="dxa" w:w="2379"/>
            <w:vAlign w:val="center"/>
          </w:tcPr>
          <w:p>
            <w:pPr>
              <w:jc w:val="left"/>
            </w:pPr>
            <w:r/>
            <w:r>
              <w:rPr>
                <w:rFonts w:ascii="Times New Roman" w:hAnsi="Times New Roman" w:eastAsia="Times New Roman"/>
                <w:b w:val="0"/>
                <w:sz w:val="17"/>
              </w:rPr>
              <w:t>created</w:t>
            </w:r>
          </w:p>
        </w:tc>
        <w:tc>
          <w:tcPr>
            <w:tcW w:type="dxa" w:w="2379"/>
            <w:vAlign w:val="center"/>
          </w:tcPr>
          <w:p>
            <w:pPr>
              <w:jc w:val="left"/>
            </w:pPr>
            <w:r/>
            <w:r>
              <w:rPr>
                <w:rFonts w:ascii="Times New Roman" w:hAnsi="Times New Roman" w:eastAsia="Times New Roman"/>
                <w:b w:val="0"/>
                <w:sz w:val="17"/>
              </w:rPr>
              <w:t>created</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Restored object count</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Restored total size</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Per-object integrity</w:t>
            </w:r>
          </w:p>
        </w:tc>
        <w:tc>
          <w:tcPr>
            <w:tcW w:type="dxa" w:w="2379"/>
            <w:vAlign w:val="center"/>
          </w:tcPr>
          <w:p>
            <w:pPr>
              <w:jc w:val="left"/>
            </w:pPr>
            <w:r/>
            <w:r>
              <w:rPr>
                <w:rFonts w:ascii="Times New Roman" w:hAnsi="Times New Roman" w:eastAsia="Times New Roman"/>
                <w:b w:val="0"/>
                <w:sz w:val="17"/>
              </w:rPr>
              <w:t>7 verified</w:t>
            </w:r>
          </w:p>
        </w:tc>
        <w:tc>
          <w:tcPr>
            <w:tcW w:type="dxa" w:w="2379"/>
            <w:vAlign w:val="center"/>
          </w:tcPr>
          <w:p>
            <w:pPr>
              <w:jc w:val="left"/>
            </w:pPr>
            <w:r/>
            <w:r>
              <w:rPr>
                <w:rFonts w:ascii="Times New Roman" w:hAnsi="Times New Roman" w:eastAsia="Times New Roman"/>
                <w:b w:val="0"/>
                <w:sz w:val="17"/>
              </w:rPr>
              <w:t>7 verified</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bucket cleanup</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PASS</w:t>
            </w:r>
          </w:p>
        </w:tc>
      </w:tr>
    </w:tbl>
    <w:p/>
    <w:p>
      <w:r>
        <w:t>The final project validation matrix records PostgreSQL backup and restore as PASS with 19/19 checks and MinIO backup and restore as PASS with 23/23 checks. No failed, pending, or review status remained in the overall matrix.</w:t>
      </w:r>
    </w:p>
    <w:p>
      <w:pPr>
        <w:pStyle w:val="Heading1"/>
      </w:pPr>
      <w:r>
        <w:t>8. Recovery Limitations and Risk Analysis</w:t>
      </w:r>
    </w:p>
    <w:p>
      <w:pPr>
        <w:pStyle w:val="ListBullet"/>
      </w:pPr>
      <w:r>
        <w:t>The PostgreSQL and MinIO backups are stored on the same local host used for validation. This does not protect against complete host loss.</w:t>
      </w:r>
    </w:p>
    <w:p>
      <w:pPr>
        <w:pStyle w:val="ListBullet"/>
      </w:pPr>
      <w:r>
        <w:t>The evidence does not show encryption of backup archives at rest.</w:t>
      </w:r>
    </w:p>
    <w:p>
      <w:pPr>
        <w:pStyle w:val="ListBullet"/>
      </w:pPr>
      <w:r>
        <w:t>No remote backup repository, immutable storage, or offline backup copy is demonstrated.</w:t>
      </w:r>
    </w:p>
    <w:p>
      <w:pPr>
        <w:pStyle w:val="ListBullet"/>
      </w:pPr>
      <w:r>
        <w:t>The PostgreSQL method is a full logical backup. Point-in-time recovery through WAL archiving is not implemented in the supplied evidence.</w:t>
      </w:r>
    </w:p>
    <w:p>
      <w:pPr>
        <w:pStyle w:val="ListBullet"/>
      </w:pPr>
      <w:r>
        <w:t>Recovery time objective (RTO) and recovery point objective (RPO) are not formally defined or measured.</w:t>
      </w:r>
    </w:p>
    <w:p>
      <w:pPr>
        <w:pStyle w:val="ListBullet"/>
      </w:pPr>
      <w:r>
        <w:t>The MinIO validation sample contains only seven objects totaling 488 bytes, which is sufficient for functional validation but not for large-scale recovery timing.</w:t>
      </w:r>
    </w:p>
    <w:p>
      <w:pPr>
        <w:pStyle w:val="ListBullet"/>
      </w:pPr>
      <w:r>
        <w:t>The tests validate row counts, schema-object counts, and checksums, but do not perform application-level semantic verification of every restored record.</w:t>
      </w:r>
    </w:p>
    <w:p>
      <w:pPr>
        <w:pStyle w:val="ListBullet"/>
      </w:pPr>
      <w:r>
        <w:t>Backup retention, rotation, expiration, and periodic scheduling are not documented in the supplied source.</w:t>
      </w:r>
    </w:p>
    <w:p>
      <w:pPr>
        <w:pStyle w:val="ListBullet"/>
      </w:pPr>
      <w:r>
        <w:t>The earlier evidence files contain an older nine-table PostgreSQL result. This chapter uses the newer detailed 10-table, 19-check validation as the current result.</w:t>
      </w:r>
    </w:p>
    <w:p>
      <w:pPr>
        <w:pStyle w:val="Heading2"/>
      </w:pPr>
      <w:r>
        <w:t>8.1 Interpretation of the two PostgreSQL summaries</w:t>
      </w:r>
    </w:p>
    <w:p>
      <w:r>
        <w:t>The supplied evidence includes an earlier PostgreSQL summary with nine tables and a 52,847,270-byte archive, and a later detailed result with ten tables and a 52,847,810-byte archive. The later test includes the Alembic migration table, verifies constraints and indexes, reports 19 checks, and confirms cleanup. It is therefore treated as the authoritative current result. The earlier artifact should be retained only as historical validation evidence.</w:t>
      </w:r>
    </w:p>
    <w:p>
      <w:pPr>
        <w:pStyle w:val="Heading1"/>
      </w:pPr>
      <w:r>
        <w:t>9. Remote Backup and Disaster-Recovery Recommendations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Priority</w:t>
            </w:r>
          </w:p>
        </w:tc>
        <w:tc>
          <w:tcPr>
            <w:tcW w:type="dxa" w:w="4759"/>
            <w:vAlign w:val="center"/>
            <w:shd w:fill="D9E1F2"/>
          </w:tcPr>
          <w:p>
            <w:pPr>
              <w:jc w:val="left"/>
            </w:pPr>
            <w:r/>
            <w:r>
              <w:rPr>
                <w:rFonts w:ascii="Times New Roman" w:hAnsi="Times New Roman" w:eastAsia="Times New Roman"/>
                <w:b/>
                <w:sz w:val="17"/>
              </w:rPr>
              <w:t>Recommendation</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Copy PostgreSQL and MinIO backups to a physically or logically separate remote destination.</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Encrypt backup archives and manifests before remote transfer, with keys stored separately.</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Define target RPO and RTO values and measure actual backup and restoration durations.</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Schedule automatic backups and alert when a job, upload, checksum, or restoration test fails.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Implement backup retention rules with daily, weekly, and monthly generations.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Evaluate PostgreSQL WAL archiving and point-in-time recovery for lower data-loss exposure.</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Enable MinIO versioning or an equivalent object-version strategy where operationally appropriate.</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Test recovery on the final VM and on a second clean host to demonstrate independence from the source environment.</w:t>
            </w:r>
          </w:p>
        </w:tc>
      </w:tr>
      <w:tr>
        <w:trPr>
          <w:cantSplit/>
        </w:trPr>
        <w:tc>
          <w:tcPr>
            <w:tcW w:type="dxa" w:w="4759"/>
            <w:vAlign w:val="center"/>
          </w:tcPr>
          <w:p>
            <w:pPr>
              <w:jc w:val="left"/>
            </w:pPr>
            <w:r/>
            <w:r>
              <w:rPr>
                <w:rFonts w:ascii="Times New Roman" w:hAnsi="Times New Roman" w:eastAsia="Times New Roman"/>
                <w:b w:val="0"/>
                <w:sz w:val="17"/>
              </w:rPr>
              <w:t>P3</w:t>
            </w:r>
          </w:p>
        </w:tc>
        <w:tc>
          <w:tcPr>
            <w:tcW w:type="dxa" w:w="4759"/>
            <w:vAlign w:val="center"/>
          </w:tcPr>
          <w:p>
            <w:pPr>
              <w:jc w:val="left"/>
            </w:pPr>
            <w:r/>
            <w:r>
              <w:rPr>
                <w:rFonts w:ascii="Times New Roman" w:hAnsi="Times New Roman" w:eastAsia="Times New Roman"/>
                <w:b w:val="0"/>
                <w:sz w:val="17"/>
              </w:rPr>
              <w:t>Run periodic large-data recovery tests with representative report sizes and object counts.</w:t>
            </w:r>
          </w:p>
        </w:tc>
      </w:tr>
      <w:tr>
        <w:trPr>
          <w:cantSplit/>
        </w:trPr>
        <w:tc>
          <w:tcPr>
            <w:tcW w:type="dxa" w:w="4759"/>
            <w:vAlign w:val="center"/>
          </w:tcPr>
          <w:p>
            <w:pPr>
              <w:jc w:val="left"/>
            </w:pPr>
            <w:r/>
            <w:r>
              <w:rPr>
                <w:rFonts w:ascii="Times New Roman" w:hAnsi="Times New Roman" w:eastAsia="Times New Roman"/>
                <w:b w:val="0"/>
                <w:sz w:val="17"/>
              </w:rPr>
              <w:t>P3</w:t>
            </w:r>
          </w:p>
        </w:tc>
        <w:tc>
          <w:tcPr>
            <w:tcW w:type="dxa" w:w="4759"/>
            <w:vAlign w:val="center"/>
          </w:tcPr>
          <w:p>
            <w:pPr>
              <w:jc w:val="left"/>
            </w:pPr>
            <w:r/>
            <w:r>
              <w:rPr>
                <w:rFonts w:ascii="Times New Roman" w:hAnsi="Times New Roman" w:eastAsia="Times New Roman"/>
                <w:b w:val="0"/>
                <w:sz w:val="17"/>
              </w:rPr>
              <w:t>Document a recovery runbook with responsible roles, escalation contacts, and acceptance criteria.</w:t>
            </w:r>
          </w:p>
        </w:tc>
      </w:tr>
    </w:tbl>
    <w:p/>
    <w:p>
      <w:pPr>
        <w:pStyle w:val="Heading2"/>
      </w:pPr>
      <w:r>
        <w:t>9.1 Suggested recovery acceptance criteria</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Criterion</w:t>
            </w:r>
          </w:p>
        </w:tc>
        <w:tc>
          <w:tcPr>
            <w:tcW w:type="dxa" w:w="4759"/>
            <w:vAlign w:val="center"/>
            <w:shd w:fill="D9E1F2"/>
          </w:tcPr>
          <w:p>
            <w:pPr>
              <w:jc w:val="left"/>
            </w:pPr>
            <w:r/>
            <w:r>
              <w:rPr>
                <w:rFonts w:ascii="Times New Roman" w:hAnsi="Times New Roman" w:eastAsia="Times New Roman"/>
                <w:b/>
                <w:sz w:val="17"/>
              </w:rPr>
              <w:t>Required evidence</w:t>
            </w:r>
          </w:p>
        </w:tc>
      </w:tr>
      <w:tr>
        <w:trPr>
          <w:cantSplit/>
        </w:trPr>
        <w:tc>
          <w:tcPr>
            <w:tcW w:type="dxa" w:w="4759"/>
            <w:vAlign w:val="center"/>
          </w:tcPr>
          <w:p>
            <w:pPr>
              <w:jc w:val="left"/>
            </w:pPr>
            <w:r/>
            <w:r>
              <w:rPr>
                <w:rFonts w:ascii="Times New Roman" w:hAnsi="Times New Roman" w:eastAsia="Times New Roman"/>
                <w:b w:val="0"/>
                <w:sz w:val="17"/>
              </w:rPr>
              <w:t>Backup success</w:t>
            </w:r>
          </w:p>
        </w:tc>
        <w:tc>
          <w:tcPr>
            <w:tcW w:type="dxa" w:w="4759"/>
            <w:vAlign w:val="center"/>
          </w:tcPr>
          <w:p>
            <w:pPr>
              <w:jc w:val="left"/>
            </w:pPr>
            <w:r/>
            <w:r>
              <w:rPr>
                <w:rFonts w:ascii="Times New Roman" w:hAnsi="Times New Roman" w:eastAsia="Times New Roman"/>
                <w:b w:val="0"/>
                <w:sz w:val="17"/>
              </w:rPr>
              <w:t>Archive or object set created, non-empty, and checksum recorded</w:t>
            </w:r>
          </w:p>
        </w:tc>
      </w:tr>
      <w:tr>
        <w:trPr>
          <w:cantSplit/>
        </w:trPr>
        <w:tc>
          <w:tcPr>
            <w:tcW w:type="dxa" w:w="4759"/>
            <w:vAlign w:val="center"/>
          </w:tcPr>
          <w:p>
            <w:pPr>
              <w:jc w:val="left"/>
            </w:pPr>
            <w:r/>
            <w:r>
              <w:rPr>
                <w:rFonts w:ascii="Times New Roman" w:hAnsi="Times New Roman" w:eastAsia="Times New Roman"/>
                <w:b w:val="0"/>
                <w:sz w:val="17"/>
              </w:rPr>
              <w:t>Restore success</w:t>
            </w:r>
          </w:p>
        </w:tc>
        <w:tc>
          <w:tcPr>
            <w:tcW w:type="dxa" w:w="4759"/>
            <w:vAlign w:val="center"/>
          </w:tcPr>
          <w:p>
            <w:pPr>
              <w:jc w:val="left"/>
            </w:pPr>
            <w:r/>
            <w:r>
              <w:rPr>
                <w:rFonts w:ascii="Times New Roman" w:hAnsi="Times New Roman" w:eastAsia="Times New Roman"/>
                <w:b w:val="0"/>
                <w:sz w:val="17"/>
              </w:rPr>
              <w:t>Fresh isolated target created and restoration completed without error</w:t>
            </w:r>
          </w:p>
        </w:tc>
      </w:tr>
      <w:tr>
        <w:trPr>
          <w:cantSplit/>
        </w:trPr>
        <w:tc>
          <w:tcPr>
            <w:tcW w:type="dxa" w:w="4759"/>
            <w:vAlign w:val="center"/>
          </w:tcPr>
          <w:p>
            <w:pPr>
              <w:jc w:val="left"/>
            </w:pPr>
            <w:r/>
            <w:r>
              <w:rPr>
                <w:rFonts w:ascii="Times New Roman" w:hAnsi="Times New Roman" w:eastAsia="Times New Roman"/>
                <w:b w:val="0"/>
                <w:sz w:val="17"/>
              </w:rPr>
              <w:t>Database completeness</w:t>
            </w:r>
          </w:p>
        </w:tc>
        <w:tc>
          <w:tcPr>
            <w:tcW w:type="dxa" w:w="4759"/>
            <w:vAlign w:val="center"/>
          </w:tcPr>
          <w:p>
            <w:pPr>
              <w:jc w:val="left"/>
            </w:pPr>
            <w:r/>
            <w:r>
              <w:rPr>
                <w:rFonts w:ascii="Times New Roman" w:hAnsi="Times New Roman" w:eastAsia="Times New Roman"/>
                <w:b w:val="0"/>
                <w:sz w:val="17"/>
              </w:rPr>
              <w:t>Tables, constraints, indexes, and exact row counts match</w:t>
            </w:r>
          </w:p>
        </w:tc>
      </w:tr>
      <w:tr>
        <w:trPr>
          <w:cantSplit/>
        </w:trPr>
        <w:tc>
          <w:tcPr>
            <w:tcW w:type="dxa" w:w="4759"/>
            <w:vAlign w:val="center"/>
          </w:tcPr>
          <w:p>
            <w:pPr>
              <w:jc w:val="left"/>
            </w:pPr>
            <w:r/>
            <w:r>
              <w:rPr>
                <w:rFonts w:ascii="Times New Roman" w:hAnsi="Times New Roman" w:eastAsia="Times New Roman"/>
                <w:b w:val="0"/>
                <w:sz w:val="17"/>
              </w:rPr>
              <w:t>Object completeness</w:t>
            </w:r>
          </w:p>
        </w:tc>
        <w:tc>
          <w:tcPr>
            <w:tcW w:type="dxa" w:w="4759"/>
            <w:vAlign w:val="center"/>
          </w:tcPr>
          <w:p>
            <w:pPr>
              <w:jc w:val="left"/>
            </w:pPr>
            <w:r/>
            <w:r>
              <w:rPr>
                <w:rFonts w:ascii="Times New Roman" w:hAnsi="Times New Roman" w:eastAsia="Times New Roman"/>
                <w:b w:val="0"/>
                <w:sz w:val="17"/>
              </w:rPr>
              <w:t>Object count, total size, per-object size, and SHA-256 match</w:t>
            </w:r>
          </w:p>
        </w:tc>
      </w:tr>
      <w:tr>
        <w:trPr>
          <w:cantSplit/>
        </w:trPr>
        <w:tc>
          <w:tcPr>
            <w:tcW w:type="dxa" w:w="4759"/>
            <w:vAlign w:val="center"/>
          </w:tcPr>
          <w:p>
            <w:pPr>
              <w:jc w:val="left"/>
            </w:pPr>
            <w:r/>
            <w:r>
              <w:rPr>
                <w:rFonts w:ascii="Times New Roman" w:hAnsi="Times New Roman" w:eastAsia="Times New Roman"/>
                <w:b w:val="0"/>
                <w:sz w:val="17"/>
              </w:rPr>
              <w:t>Application readiness</w:t>
            </w:r>
          </w:p>
        </w:tc>
        <w:tc>
          <w:tcPr>
            <w:tcW w:type="dxa" w:w="4759"/>
            <w:vAlign w:val="center"/>
          </w:tcPr>
          <w:p>
            <w:pPr>
              <w:jc w:val="left"/>
            </w:pPr>
            <w:r/>
            <w:r>
              <w:rPr>
                <w:rFonts w:ascii="Times New Roman" w:hAnsi="Times New Roman" w:eastAsia="Times New Roman"/>
                <w:b w:val="0"/>
                <w:sz w:val="17"/>
              </w:rPr>
              <w:t>Backend starts and representative API queries succeed against the restored environment</w:t>
            </w:r>
          </w:p>
        </w:tc>
      </w:tr>
      <w:tr>
        <w:trPr>
          <w:cantSplit/>
        </w:trPr>
        <w:tc>
          <w:tcPr>
            <w:tcW w:type="dxa" w:w="4759"/>
            <w:vAlign w:val="center"/>
          </w:tcPr>
          <w:p>
            <w:pPr>
              <w:jc w:val="left"/>
            </w:pPr>
            <w:r/>
            <w:r>
              <w:rPr>
                <w:rFonts w:ascii="Times New Roman" w:hAnsi="Times New Roman" w:eastAsia="Times New Roman"/>
                <w:b w:val="0"/>
                <w:sz w:val="17"/>
              </w:rPr>
              <w:t>Cleanup</w:t>
            </w:r>
          </w:p>
        </w:tc>
        <w:tc>
          <w:tcPr>
            <w:tcW w:type="dxa" w:w="4759"/>
            <w:vAlign w:val="center"/>
          </w:tcPr>
          <w:p>
            <w:pPr>
              <w:jc w:val="left"/>
            </w:pPr>
            <w:r/>
            <w:r>
              <w:rPr>
                <w:rFonts w:ascii="Times New Roman" w:hAnsi="Times New Roman" w:eastAsia="Times New Roman"/>
                <w:b w:val="0"/>
                <w:sz w:val="17"/>
              </w:rPr>
              <w:t>Temporary targets removed and sensitive local test copies controlled</w:t>
            </w:r>
          </w:p>
        </w:tc>
      </w:tr>
      <w:tr>
        <w:trPr>
          <w:cantSplit/>
        </w:trPr>
        <w:tc>
          <w:tcPr>
            <w:tcW w:type="dxa" w:w="4759"/>
            <w:vAlign w:val="center"/>
          </w:tcPr>
          <w:p>
            <w:pPr>
              <w:jc w:val="left"/>
            </w:pPr>
            <w:r/>
            <w:r>
              <w:rPr>
                <w:rFonts w:ascii="Times New Roman" w:hAnsi="Times New Roman" w:eastAsia="Times New Roman"/>
                <w:b w:val="0"/>
                <w:sz w:val="17"/>
              </w:rPr>
              <w:t>Operational evidence</w:t>
            </w:r>
          </w:p>
        </w:tc>
        <w:tc>
          <w:tcPr>
            <w:tcW w:type="dxa" w:w="4759"/>
            <w:vAlign w:val="center"/>
          </w:tcPr>
          <w:p>
            <w:pPr>
              <w:jc w:val="left"/>
            </w:pPr>
            <w:r/>
            <w:r>
              <w:rPr>
                <w:rFonts w:ascii="Times New Roman" w:hAnsi="Times New Roman" w:eastAsia="Times New Roman"/>
                <w:b w:val="0"/>
                <w:sz w:val="17"/>
              </w:rPr>
              <w:t>Timestamped manifest, result CSV, summary, and alert status retained</w:t>
            </w:r>
          </w:p>
        </w:tc>
      </w:tr>
    </w:tbl>
    <w:p/>
    <w:p>
      <w:pPr>
        <w:pStyle w:val="Heading1"/>
      </w:pPr>
      <w:r>
        <w:t>10. Conclusion</w:t>
      </w:r>
    </w:p>
    <w:p>
      <w:r>
        <w:t>The Healthcare Cloud Platform implements and validates two complementary recovery workflows. PostgreSQL recovery uses a compressed custom logical archive, SHA-256 verification, archive readability testing, isolated restoration, structural comparison, exact row-count verification, and cleanup. MinIO recovery uses recursive source inventory, local object copies, manifests, per-object checksums, isolated bucket restoration, count and size comparison, checksum verification, and cleanup.</w:t>
      </w:r>
    </w:p>
    <w:p>
      <w:r>
        <w:t>The current evidence demonstrates exact restoration of 1,581,949 PostgreSQL rows across ten tables and exact restoration of seven MinIO objects. PostgreSQL passed 19 of 19 checks, while MinIO passed 23 of 23 checks. These results justify a local recoverability claim for the measured dataset and configuration.</w:t>
      </w:r>
    </w:p>
    <w:p>
      <w:r>
        <w:t>A complete disaster-recovery claim requires additional controls: remote and encrypted backup copies, scheduled execution, retention rules, defined RPO and RTO targets, recovery timing, point-in-time recovery where required, and validation on a clean remote host. The implemented workflow provides a strong and auditable foundation for those next steps.</w:t>
      </w:r>
    </w:p>
    <w:p>
      <w:r>
        <w:br w:type="page"/>
      </w:r>
    </w:p>
    <w:p>
      <w:pPr>
        <w:pStyle w:val="Heading1"/>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Claim or component</w:t>
            </w:r>
          </w:p>
        </w:tc>
        <w:tc>
          <w:tcPr>
            <w:tcW w:type="dxa" w:w="4759"/>
            <w:vAlign w:val="center"/>
            <w:shd w:fill="D9E1F2"/>
          </w:tcPr>
          <w:p>
            <w:pPr>
              <w:jc w:val="left"/>
            </w:pPr>
            <w:r/>
            <w:r>
              <w:rPr>
                <w:rFonts w:ascii="Times New Roman" w:hAnsi="Times New Roman" w:eastAsia="Times New Roman"/>
                <w:b/>
                <w:sz w:val="17"/>
              </w:rPr>
              <w:t>Primary evidence</w:t>
            </w:r>
          </w:p>
        </w:tc>
      </w:tr>
      <w:tr>
        <w:trPr>
          <w:cantSplit/>
        </w:trPr>
        <w:tc>
          <w:tcPr>
            <w:tcW w:type="dxa" w:w="4759"/>
            <w:vAlign w:val="center"/>
          </w:tcPr>
          <w:p>
            <w:pPr>
              <w:jc w:val="left"/>
            </w:pPr>
            <w:r/>
            <w:r>
              <w:rPr>
                <w:rFonts w:ascii="Times New Roman" w:hAnsi="Times New Roman" w:eastAsia="Times New Roman"/>
                <w:b w:val="0"/>
                <w:sz w:val="17"/>
              </w:rPr>
              <w:t>PostgreSQL current summary</w:t>
            </w:r>
          </w:p>
        </w:tc>
        <w:tc>
          <w:tcPr>
            <w:tcW w:type="dxa" w:w="4759"/>
            <w:vAlign w:val="center"/>
          </w:tcPr>
          <w:p>
            <w:pPr>
              <w:jc w:val="left"/>
            </w:pPr>
            <w:r/>
            <w:r>
              <w:rPr>
                <w:rFonts w:ascii="Times New Roman" w:hAnsi="Times New Roman" w:eastAsia="Times New Roman"/>
                <w:b w:val="0"/>
                <w:sz w:val="17"/>
              </w:rPr>
              <w:t>docs/evidence/postgres_backup_restore_summary.txt</w:t>
            </w:r>
          </w:p>
        </w:tc>
      </w:tr>
      <w:tr>
        <w:trPr>
          <w:cantSplit/>
        </w:trPr>
        <w:tc>
          <w:tcPr>
            <w:tcW w:type="dxa" w:w="4759"/>
            <w:vAlign w:val="center"/>
          </w:tcPr>
          <w:p>
            <w:pPr>
              <w:jc w:val="left"/>
            </w:pPr>
            <w:r/>
            <w:r>
              <w:rPr>
                <w:rFonts w:ascii="Times New Roman" w:hAnsi="Times New Roman" w:eastAsia="Times New Roman"/>
                <w:b w:val="0"/>
                <w:sz w:val="17"/>
              </w:rPr>
              <w:t>PostgreSQL test results</w:t>
            </w:r>
          </w:p>
        </w:tc>
        <w:tc>
          <w:tcPr>
            <w:tcW w:type="dxa" w:w="4759"/>
            <w:vAlign w:val="center"/>
          </w:tcPr>
          <w:p>
            <w:pPr>
              <w:jc w:val="left"/>
            </w:pPr>
            <w:r/>
            <w:r>
              <w:rPr>
                <w:rFonts w:ascii="Times New Roman" w:hAnsi="Times New Roman" w:eastAsia="Times New Roman"/>
                <w:b w:val="0"/>
                <w:sz w:val="17"/>
              </w:rPr>
              <w:t>tests/recovery/postgres_backup_restore_results.csv</w:t>
            </w:r>
          </w:p>
        </w:tc>
      </w:tr>
      <w:tr>
        <w:trPr>
          <w:cantSplit/>
        </w:trPr>
        <w:tc>
          <w:tcPr>
            <w:tcW w:type="dxa" w:w="4759"/>
            <w:vAlign w:val="center"/>
          </w:tcPr>
          <w:p>
            <w:pPr>
              <w:jc w:val="left"/>
            </w:pPr>
            <w:r/>
            <w:r>
              <w:rPr>
                <w:rFonts w:ascii="Times New Roman" w:hAnsi="Times New Roman" w:eastAsia="Times New Roman"/>
                <w:b w:val="0"/>
                <w:sz w:val="17"/>
              </w:rPr>
              <w:t>PostgreSQL validation script</w:t>
            </w:r>
          </w:p>
        </w:tc>
        <w:tc>
          <w:tcPr>
            <w:tcW w:type="dxa" w:w="4759"/>
            <w:vAlign w:val="center"/>
          </w:tcPr>
          <w:p>
            <w:pPr>
              <w:jc w:val="left"/>
            </w:pPr>
            <w:r/>
            <w:r>
              <w:rPr>
                <w:rFonts w:ascii="Times New Roman" w:hAnsi="Times New Roman" w:eastAsia="Times New Roman"/>
                <w:b w:val="0"/>
                <w:sz w:val="17"/>
              </w:rPr>
              <w:t>tests/recovery/validate_postgres_backup_restore.py</w:t>
            </w:r>
          </w:p>
        </w:tc>
      </w:tr>
      <w:tr>
        <w:trPr>
          <w:cantSplit/>
        </w:trPr>
        <w:tc>
          <w:tcPr>
            <w:tcW w:type="dxa" w:w="4759"/>
            <w:vAlign w:val="center"/>
          </w:tcPr>
          <w:p>
            <w:pPr>
              <w:jc w:val="left"/>
            </w:pPr>
            <w:r/>
            <w:r>
              <w:rPr>
                <w:rFonts w:ascii="Times New Roman" w:hAnsi="Times New Roman" w:eastAsia="Times New Roman"/>
                <w:b w:val="0"/>
                <w:sz w:val="17"/>
              </w:rPr>
              <w:t>PostgreSQL PowerShell workflow</w:t>
            </w:r>
          </w:p>
        </w:tc>
        <w:tc>
          <w:tcPr>
            <w:tcW w:type="dxa" w:w="4759"/>
            <w:vAlign w:val="center"/>
          </w:tcPr>
          <w:p>
            <w:pPr>
              <w:jc w:val="left"/>
            </w:pPr>
            <w:r/>
            <w:r>
              <w:rPr>
                <w:rFonts w:ascii="Times New Roman" w:hAnsi="Times New Roman" w:eastAsia="Times New Roman"/>
                <w:b w:val="0"/>
                <w:sz w:val="17"/>
              </w:rPr>
              <w:t>tests/recovery/validate_postgres_backup_restore.ps1</w:t>
            </w:r>
          </w:p>
        </w:tc>
      </w:tr>
      <w:tr>
        <w:trPr>
          <w:cantSplit/>
        </w:trPr>
        <w:tc>
          <w:tcPr>
            <w:tcW w:type="dxa" w:w="4759"/>
            <w:vAlign w:val="center"/>
          </w:tcPr>
          <w:p>
            <w:pPr>
              <w:jc w:val="left"/>
            </w:pPr>
            <w:r/>
            <w:r>
              <w:rPr>
                <w:rFonts w:ascii="Times New Roman" w:hAnsi="Times New Roman" w:eastAsia="Times New Roman"/>
                <w:b w:val="0"/>
                <w:sz w:val="17"/>
              </w:rPr>
              <w:t>MinIO current summary</w:t>
            </w:r>
          </w:p>
        </w:tc>
        <w:tc>
          <w:tcPr>
            <w:tcW w:type="dxa" w:w="4759"/>
            <w:vAlign w:val="center"/>
          </w:tcPr>
          <w:p>
            <w:pPr>
              <w:jc w:val="left"/>
            </w:pPr>
            <w:r/>
            <w:r>
              <w:rPr>
                <w:rFonts w:ascii="Times New Roman" w:hAnsi="Times New Roman" w:eastAsia="Times New Roman"/>
                <w:b w:val="0"/>
                <w:sz w:val="17"/>
              </w:rPr>
              <w:t>docs/evidence/minio_backup_restore_summary.txt</w:t>
            </w:r>
          </w:p>
        </w:tc>
      </w:tr>
      <w:tr>
        <w:trPr>
          <w:cantSplit/>
        </w:trPr>
        <w:tc>
          <w:tcPr>
            <w:tcW w:type="dxa" w:w="4759"/>
            <w:vAlign w:val="center"/>
          </w:tcPr>
          <w:p>
            <w:pPr>
              <w:jc w:val="left"/>
            </w:pPr>
            <w:r/>
            <w:r>
              <w:rPr>
                <w:rFonts w:ascii="Times New Roman" w:hAnsi="Times New Roman" w:eastAsia="Times New Roman"/>
                <w:b w:val="0"/>
                <w:sz w:val="17"/>
              </w:rPr>
              <w:t>MinIO test results</w:t>
            </w:r>
          </w:p>
        </w:tc>
        <w:tc>
          <w:tcPr>
            <w:tcW w:type="dxa" w:w="4759"/>
            <w:vAlign w:val="center"/>
          </w:tcPr>
          <w:p>
            <w:pPr>
              <w:jc w:val="left"/>
            </w:pPr>
            <w:r/>
            <w:r>
              <w:rPr>
                <w:rFonts w:ascii="Times New Roman" w:hAnsi="Times New Roman" w:eastAsia="Times New Roman"/>
                <w:b w:val="0"/>
                <w:sz w:val="17"/>
              </w:rPr>
              <w:t>tests/recovery/minio_backup_restore_results.csv</w:t>
            </w:r>
          </w:p>
        </w:tc>
      </w:tr>
      <w:tr>
        <w:trPr>
          <w:cantSplit/>
        </w:trPr>
        <w:tc>
          <w:tcPr>
            <w:tcW w:type="dxa" w:w="4759"/>
            <w:vAlign w:val="center"/>
          </w:tcPr>
          <w:p>
            <w:pPr>
              <w:jc w:val="left"/>
            </w:pPr>
            <w:r/>
            <w:r>
              <w:rPr>
                <w:rFonts w:ascii="Times New Roman" w:hAnsi="Times New Roman" w:eastAsia="Times New Roman"/>
                <w:b w:val="0"/>
                <w:sz w:val="17"/>
              </w:rPr>
              <w:t>MinIO validation script</w:t>
            </w:r>
          </w:p>
        </w:tc>
        <w:tc>
          <w:tcPr>
            <w:tcW w:type="dxa" w:w="4759"/>
            <w:vAlign w:val="center"/>
          </w:tcPr>
          <w:p>
            <w:pPr>
              <w:jc w:val="left"/>
            </w:pPr>
            <w:r/>
            <w:r>
              <w:rPr>
                <w:rFonts w:ascii="Times New Roman" w:hAnsi="Times New Roman" w:eastAsia="Times New Roman"/>
                <w:b w:val="0"/>
                <w:sz w:val="17"/>
              </w:rPr>
              <w:t>tests/recovery/validate_minio_backup_restore.py</w:t>
            </w:r>
          </w:p>
        </w:tc>
      </w:tr>
      <w:tr>
        <w:trPr>
          <w:cantSplit/>
        </w:trPr>
        <w:tc>
          <w:tcPr>
            <w:tcW w:type="dxa" w:w="4759"/>
            <w:vAlign w:val="center"/>
          </w:tcPr>
          <w:p>
            <w:pPr>
              <w:jc w:val="left"/>
            </w:pPr>
            <w:r/>
            <w:r>
              <w:rPr>
                <w:rFonts w:ascii="Times New Roman" w:hAnsi="Times New Roman" w:eastAsia="Times New Roman"/>
                <w:b w:val="0"/>
                <w:sz w:val="17"/>
              </w:rPr>
              <w:t>MinIO wrapper script</w:t>
            </w:r>
          </w:p>
        </w:tc>
        <w:tc>
          <w:tcPr>
            <w:tcW w:type="dxa" w:w="4759"/>
            <w:vAlign w:val="center"/>
          </w:tcPr>
          <w:p>
            <w:pPr>
              <w:jc w:val="left"/>
            </w:pPr>
            <w:r/>
            <w:r>
              <w:rPr>
                <w:rFonts w:ascii="Times New Roman" w:hAnsi="Times New Roman" w:eastAsia="Times New Roman"/>
                <w:b w:val="0"/>
                <w:sz w:val="17"/>
              </w:rPr>
              <w:t>tests/recovery/run_minio_recovery_validation.ps1</w:t>
            </w:r>
          </w:p>
        </w:tc>
      </w:tr>
      <w:tr>
        <w:trPr>
          <w:cantSplit/>
        </w:trPr>
        <w:tc>
          <w:tcPr>
            <w:tcW w:type="dxa" w:w="4759"/>
            <w:vAlign w:val="center"/>
          </w:tcPr>
          <w:p>
            <w:pPr>
              <w:jc w:val="left"/>
            </w:pPr>
            <w:r/>
            <w:r>
              <w:rPr>
                <w:rFonts w:ascii="Times New Roman" w:hAnsi="Times New Roman" w:eastAsia="Times New Roman"/>
                <w:b w:val="0"/>
                <w:sz w:val="17"/>
              </w:rPr>
              <w:t>Recovery finalization</w:t>
            </w:r>
          </w:p>
        </w:tc>
        <w:tc>
          <w:tcPr>
            <w:tcW w:type="dxa" w:w="4759"/>
            <w:vAlign w:val="center"/>
          </w:tcPr>
          <w:p>
            <w:pPr>
              <w:jc w:val="left"/>
            </w:pPr>
            <w:r/>
            <w:r>
              <w:rPr>
                <w:rFonts w:ascii="Times New Roman" w:hAnsi="Times New Roman" w:eastAsia="Times New Roman"/>
                <w:b w:val="0"/>
                <w:sz w:val="17"/>
              </w:rPr>
              <w:t>tests/recovery/finalize_disaster_recovery.ps1</w:t>
            </w:r>
          </w:p>
        </w:tc>
      </w:tr>
      <w:tr>
        <w:trPr>
          <w:cantSplit/>
        </w:trPr>
        <w:tc>
          <w:tcPr>
            <w:tcW w:type="dxa" w:w="4759"/>
            <w:vAlign w:val="center"/>
          </w:tcPr>
          <w:p>
            <w:pPr>
              <w:jc w:val="left"/>
            </w:pPr>
            <w:r/>
            <w:r>
              <w:rPr>
                <w:rFonts w:ascii="Times New Roman" w:hAnsi="Times New Roman" w:eastAsia="Times New Roman"/>
                <w:b w:val="0"/>
                <w:sz w:val="17"/>
              </w:rPr>
              <w:t>Persistent storage configuration</w:t>
            </w:r>
          </w:p>
        </w:tc>
        <w:tc>
          <w:tcPr>
            <w:tcW w:type="dxa" w:w="4759"/>
            <w:vAlign w:val="center"/>
          </w:tcPr>
          <w:p>
            <w:pPr>
              <w:jc w:val="left"/>
            </w:pPr>
            <w:r/>
            <w:r>
              <w:rPr>
                <w:rFonts w:ascii="Times New Roman" w:hAnsi="Times New Roman" w:eastAsia="Times New Roman"/>
                <w:b w:val="0"/>
                <w:sz w:val="17"/>
              </w:rPr>
              <w:t>docker-compose.prod.yml</w:t>
            </w:r>
          </w:p>
        </w:tc>
      </w:tr>
      <w:tr>
        <w:trPr>
          <w:cantSplit/>
        </w:trPr>
        <w:tc>
          <w:tcPr>
            <w:tcW w:type="dxa" w:w="4759"/>
            <w:vAlign w:val="center"/>
          </w:tcPr>
          <w:p>
            <w:pPr>
              <w:jc w:val="left"/>
            </w:pPr>
            <w:r/>
            <w:r>
              <w:rPr>
                <w:rFonts w:ascii="Times New Roman" w:hAnsi="Times New Roman" w:eastAsia="Times New Roman"/>
                <w:b w:val="0"/>
                <w:sz w:val="17"/>
              </w:rPr>
              <w:t>Application object-integrity service</w:t>
            </w:r>
          </w:p>
        </w:tc>
        <w:tc>
          <w:tcPr>
            <w:tcW w:type="dxa" w:w="4759"/>
            <w:vAlign w:val="center"/>
          </w:tcPr>
          <w:p>
            <w:pPr>
              <w:jc w:val="left"/>
            </w:pPr>
            <w:r/>
            <w:r>
              <w:rPr>
                <w:rFonts w:ascii="Times New Roman" w:hAnsi="Times New Roman" w:eastAsia="Times New Roman"/>
                <w:b w:val="0"/>
                <w:sz w:val="17"/>
              </w:rPr>
              <w:t>backend/app/services/storage_service.py</w:t>
            </w:r>
          </w:p>
        </w:tc>
      </w:tr>
      <w:tr>
        <w:trPr>
          <w:cantSplit/>
        </w:trPr>
        <w:tc>
          <w:tcPr>
            <w:tcW w:type="dxa" w:w="4759"/>
            <w:vAlign w:val="center"/>
          </w:tcPr>
          <w:p>
            <w:pPr>
              <w:jc w:val="left"/>
            </w:pPr>
            <w:r/>
            <w:r>
              <w:rPr>
                <w:rFonts w:ascii="Times New Roman" w:hAnsi="Times New Roman" w:eastAsia="Times New Roman"/>
                <w:b w:val="0"/>
                <w:sz w:val="17"/>
              </w:rPr>
              <w:t>Overall validation status</w:t>
            </w:r>
          </w:p>
        </w:tc>
        <w:tc>
          <w:tcPr>
            <w:tcW w:type="dxa" w:w="4759"/>
            <w:vAlign w:val="center"/>
          </w:tcPr>
          <w:p>
            <w:pPr>
              <w:jc w:val="left"/>
            </w:pPr>
            <w:r/>
            <w:r>
              <w:rPr>
                <w:rFonts w:ascii="Times New Roman" w:hAnsi="Times New Roman" w:eastAsia="Times New Roman"/>
                <w:b w:val="0"/>
                <w:sz w:val="17"/>
              </w:rPr>
              <w:t>docs/evidence/final_validation_matrix.md</w:t>
            </w:r>
          </w:p>
        </w:tc>
      </w:tr>
    </w:tbl>
    <w:p/>
    <w:p>
      <w:pPr>
        <w:pStyle w:val="Heading1"/>
      </w:pPr>
      <w:r>
        <w:t>Appendix B. Key Recovery Metrics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Metric</w:t>
            </w:r>
          </w:p>
        </w:tc>
        <w:tc>
          <w:tcPr>
            <w:tcW w:type="dxa" w:w="4759"/>
            <w:vAlign w:val="center"/>
            <w:shd w:fill="D9E1F2"/>
          </w:tcPr>
          <w:p>
            <w:pPr>
              <w:jc w:val="left"/>
            </w:pPr>
            <w:r/>
            <w:r>
              <w:rPr>
                <w:rFonts w:ascii="Times New Roman" w:hAnsi="Times New Roman" w:eastAsia="Times New Roman"/>
                <w:b/>
                <w:sz w:val="17"/>
              </w:rPr>
              <w:t>Value</w:t>
            </w:r>
          </w:p>
        </w:tc>
      </w:tr>
      <w:tr>
        <w:trPr>
          <w:cantSplit/>
        </w:trPr>
        <w:tc>
          <w:tcPr>
            <w:tcW w:type="dxa" w:w="4759"/>
            <w:vAlign w:val="center"/>
          </w:tcPr>
          <w:p>
            <w:pPr>
              <w:jc w:val="left"/>
            </w:pPr>
            <w:r/>
            <w:r>
              <w:rPr>
                <w:rFonts w:ascii="Times New Roman" w:hAnsi="Times New Roman" w:eastAsia="Times New Roman"/>
                <w:b w:val="0"/>
                <w:sz w:val="17"/>
              </w:rPr>
              <w:t>PostgreSQL archive size</w:t>
            </w:r>
          </w:p>
        </w:tc>
        <w:tc>
          <w:tcPr>
            <w:tcW w:type="dxa" w:w="4759"/>
            <w:vAlign w:val="center"/>
          </w:tcPr>
          <w:p>
            <w:pPr>
              <w:jc w:val="left"/>
            </w:pPr>
            <w:r/>
            <w:r>
              <w:rPr>
                <w:rFonts w:ascii="Times New Roman" w:hAnsi="Times New Roman" w:eastAsia="Times New Roman"/>
                <w:b w:val="0"/>
                <w:sz w:val="17"/>
              </w:rPr>
              <w:t>52,847,810 bytes</w:t>
            </w:r>
          </w:p>
        </w:tc>
      </w:tr>
      <w:tr>
        <w:trPr>
          <w:cantSplit/>
        </w:trPr>
        <w:tc>
          <w:tcPr>
            <w:tcW w:type="dxa" w:w="4759"/>
            <w:vAlign w:val="center"/>
          </w:tcPr>
          <w:p>
            <w:pPr>
              <w:jc w:val="left"/>
            </w:pPr>
            <w:r/>
            <w:r>
              <w:rPr>
                <w:rFonts w:ascii="Times New Roman" w:hAnsi="Times New Roman" w:eastAsia="Times New Roman"/>
                <w:b w:val="0"/>
                <w:sz w:val="17"/>
              </w:rPr>
              <w:t>PostgreSQL SHA-256</w:t>
            </w:r>
          </w:p>
        </w:tc>
        <w:tc>
          <w:tcPr>
            <w:tcW w:type="dxa" w:w="4759"/>
            <w:vAlign w:val="center"/>
          </w:tcPr>
          <w:p>
            <w:pPr>
              <w:jc w:val="left"/>
            </w:pPr>
            <w:r/>
            <w:r>
              <w:rPr>
                <w:rFonts w:ascii="Times New Roman" w:hAnsi="Times New Roman" w:eastAsia="Times New Roman"/>
                <w:b w:val="0"/>
                <w:sz w:val="17"/>
              </w:rPr>
              <w:t>2ccded46a6fd14c6ec584bf2bed7fee4c82f37518b5908295ec7184430bbaec3</w:t>
            </w:r>
          </w:p>
        </w:tc>
      </w:tr>
      <w:tr>
        <w:trPr>
          <w:cantSplit/>
        </w:trPr>
        <w:tc>
          <w:tcPr>
            <w:tcW w:type="dxa" w:w="4759"/>
            <w:vAlign w:val="center"/>
          </w:tcPr>
          <w:p>
            <w:pPr>
              <w:jc w:val="left"/>
            </w:pPr>
            <w:r/>
            <w:r>
              <w:rPr>
                <w:rFonts w:ascii="Times New Roman" w:hAnsi="Times New Roman" w:eastAsia="Times New Roman"/>
                <w:b w:val="0"/>
                <w:sz w:val="17"/>
              </w:rPr>
              <w:t>PostgreSQL public tables</w:t>
            </w:r>
          </w:p>
        </w:tc>
        <w:tc>
          <w:tcPr>
            <w:tcW w:type="dxa" w:w="4759"/>
            <w:vAlign w:val="center"/>
          </w:tcPr>
          <w:p>
            <w:pPr>
              <w:jc w:val="left"/>
            </w:pPr>
            <w:r/>
            <w:r>
              <w:rPr>
                <w:rFonts w:ascii="Times New Roman" w:hAnsi="Times New Roman" w:eastAsia="Times New Roman"/>
                <w:b w:val="0"/>
                <w:sz w:val="17"/>
              </w:rPr>
              <w:t>10</w:t>
            </w:r>
          </w:p>
        </w:tc>
      </w:tr>
      <w:tr>
        <w:trPr>
          <w:cantSplit/>
        </w:trPr>
        <w:tc>
          <w:tcPr>
            <w:tcW w:type="dxa" w:w="4759"/>
            <w:vAlign w:val="center"/>
          </w:tcPr>
          <w:p>
            <w:pPr>
              <w:jc w:val="left"/>
            </w:pPr>
            <w:r/>
            <w:r>
              <w:rPr>
                <w:rFonts w:ascii="Times New Roman" w:hAnsi="Times New Roman" w:eastAsia="Times New Roman"/>
                <w:b w:val="0"/>
                <w:sz w:val="17"/>
              </w:rPr>
              <w:t>PostgreSQL exact rows verified</w:t>
            </w:r>
          </w:p>
        </w:tc>
        <w:tc>
          <w:tcPr>
            <w:tcW w:type="dxa" w:w="4759"/>
            <w:vAlign w:val="center"/>
          </w:tcPr>
          <w:p>
            <w:pPr>
              <w:jc w:val="left"/>
            </w:pPr>
            <w:r/>
            <w:r>
              <w:rPr>
                <w:rFonts w:ascii="Times New Roman" w:hAnsi="Times New Roman" w:eastAsia="Times New Roman"/>
                <w:b w:val="0"/>
                <w:sz w:val="17"/>
              </w:rPr>
              <w:t>1,581,949</w:t>
            </w:r>
          </w:p>
        </w:tc>
      </w:tr>
      <w:tr>
        <w:trPr>
          <w:cantSplit/>
        </w:trPr>
        <w:tc>
          <w:tcPr>
            <w:tcW w:type="dxa" w:w="4759"/>
            <w:vAlign w:val="center"/>
          </w:tcPr>
          <w:p>
            <w:pPr>
              <w:jc w:val="left"/>
            </w:pPr>
            <w:r/>
            <w:r>
              <w:rPr>
                <w:rFonts w:ascii="Times New Roman" w:hAnsi="Times New Roman" w:eastAsia="Times New Roman"/>
                <w:b w:val="0"/>
                <w:sz w:val="17"/>
              </w:rPr>
              <w:t>PostgreSQL constraints</w:t>
            </w:r>
          </w:p>
        </w:tc>
        <w:tc>
          <w:tcPr>
            <w:tcW w:type="dxa" w:w="4759"/>
            <w:vAlign w:val="center"/>
          </w:tcPr>
          <w:p>
            <w:pPr>
              <w:jc w:val="left"/>
            </w:pPr>
            <w:r/>
            <w:r>
              <w:rPr>
                <w:rFonts w:ascii="Times New Roman" w:hAnsi="Times New Roman" w:eastAsia="Times New Roman"/>
                <w:b w:val="0"/>
                <w:sz w:val="17"/>
              </w:rPr>
              <w:t>30</w:t>
            </w:r>
          </w:p>
        </w:tc>
      </w:tr>
      <w:tr>
        <w:trPr>
          <w:cantSplit/>
        </w:trPr>
        <w:tc>
          <w:tcPr>
            <w:tcW w:type="dxa" w:w="4759"/>
            <w:vAlign w:val="center"/>
          </w:tcPr>
          <w:p>
            <w:pPr>
              <w:jc w:val="left"/>
            </w:pPr>
            <w:r/>
            <w:r>
              <w:rPr>
                <w:rFonts w:ascii="Times New Roman" w:hAnsi="Times New Roman" w:eastAsia="Times New Roman"/>
                <w:b w:val="0"/>
                <w:sz w:val="17"/>
              </w:rPr>
              <w:t>PostgreSQL indexes</w:t>
            </w:r>
          </w:p>
        </w:tc>
        <w:tc>
          <w:tcPr>
            <w:tcW w:type="dxa" w:w="4759"/>
            <w:vAlign w:val="center"/>
          </w:tcPr>
          <w:p>
            <w:pPr>
              <w:jc w:val="left"/>
            </w:pPr>
            <w:r/>
            <w:r>
              <w:rPr>
                <w:rFonts w:ascii="Times New Roman" w:hAnsi="Times New Roman" w:eastAsia="Times New Roman"/>
                <w:b w:val="0"/>
                <w:sz w:val="17"/>
              </w:rPr>
              <w:t>50</w:t>
            </w:r>
          </w:p>
        </w:tc>
      </w:tr>
      <w:tr>
        <w:trPr>
          <w:cantSplit/>
        </w:trPr>
        <w:tc>
          <w:tcPr>
            <w:tcW w:type="dxa" w:w="4759"/>
            <w:vAlign w:val="center"/>
          </w:tcPr>
          <w:p>
            <w:pPr>
              <w:jc w:val="left"/>
            </w:pPr>
            <w:r/>
            <w:r>
              <w:rPr>
                <w:rFonts w:ascii="Times New Roman" w:hAnsi="Times New Roman" w:eastAsia="Times New Roman"/>
                <w:b w:val="0"/>
                <w:sz w:val="17"/>
              </w:rPr>
              <w:t>MinIO objects verified</w:t>
            </w:r>
          </w:p>
        </w:tc>
        <w:tc>
          <w:tcPr>
            <w:tcW w:type="dxa" w:w="4759"/>
            <w:vAlign w:val="center"/>
          </w:tcPr>
          <w:p>
            <w:pPr>
              <w:jc w:val="left"/>
            </w:pPr>
            <w:r/>
            <w:r>
              <w:rPr>
                <w:rFonts w:ascii="Times New Roman" w:hAnsi="Times New Roman" w:eastAsia="Times New Roman"/>
                <w:b w:val="0"/>
                <w:sz w:val="17"/>
              </w:rPr>
              <w:t>7</w:t>
            </w:r>
          </w:p>
        </w:tc>
      </w:tr>
      <w:tr>
        <w:trPr>
          <w:cantSplit/>
        </w:trPr>
        <w:tc>
          <w:tcPr>
            <w:tcW w:type="dxa" w:w="4759"/>
            <w:vAlign w:val="center"/>
          </w:tcPr>
          <w:p>
            <w:pPr>
              <w:jc w:val="left"/>
            </w:pPr>
            <w:r/>
            <w:r>
              <w:rPr>
                <w:rFonts w:ascii="Times New Roman" w:hAnsi="Times New Roman" w:eastAsia="Times New Roman"/>
                <w:b w:val="0"/>
                <w:sz w:val="17"/>
              </w:rPr>
              <w:t>MinIO total size verified</w:t>
            </w:r>
          </w:p>
        </w:tc>
        <w:tc>
          <w:tcPr>
            <w:tcW w:type="dxa" w:w="4759"/>
            <w:vAlign w:val="center"/>
          </w:tcPr>
          <w:p>
            <w:pPr>
              <w:jc w:val="left"/>
            </w:pPr>
            <w:r/>
            <w:r>
              <w:rPr>
                <w:rFonts w:ascii="Times New Roman" w:hAnsi="Times New Roman" w:eastAsia="Times New Roman"/>
                <w:b w:val="0"/>
                <w:sz w:val="17"/>
              </w:rPr>
              <w:t>488 bytes</w:t>
            </w:r>
          </w:p>
        </w:tc>
      </w:tr>
      <w:tr>
        <w:trPr>
          <w:cantSplit/>
        </w:trPr>
        <w:tc>
          <w:tcPr>
            <w:tcW w:type="dxa" w:w="4759"/>
            <w:vAlign w:val="center"/>
          </w:tcPr>
          <w:p>
            <w:pPr>
              <w:jc w:val="left"/>
            </w:pPr>
            <w:r/>
            <w:r>
              <w:rPr>
                <w:rFonts w:ascii="Times New Roman" w:hAnsi="Times New Roman" w:eastAsia="Times New Roman"/>
                <w:b w:val="0"/>
                <w:sz w:val="17"/>
              </w:rPr>
              <w:t>Total recovery checks</w:t>
            </w:r>
          </w:p>
        </w:tc>
        <w:tc>
          <w:tcPr>
            <w:tcW w:type="dxa" w:w="4759"/>
            <w:vAlign w:val="center"/>
          </w:tcPr>
          <w:p>
            <w:pPr>
              <w:jc w:val="left"/>
            </w:pPr>
            <w:r/>
            <w:r>
              <w:rPr>
                <w:rFonts w:ascii="Times New Roman" w:hAnsi="Times New Roman" w:eastAsia="Times New Roman"/>
                <w:b w:val="0"/>
                <w:sz w:val="17"/>
              </w:rPr>
              <w:t>42</w:t>
            </w:r>
          </w:p>
        </w:tc>
      </w:tr>
      <w:tr>
        <w:trPr>
          <w:cantSplit/>
        </w:trPr>
        <w:tc>
          <w:tcPr>
            <w:tcW w:type="dxa" w:w="4759"/>
            <w:vAlign w:val="center"/>
          </w:tcPr>
          <w:p>
            <w:pPr>
              <w:jc w:val="left"/>
            </w:pPr>
            <w:r/>
            <w:r>
              <w:rPr>
                <w:rFonts w:ascii="Times New Roman" w:hAnsi="Times New Roman" w:eastAsia="Times New Roman"/>
                <w:b w:val="0"/>
                <w:sz w:val="17"/>
              </w:rPr>
              <w:t>Failed recovery checks</w:t>
            </w:r>
          </w:p>
        </w:tc>
        <w:tc>
          <w:tcPr>
            <w:tcW w:type="dxa" w:w="4759"/>
            <w:vAlign w:val="center"/>
          </w:tcPr>
          <w:p>
            <w:pPr>
              <w:jc w:val="left"/>
            </w:pPr>
            <w:r/>
            <w:r>
              <w:rPr>
                <w:rFonts w:ascii="Times New Roman" w:hAnsi="Times New Roman" w:eastAsia="Times New Roman"/>
                <w:b w:val="0"/>
                <w:sz w:val="17"/>
              </w:rPr>
              <w:t>0</w:t>
            </w:r>
          </w:p>
        </w:tc>
      </w:tr>
    </w:tbl>
    <w:p/>
    <w:sectPr w:rsidR="00FC693F" w:rsidRPr="0006063C" w:rsidSect="00034616">
      <w:headerReference w:type="default" r:id="rId9"/>
      <w:footerReference w:type="default" r:id="rId10"/>
      <w:pgSz w:w="12240" w:h="15840"/>
      <w:pgMar w:top="1247"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Backup, Recovery and Data Resilience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after="14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