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40"/>
        <w:jc w:val="center"/>
      </w:pPr>
      <w:r>
        <w:rPr>
          <w:rFonts w:ascii="Times New Roman" w:hAnsi="Times New Roman"/>
          <w:b/>
          <w:sz w:val="47"/>
        </w:rPr>
        <w:t>GENERAL CONCLUSION,</w:t>
        <w:br/>
        <w:t>CONTRIBUTIONS AND FUTURE WORK</w:t>
      </w:r>
    </w:p>
    <w:p>
      <w:pPr>
        <w:spacing w:before="360"/>
        <w:jc w:val="center"/>
      </w:pPr>
      <w:r>
        <w:rPr>
          <w:rFonts w:ascii="Times New Roman" w:hAnsi="Times New Roman"/>
          <w:b/>
          <w:sz w:val="32"/>
        </w:rPr>
        <w:t>Healthcare Cloud Platform</w:t>
      </w:r>
    </w:p>
    <w:p>
      <w:pPr>
        <w:spacing w:before="840"/>
        <w:jc w:val="center"/>
      </w:pPr>
      <w:r>
        <w:rPr>
          <w:rFonts w:ascii="Times New Roman" w:hAnsi="Times New Roman"/>
          <w:i/>
          <w:sz w:val="23"/>
        </w:rPr>
        <w:t>A final synthesis of the research problem, implemented platform, achieved objectives, scientific and engineering contributions, study limitations, and the roadmap toward remote institutional deployment</w:t>
      </w:r>
    </w:p>
    <w:p>
      <w:pPr>
        <w:spacing w:before="1900"/>
        <w:jc w:val="center"/>
      </w:pPr>
      <w:r>
        <w:rPr>
          <w:rFonts w:ascii="Times New Roman" w:hAnsi="Times New Roman"/>
          <w:b/>
          <w:sz w:val="23"/>
        </w:rPr>
        <w:t>Validated local outcome: 83/83 recorded checks passed</w:t>
      </w:r>
    </w:p>
    <w:p>
      <w:r>
        <w:br w:type="page"/>
      </w:r>
    </w:p>
    <w:p>
      <w:pPr>
        <w:pStyle w:val="Heading1"/>
      </w:pPr>
      <w:r>
        <w:t>1. General Conclusion</w:t>
      </w:r>
    </w:p>
    <w:p>
      <w:r>
        <w:t>This research produced and validated a healthcare data platform designed to combine secure access, structured clinical-data management, private object storage, containerized deployment, auditability, recoverability, and measured scalability. The implementation integrates FastAPI, PostgreSQL, MinIO, Nginx, Alembic, JWT authentication, role-based access control, audit logging, clinical APIs, a FHIR-inspired interoperability layer, and Synthea ingestion utilities.</w:t>
      </w:r>
    </w:p>
    <w:p>
      <w:r>
        <w:t>The final validation matrix records seven successful validations and no failed, pending, or review item. Production HTTP security passed 17 of 17 checks, strict diagnostic-report audit validation passed 9 of 9, end-to-end diagnostic-report storage passed 10 of 10, the MinIO lifecycle passed 4 of 4, PostgreSQL recovery passed 19 of 19, MinIO recovery passed 23 of 23, and the optimized 200-user workload completed without failures.</w:t>
      </w:r>
    </w:p>
    <w:p>
      <w:r>
        <w:t>The evidence supports a carefully scoped conclusion. The platform is locally production-ready and cloud-ready for the measured Docker configuration. It has not yet been validated as a publicly accessible remote production system on the planned UESTC virtual machine.</w:t>
      </w:r>
    </w:p>
    <w:p>
      <w:pPr>
        <w:jc w:val="center"/>
      </w:pPr>
      <w:r>
        <w:drawing>
          <wp:inline xmlns:a="http://schemas.openxmlformats.org/drawingml/2006/main" xmlns:pic="http://schemas.openxmlformats.org/drawingml/2006/picture">
            <wp:extent cx="6126480" cy="3824875"/>
            <wp:docPr id="1" name="Picture 1"/>
            <wp:cNvGraphicFramePr>
              <a:graphicFrameLocks noChangeAspect="1"/>
            </wp:cNvGraphicFramePr>
            <a:graphic>
              <a:graphicData uri="http://schemas.openxmlformats.org/drawingml/2006/picture">
                <pic:pic>
                  <pic:nvPicPr>
                    <pic:cNvPr id="0" name="research_trajectory.png"/>
                    <pic:cNvPicPr/>
                  </pic:nvPicPr>
                  <pic:blipFill>
                    <a:blip r:embed="rId11"/>
                    <a:stretch>
                      <a:fillRect/>
                    </a:stretch>
                  </pic:blipFill>
                  <pic:spPr>
                    <a:xfrm>
                      <a:off x="0" y="0"/>
                      <a:ext cx="6126480" cy="3824875"/>
                    </a:xfrm>
                    <a:prstGeom prst="rect"/>
                  </pic:spPr>
                </pic:pic>
              </a:graphicData>
            </a:graphic>
          </wp:inline>
        </w:drawing>
      </w:r>
    </w:p>
    <w:p>
      <w:pPr>
        <w:pStyle w:val="AcademicCaption"/>
      </w:pPr>
      <w:r>
        <w:t>Figure 1. Research trajectory from the identified platform problem to the validated local outcome.</w:t>
      </w:r>
    </w:p>
    <w:p>
      <w:pPr>
        <w:pStyle w:val="Heading1"/>
      </w:pPr>
      <w:r>
        <w:t>2. Research Problem and Implemented Solution</w:t>
      </w:r>
    </w:p>
    <w:p>
      <w:r>
        <w:t>Based on the available implementation and validation evidence, the research addressed the need for a healthcare data platform that can manage structured and binary data while enforcing access control, preserving traceability, supporting interoperable representations, recovering from data loss, and maintaining acceptable performance under concurrent use.</w:t>
      </w:r>
    </w:p>
    <w:p>
      <w:r>
        <w:t>The implemented solution organizes the backend into API dependencies, versioned endpoints, core security and configuration modules, database models and sessions, Pydantic schemas, business services, ingestion utilities, and database migrations. The deployment layer consists of four services: Nginx, the FastAPI backend, PostgreSQL, and MinIO.</w:t>
      </w:r>
    </w:p>
    <w:tbl>
      <w:tblPr>
        <w:tblStyle w:val="TableGrid"/>
        <w:tblW w:type="auto" w:w="0"/>
        <w:jc w:val="center"/>
        <w:tblLook w:firstColumn="1" w:firstRow="1" w:lastColumn="0" w:lastRow="0" w:noHBand="0" w:noVBand="1" w:val="04A0"/>
      </w:tblPr>
      <w:tblGrid>
        <w:gridCol w:w="4759"/>
        <w:gridCol w:w="4759"/>
      </w:tblGrid>
      <w:tr>
        <w:trPr>
          <w:tblHeader w:val="true"/>
          <w:cantSplit/>
        </w:trPr>
        <w:tc>
          <w:tcPr>
            <w:tcW w:type="dxa" w:w="4759"/>
            <w:vAlign w:val="center"/>
            <w:shd w:fill="D9E1F2"/>
          </w:tcPr>
          <w:p>
            <w:pPr>
              <w:jc w:val="left"/>
            </w:pPr>
            <w:r/>
            <w:r>
              <w:rPr>
                <w:rFonts w:ascii="Times New Roman" w:hAnsi="Times New Roman" w:eastAsia="Times New Roman"/>
                <w:b/>
                <w:sz w:val="16"/>
              </w:rPr>
              <w:t>Research need</w:t>
            </w:r>
          </w:p>
        </w:tc>
        <w:tc>
          <w:tcPr>
            <w:tcW w:type="dxa" w:w="4759"/>
            <w:vAlign w:val="center"/>
            <w:shd w:fill="D9E1F2"/>
          </w:tcPr>
          <w:p>
            <w:pPr>
              <w:jc w:val="left"/>
            </w:pPr>
            <w:r/>
            <w:r>
              <w:rPr>
                <w:rFonts w:ascii="Times New Roman" w:hAnsi="Times New Roman" w:eastAsia="Times New Roman"/>
                <w:b/>
                <w:sz w:val="16"/>
              </w:rPr>
              <w:t>Implemented response</w:t>
            </w:r>
          </w:p>
        </w:tc>
      </w:tr>
      <w:tr>
        <w:trPr>
          <w:cantSplit/>
        </w:trPr>
        <w:tc>
          <w:tcPr>
            <w:tcW w:type="dxa" w:w="4759"/>
            <w:vAlign w:val="center"/>
          </w:tcPr>
          <w:p>
            <w:pPr>
              <w:jc w:val="left"/>
            </w:pPr>
            <w:r/>
            <w:r>
              <w:rPr>
                <w:rFonts w:ascii="Times New Roman" w:hAnsi="Times New Roman" w:eastAsia="Times New Roman"/>
                <w:b w:val="0"/>
                <w:sz w:val="16"/>
              </w:rPr>
              <w:t>Secure access to healthcare functions</w:t>
            </w:r>
          </w:p>
        </w:tc>
        <w:tc>
          <w:tcPr>
            <w:tcW w:type="dxa" w:w="4759"/>
            <w:vAlign w:val="center"/>
          </w:tcPr>
          <w:p>
            <w:pPr>
              <w:jc w:val="left"/>
            </w:pPr>
            <w:r/>
            <w:r>
              <w:rPr>
                <w:rFonts w:ascii="Times New Roman" w:hAnsi="Times New Roman" w:eastAsia="Times New Roman"/>
                <w:b w:val="0"/>
                <w:sz w:val="16"/>
              </w:rPr>
              <w:t>JWT authentication, active-user checks, RBAC and production HTTP controls</w:t>
            </w:r>
          </w:p>
        </w:tc>
      </w:tr>
      <w:tr>
        <w:trPr>
          <w:cantSplit/>
        </w:trPr>
        <w:tc>
          <w:tcPr>
            <w:tcW w:type="dxa" w:w="4759"/>
            <w:vAlign w:val="center"/>
          </w:tcPr>
          <w:p>
            <w:pPr>
              <w:jc w:val="left"/>
            </w:pPr>
            <w:r/>
            <w:r>
              <w:rPr>
                <w:rFonts w:ascii="Times New Roman" w:hAnsi="Times New Roman" w:eastAsia="Times New Roman"/>
                <w:b w:val="0"/>
                <w:sz w:val="16"/>
              </w:rPr>
              <w:t>Structured healthcare-data management</w:t>
            </w:r>
          </w:p>
        </w:tc>
        <w:tc>
          <w:tcPr>
            <w:tcW w:type="dxa" w:w="4759"/>
            <w:vAlign w:val="center"/>
          </w:tcPr>
          <w:p>
            <w:pPr>
              <w:jc w:val="left"/>
            </w:pPr>
            <w:r/>
            <w:r>
              <w:rPr>
                <w:rFonts w:ascii="Times New Roman" w:hAnsi="Times New Roman" w:eastAsia="Times New Roman"/>
                <w:b w:val="0"/>
                <w:sz w:val="16"/>
              </w:rPr>
              <w:t>PostgreSQL models for patients, encounters, conditions, observations, prescriptions and reports</w:t>
            </w:r>
          </w:p>
        </w:tc>
      </w:tr>
      <w:tr>
        <w:trPr>
          <w:cantSplit/>
        </w:trPr>
        <w:tc>
          <w:tcPr>
            <w:tcW w:type="dxa" w:w="4759"/>
            <w:vAlign w:val="center"/>
          </w:tcPr>
          <w:p>
            <w:pPr>
              <w:jc w:val="left"/>
            </w:pPr>
            <w:r/>
            <w:r>
              <w:rPr>
                <w:rFonts w:ascii="Times New Roman" w:hAnsi="Times New Roman" w:eastAsia="Times New Roman"/>
                <w:b w:val="0"/>
                <w:sz w:val="16"/>
              </w:rPr>
              <w:t>Binary report storage</w:t>
            </w:r>
          </w:p>
        </w:tc>
        <w:tc>
          <w:tcPr>
            <w:tcW w:type="dxa" w:w="4759"/>
            <w:vAlign w:val="center"/>
          </w:tcPr>
          <w:p>
            <w:pPr>
              <w:jc w:val="left"/>
            </w:pPr>
            <w:r/>
            <w:r>
              <w:rPr>
                <w:rFonts w:ascii="Times New Roman" w:hAnsi="Times New Roman" w:eastAsia="Times New Roman"/>
                <w:b w:val="0"/>
                <w:sz w:val="16"/>
              </w:rPr>
              <w:t>Private MinIO objects with PostgreSQL metadata and SHA-256 integrity</w:t>
            </w:r>
          </w:p>
        </w:tc>
      </w:tr>
      <w:tr>
        <w:trPr>
          <w:cantSplit/>
        </w:trPr>
        <w:tc>
          <w:tcPr>
            <w:tcW w:type="dxa" w:w="4759"/>
            <w:vAlign w:val="center"/>
          </w:tcPr>
          <w:p>
            <w:pPr>
              <w:jc w:val="left"/>
            </w:pPr>
            <w:r/>
            <w:r>
              <w:rPr>
                <w:rFonts w:ascii="Times New Roman" w:hAnsi="Times New Roman" w:eastAsia="Times New Roman"/>
                <w:b w:val="0"/>
                <w:sz w:val="16"/>
              </w:rPr>
              <w:t>Interoperable data access</w:t>
            </w:r>
          </w:p>
        </w:tc>
        <w:tc>
          <w:tcPr>
            <w:tcW w:type="dxa" w:w="4759"/>
            <w:vAlign w:val="center"/>
          </w:tcPr>
          <w:p>
            <w:pPr>
              <w:jc w:val="left"/>
            </w:pPr>
            <w:r/>
            <w:r>
              <w:rPr>
                <w:rFonts w:ascii="Times New Roman" w:hAnsi="Times New Roman" w:eastAsia="Times New Roman"/>
                <w:b w:val="0"/>
                <w:sz w:val="16"/>
              </w:rPr>
              <w:t>FHIR-inspired Patient, Encounter, Observation, MedicationRequest and Condition resources</w:t>
            </w:r>
          </w:p>
        </w:tc>
      </w:tr>
      <w:tr>
        <w:trPr>
          <w:cantSplit/>
        </w:trPr>
        <w:tc>
          <w:tcPr>
            <w:tcW w:type="dxa" w:w="4759"/>
            <w:vAlign w:val="center"/>
          </w:tcPr>
          <w:p>
            <w:pPr>
              <w:jc w:val="left"/>
            </w:pPr>
            <w:r/>
            <w:r>
              <w:rPr>
                <w:rFonts w:ascii="Times New Roman" w:hAnsi="Times New Roman" w:eastAsia="Times New Roman"/>
                <w:b w:val="0"/>
                <w:sz w:val="16"/>
              </w:rPr>
              <w:t>Reproducible synthetic-data ingestion</w:t>
            </w:r>
          </w:p>
        </w:tc>
        <w:tc>
          <w:tcPr>
            <w:tcW w:type="dxa" w:w="4759"/>
            <w:vAlign w:val="center"/>
          </w:tcPr>
          <w:p>
            <w:pPr>
              <w:jc w:val="left"/>
            </w:pPr>
            <w:r/>
            <w:r>
              <w:rPr>
                <w:rFonts w:ascii="Times New Roman" w:hAnsi="Times New Roman" w:eastAsia="Times New Roman"/>
                <w:b w:val="0"/>
                <w:sz w:val="16"/>
              </w:rPr>
              <w:t>Synthea patient, encounter, observation and medication import utilities</w:t>
            </w:r>
          </w:p>
        </w:tc>
      </w:tr>
      <w:tr>
        <w:trPr>
          <w:cantSplit/>
        </w:trPr>
        <w:tc>
          <w:tcPr>
            <w:tcW w:type="dxa" w:w="4759"/>
            <w:vAlign w:val="center"/>
          </w:tcPr>
          <w:p>
            <w:pPr>
              <w:jc w:val="left"/>
            </w:pPr>
            <w:r/>
            <w:r>
              <w:rPr>
                <w:rFonts w:ascii="Times New Roman" w:hAnsi="Times New Roman" w:eastAsia="Times New Roman"/>
                <w:b w:val="0"/>
                <w:sz w:val="16"/>
              </w:rPr>
              <w:t>Cloud-oriented deployment</w:t>
            </w:r>
          </w:p>
        </w:tc>
        <w:tc>
          <w:tcPr>
            <w:tcW w:type="dxa" w:w="4759"/>
            <w:vAlign w:val="center"/>
          </w:tcPr>
          <w:p>
            <w:pPr>
              <w:jc w:val="left"/>
            </w:pPr>
            <w:r/>
            <w:r>
              <w:rPr>
                <w:rFonts w:ascii="Times New Roman" w:hAnsi="Times New Roman" w:eastAsia="Times New Roman"/>
                <w:b w:val="0"/>
                <w:sz w:val="16"/>
              </w:rPr>
              <w:t>Containerized Nginx, backend, PostgreSQL and MinIO production stack</w:t>
            </w:r>
          </w:p>
        </w:tc>
      </w:tr>
      <w:tr>
        <w:trPr>
          <w:cantSplit/>
        </w:trPr>
        <w:tc>
          <w:tcPr>
            <w:tcW w:type="dxa" w:w="4759"/>
            <w:vAlign w:val="center"/>
          </w:tcPr>
          <w:p>
            <w:pPr>
              <w:jc w:val="left"/>
            </w:pPr>
            <w:r/>
            <w:r>
              <w:rPr>
                <w:rFonts w:ascii="Times New Roman" w:hAnsi="Times New Roman" w:eastAsia="Times New Roman"/>
                <w:b w:val="0"/>
                <w:sz w:val="16"/>
              </w:rPr>
              <w:t>Operational resilience</w:t>
            </w:r>
          </w:p>
        </w:tc>
        <w:tc>
          <w:tcPr>
            <w:tcW w:type="dxa" w:w="4759"/>
            <w:vAlign w:val="center"/>
          </w:tcPr>
          <w:p>
            <w:pPr>
              <w:jc w:val="left"/>
            </w:pPr>
            <w:r/>
            <w:r>
              <w:rPr>
                <w:rFonts w:ascii="Times New Roman" w:hAnsi="Times New Roman" w:eastAsia="Times New Roman"/>
                <w:b w:val="0"/>
                <w:sz w:val="16"/>
              </w:rPr>
              <w:t>Executable PostgreSQL and MinIO backup-and-restore validation</w:t>
            </w:r>
          </w:p>
        </w:tc>
      </w:tr>
      <w:tr>
        <w:trPr>
          <w:cantSplit/>
        </w:trPr>
        <w:tc>
          <w:tcPr>
            <w:tcW w:type="dxa" w:w="4759"/>
            <w:vAlign w:val="center"/>
          </w:tcPr>
          <w:p>
            <w:pPr>
              <w:jc w:val="left"/>
            </w:pPr>
            <w:r/>
            <w:r>
              <w:rPr>
                <w:rFonts w:ascii="Times New Roman" w:hAnsi="Times New Roman" w:eastAsia="Times New Roman"/>
                <w:b w:val="0"/>
                <w:sz w:val="16"/>
              </w:rPr>
              <w:t>Scalability evidence</w:t>
            </w:r>
          </w:p>
        </w:tc>
        <w:tc>
          <w:tcPr>
            <w:tcW w:type="dxa" w:w="4759"/>
            <w:vAlign w:val="center"/>
          </w:tcPr>
          <w:p>
            <w:pPr>
              <w:jc w:val="left"/>
            </w:pPr>
            <w:r/>
            <w:r>
              <w:rPr>
                <w:rFonts w:ascii="Times New Roman" w:hAnsi="Times New Roman" w:eastAsia="Times New Roman"/>
                <w:b w:val="0"/>
                <w:sz w:val="16"/>
              </w:rPr>
              <w:t>Authenticated Locust testing up to 200 concurrent users</w:t>
            </w:r>
          </w:p>
        </w:tc>
      </w:tr>
    </w:tbl>
    <w:p/>
    <w:p>
      <w:pPr>
        <w:pStyle w:val="Heading1"/>
      </w:pPr>
      <w:r>
        <w:t>3. Achievement of the Research Objectives</w:t>
      </w:r>
    </w:p>
    <w:tbl>
      <w:tblPr>
        <w:tblStyle w:val="TableGrid"/>
        <w:tblW w:type="auto" w:w="0"/>
        <w:jc w:val="center"/>
        <w:tblLook w:firstColumn="1" w:firstRow="1" w:lastColumn="0" w:lastRow="0" w:noHBand="0" w:noVBand="1" w:val="04A0"/>
      </w:tblPr>
      <w:tblGrid>
        <w:gridCol w:w="3173"/>
        <w:gridCol w:w="3173"/>
        <w:gridCol w:w="3173"/>
      </w:tblGrid>
      <w:tr>
        <w:trPr>
          <w:tblHeader w:val="true"/>
          <w:cantSplit/>
        </w:trPr>
        <w:tc>
          <w:tcPr>
            <w:tcW w:type="dxa" w:w="3173"/>
            <w:vAlign w:val="center"/>
            <w:shd w:fill="D9E1F2"/>
          </w:tcPr>
          <w:p>
            <w:pPr>
              <w:jc w:val="left"/>
            </w:pPr>
            <w:r/>
            <w:r>
              <w:rPr>
                <w:rFonts w:ascii="Times New Roman" w:hAnsi="Times New Roman" w:eastAsia="Times New Roman"/>
                <w:b/>
                <w:sz w:val="16"/>
              </w:rPr>
              <w:t>Objective</w:t>
            </w:r>
          </w:p>
        </w:tc>
        <w:tc>
          <w:tcPr>
            <w:tcW w:type="dxa" w:w="3173"/>
            <w:vAlign w:val="center"/>
            <w:shd w:fill="D9E1F2"/>
          </w:tcPr>
          <w:p>
            <w:pPr>
              <w:jc w:val="left"/>
            </w:pPr>
            <w:r/>
            <w:r>
              <w:rPr>
                <w:rFonts w:ascii="Times New Roman" w:hAnsi="Times New Roman" w:eastAsia="Times New Roman"/>
                <w:b/>
                <w:sz w:val="16"/>
              </w:rPr>
              <w:t>Evidence</w:t>
            </w:r>
          </w:p>
        </w:tc>
        <w:tc>
          <w:tcPr>
            <w:tcW w:type="dxa" w:w="3173"/>
            <w:vAlign w:val="center"/>
            <w:shd w:fill="D9E1F2"/>
          </w:tcPr>
          <w:p>
            <w:pPr>
              <w:jc w:val="left"/>
            </w:pPr>
            <w:r/>
            <w:r>
              <w:rPr>
                <w:rFonts w:ascii="Times New Roman" w:hAnsi="Times New Roman" w:eastAsia="Times New Roman"/>
                <w:b/>
                <w:sz w:val="16"/>
              </w:rPr>
              <w:t>Assessment</w:t>
            </w:r>
          </w:p>
        </w:tc>
      </w:tr>
      <w:tr>
        <w:trPr>
          <w:cantSplit/>
        </w:trPr>
        <w:tc>
          <w:tcPr>
            <w:tcW w:type="dxa" w:w="3173"/>
            <w:vAlign w:val="center"/>
          </w:tcPr>
          <w:p>
            <w:pPr>
              <w:jc w:val="left"/>
            </w:pPr>
            <w:r/>
            <w:r>
              <w:rPr>
                <w:rFonts w:ascii="Times New Roman" w:hAnsi="Times New Roman" w:eastAsia="Times New Roman"/>
                <w:b w:val="0"/>
                <w:sz w:val="16"/>
              </w:rPr>
              <w:t>Design a modular healthcare backend</w:t>
            </w:r>
          </w:p>
        </w:tc>
        <w:tc>
          <w:tcPr>
            <w:tcW w:type="dxa" w:w="3173"/>
            <w:vAlign w:val="center"/>
          </w:tcPr>
          <w:p>
            <w:pPr>
              <w:jc w:val="left"/>
            </w:pPr>
            <w:r/>
            <w:r>
              <w:rPr>
                <w:rFonts w:ascii="Times New Roman" w:hAnsi="Times New Roman" w:eastAsia="Times New Roman"/>
                <w:b w:val="0"/>
                <w:sz w:val="16"/>
              </w:rPr>
              <w:t>FastAPI modules, services, schemas, models and API routing implemented</w:t>
            </w:r>
          </w:p>
        </w:tc>
        <w:tc>
          <w:tcPr>
            <w:tcW w:type="dxa" w:w="3173"/>
            <w:vAlign w:val="center"/>
          </w:tcPr>
          <w:p>
            <w:pPr>
              <w:jc w:val="left"/>
            </w:pPr>
            <w:r/>
            <w:r>
              <w:rPr>
                <w:rFonts w:ascii="Times New Roman" w:hAnsi="Times New Roman" w:eastAsia="Times New Roman"/>
                <w:b w:val="0"/>
                <w:sz w:val="16"/>
              </w:rPr>
              <w:t>Achieved</w:t>
            </w:r>
          </w:p>
        </w:tc>
      </w:tr>
      <w:tr>
        <w:trPr>
          <w:cantSplit/>
        </w:trPr>
        <w:tc>
          <w:tcPr>
            <w:tcW w:type="dxa" w:w="3173"/>
            <w:vAlign w:val="center"/>
          </w:tcPr>
          <w:p>
            <w:pPr>
              <w:jc w:val="left"/>
            </w:pPr>
            <w:r/>
            <w:r>
              <w:rPr>
                <w:rFonts w:ascii="Times New Roman" w:hAnsi="Times New Roman" w:eastAsia="Times New Roman"/>
                <w:b w:val="0"/>
                <w:sz w:val="16"/>
              </w:rPr>
              <w:t>Enforce authentication and authorization</w:t>
            </w:r>
          </w:p>
        </w:tc>
        <w:tc>
          <w:tcPr>
            <w:tcW w:type="dxa" w:w="3173"/>
            <w:vAlign w:val="center"/>
          </w:tcPr>
          <w:p>
            <w:pPr>
              <w:jc w:val="left"/>
            </w:pPr>
            <w:r/>
            <w:r>
              <w:rPr>
                <w:rFonts w:ascii="Times New Roman" w:hAnsi="Times New Roman" w:eastAsia="Times New Roman"/>
                <w:b w:val="0"/>
                <w:sz w:val="16"/>
              </w:rPr>
              <w:t>JWT, active-user resolution and six-role RBAC model</w:t>
            </w:r>
          </w:p>
        </w:tc>
        <w:tc>
          <w:tcPr>
            <w:tcW w:type="dxa" w:w="3173"/>
            <w:vAlign w:val="center"/>
          </w:tcPr>
          <w:p>
            <w:pPr>
              <w:jc w:val="left"/>
            </w:pPr>
            <w:r/>
            <w:r>
              <w:rPr>
                <w:rFonts w:ascii="Times New Roman" w:hAnsi="Times New Roman" w:eastAsia="Times New Roman"/>
                <w:b w:val="0"/>
                <w:sz w:val="16"/>
              </w:rPr>
              <w:t>Achieved in tested scope</w:t>
            </w:r>
          </w:p>
        </w:tc>
      </w:tr>
      <w:tr>
        <w:trPr>
          <w:cantSplit/>
        </w:trPr>
        <w:tc>
          <w:tcPr>
            <w:tcW w:type="dxa" w:w="3173"/>
            <w:vAlign w:val="center"/>
          </w:tcPr>
          <w:p>
            <w:pPr>
              <w:jc w:val="left"/>
            </w:pPr>
            <w:r/>
            <w:r>
              <w:rPr>
                <w:rFonts w:ascii="Times New Roman" w:hAnsi="Times New Roman" w:eastAsia="Times New Roman"/>
                <w:b w:val="0"/>
                <w:sz w:val="16"/>
              </w:rPr>
              <w:t>Manage clinical records and diagnostic files</w:t>
            </w:r>
          </w:p>
        </w:tc>
        <w:tc>
          <w:tcPr>
            <w:tcW w:type="dxa" w:w="3173"/>
            <w:vAlign w:val="center"/>
          </w:tcPr>
          <w:p>
            <w:pPr>
              <w:jc w:val="left"/>
            </w:pPr>
            <w:r/>
            <w:r>
              <w:rPr>
                <w:rFonts w:ascii="Times New Roman" w:hAnsi="Times New Roman" w:eastAsia="Times New Roman"/>
                <w:b w:val="0"/>
                <w:sz w:val="16"/>
              </w:rPr>
              <w:t>PostgreSQL clinical entities plus private MinIO report objects</w:t>
            </w:r>
          </w:p>
        </w:tc>
        <w:tc>
          <w:tcPr>
            <w:tcW w:type="dxa" w:w="3173"/>
            <w:vAlign w:val="center"/>
          </w:tcPr>
          <w:p>
            <w:pPr>
              <w:jc w:val="left"/>
            </w:pPr>
            <w:r/>
            <w:r>
              <w:rPr>
                <w:rFonts w:ascii="Times New Roman" w:hAnsi="Times New Roman" w:eastAsia="Times New Roman"/>
                <w:b w:val="0"/>
                <w:sz w:val="16"/>
              </w:rPr>
              <w:t>Achieved in tested scope</w:t>
            </w:r>
          </w:p>
        </w:tc>
      </w:tr>
      <w:tr>
        <w:trPr>
          <w:cantSplit/>
        </w:trPr>
        <w:tc>
          <w:tcPr>
            <w:tcW w:type="dxa" w:w="3173"/>
            <w:vAlign w:val="center"/>
          </w:tcPr>
          <w:p>
            <w:pPr>
              <w:jc w:val="left"/>
            </w:pPr>
            <w:r/>
            <w:r>
              <w:rPr>
                <w:rFonts w:ascii="Times New Roman" w:hAnsi="Times New Roman" w:eastAsia="Times New Roman"/>
                <w:b w:val="0"/>
                <w:sz w:val="16"/>
              </w:rPr>
              <w:t>Support interoperability</w:t>
            </w:r>
          </w:p>
        </w:tc>
        <w:tc>
          <w:tcPr>
            <w:tcW w:type="dxa" w:w="3173"/>
            <w:vAlign w:val="center"/>
          </w:tcPr>
          <w:p>
            <w:pPr>
              <w:jc w:val="left"/>
            </w:pPr>
            <w:r/>
            <w:r>
              <w:rPr>
                <w:rFonts w:ascii="Times New Roman" w:hAnsi="Times New Roman" w:eastAsia="Times New Roman"/>
                <w:b w:val="0"/>
                <w:sz w:val="16"/>
              </w:rPr>
              <w:t>FHIR-inspired endpoints and CapabilityStatement-like metadata</w:t>
            </w:r>
          </w:p>
        </w:tc>
        <w:tc>
          <w:tcPr>
            <w:tcW w:type="dxa" w:w="3173"/>
            <w:vAlign w:val="center"/>
          </w:tcPr>
          <w:p>
            <w:pPr>
              <w:jc w:val="left"/>
            </w:pPr>
            <w:r/>
            <w:r>
              <w:rPr>
                <w:rFonts w:ascii="Times New Roman" w:hAnsi="Times New Roman" w:eastAsia="Times New Roman"/>
                <w:b w:val="0"/>
                <w:sz w:val="16"/>
              </w:rPr>
              <w:t>Partially achieved</w:t>
            </w:r>
          </w:p>
        </w:tc>
      </w:tr>
      <w:tr>
        <w:trPr>
          <w:cantSplit/>
        </w:trPr>
        <w:tc>
          <w:tcPr>
            <w:tcW w:type="dxa" w:w="3173"/>
            <w:vAlign w:val="center"/>
          </w:tcPr>
          <w:p>
            <w:pPr>
              <w:jc w:val="left"/>
            </w:pPr>
            <w:r/>
            <w:r>
              <w:rPr>
                <w:rFonts w:ascii="Times New Roman" w:hAnsi="Times New Roman" w:eastAsia="Times New Roman"/>
                <w:b w:val="0"/>
                <w:sz w:val="16"/>
              </w:rPr>
              <w:t>Support synthetic-data ingestion</w:t>
            </w:r>
          </w:p>
        </w:tc>
        <w:tc>
          <w:tcPr>
            <w:tcW w:type="dxa" w:w="3173"/>
            <w:vAlign w:val="center"/>
          </w:tcPr>
          <w:p>
            <w:pPr>
              <w:jc w:val="left"/>
            </w:pPr>
            <w:r/>
            <w:r>
              <w:rPr>
                <w:rFonts w:ascii="Times New Roman" w:hAnsi="Times New Roman" w:eastAsia="Times New Roman"/>
                <w:b w:val="0"/>
                <w:sz w:val="16"/>
              </w:rPr>
              <w:t>Synthea patients, encounters, observations and medications</w:t>
            </w:r>
          </w:p>
        </w:tc>
        <w:tc>
          <w:tcPr>
            <w:tcW w:type="dxa" w:w="3173"/>
            <w:vAlign w:val="center"/>
          </w:tcPr>
          <w:p>
            <w:pPr>
              <w:jc w:val="left"/>
            </w:pPr>
            <w:r/>
            <w:r>
              <w:rPr>
                <w:rFonts w:ascii="Times New Roman" w:hAnsi="Times New Roman" w:eastAsia="Times New Roman"/>
                <w:b w:val="0"/>
                <w:sz w:val="16"/>
              </w:rPr>
              <w:t>Achieved for demonstrated importers</w:t>
            </w:r>
          </w:p>
        </w:tc>
      </w:tr>
      <w:tr>
        <w:trPr>
          <w:cantSplit/>
        </w:trPr>
        <w:tc>
          <w:tcPr>
            <w:tcW w:type="dxa" w:w="3173"/>
            <w:vAlign w:val="center"/>
          </w:tcPr>
          <w:p>
            <w:pPr>
              <w:jc w:val="left"/>
            </w:pPr>
            <w:r/>
            <w:r>
              <w:rPr>
                <w:rFonts w:ascii="Times New Roman" w:hAnsi="Times New Roman" w:eastAsia="Times New Roman"/>
                <w:b w:val="0"/>
                <w:sz w:val="16"/>
              </w:rPr>
              <w:t>Demonstrate local production deployment</w:t>
            </w:r>
          </w:p>
        </w:tc>
        <w:tc>
          <w:tcPr>
            <w:tcW w:type="dxa" w:w="3173"/>
            <w:vAlign w:val="center"/>
          </w:tcPr>
          <w:p>
            <w:pPr>
              <w:jc w:val="left"/>
            </w:pPr>
            <w:r/>
            <w:r>
              <w:rPr>
                <w:rFonts w:ascii="Times New Roman" w:hAnsi="Times New Roman" w:eastAsia="Times New Roman"/>
                <w:b w:val="0"/>
                <w:sz w:val="16"/>
              </w:rPr>
              <w:t>Four-service production Docker stack</w:t>
            </w:r>
          </w:p>
        </w:tc>
        <w:tc>
          <w:tcPr>
            <w:tcW w:type="dxa" w:w="3173"/>
            <w:vAlign w:val="center"/>
          </w:tcPr>
          <w:p>
            <w:pPr>
              <w:jc w:val="left"/>
            </w:pPr>
            <w:r/>
            <w:r>
              <w:rPr>
                <w:rFonts w:ascii="Times New Roman" w:hAnsi="Times New Roman" w:eastAsia="Times New Roman"/>
                <w:b w:val="0"/>
                <w:sz w:val="16"/>
              </w:rPr>
              <w:t>Achieved</w:t>
            </w:r>
          </w:p>
        </w:tc>
      </w:tr>
      <w:tr>
        <w:trPr>
          <w:cantSplit/>
        </w:trPr>
        <w:tc>
          <w:tcPr>
            <w:tcW w:type="dxa" w:w="3173"/>
            <w:vAlign w:val="center"/>
          </w:tcPr>
          <w:p>
            <w:pPr>
              <w:jc w:val="left"/>
            </w:pPr>
            <w:r/>
            <w:r>
              <w:rPr>
                <w:rFonts w:ascii="Times New Roman" w:hAnsi="Times New Roman" w:eastAsia="Times New Roman"/>
                <w:b w:val="0"/>
                <w:sz w:val="16"/>
              </w:rPr>
              <w:t>Validate security, storage and auditability</w:t>
            </w:r>
          </w:p>
        </w:tc>
        <w:tc>
          <w:tcPr>
            <w:tcW w:type="dxa" w:w="3173"/>
            <w:vAlign w:val="center"/>
          </w:tcPr>
          <w:p>
            <w:pPr>
              <w:jc w:val="left"/>
            </w:pPr>
            <w:r/>
            <w:r>
              <w:rPr>
                <w:rFonts w:ascii="Times New Roman" w:hAnsi="Times New Roman" w:eastAsia="Times New Roman"/>
                <w:b w:val="0"/>
                <w:sz w:val="16"/>
              </w:rPr>
              <w:t>40 combined checks across HTTP security, audit and storage</w:t>
            </w:r>
          </w:p>
        </w:tc>
        <w:tc>
          <w:tcPr>
            <w:tcW w:type="dxa" w:w="3173"/>
            <w:vAlign w:val="center"/>
          </w:tcPr>
          <w:p>
            <w:pPr>
              <w:jc w:val="left"/>
            </w:pPr>
            <w:r/>
            <w:r>
              <w:rPr>
                <w:rFonts w:ascii="Times New Roman" w:hAnsi="Times New Roman" w:eastAsia="Times New Roman"/>
                <w:b w:val="0"/>
                <w:sz w:val="16"/>
              </w:rPr>
              <w:t>Achieved</w:t>
            </w:r>
          </w:p>
        </w:tc>
      </w:tr>
      <w:tr>
        <w:trPr>
          <w:cantSplit/>
        </w:trPr>
        <w:tc>
          <w:tcPr>
            <w:tcW w:type="dxa" w:w="3173"/>
            <w:vAlign w:val="center"/>
          </w:tcPr>
          <w:p>
            <w:pPr>
              <w:jc w:val="left"/>
            </w:pPr>
            <w:r/>
            <w:r>
              <w:rPr>
                <w:rFonts w:ascii="Times New Roman" w:hAnsi="Times New Roman" w:eastAsia="Times New Roman"/>
                <w:b w:val="0"/>
                <w:sz w:val="16"/>
              </w:rPr>
              <w:t>Validate backup and recovery</w:t>
            </w:r>
          </w:p>
        </w:tc>
        <w:tc>
          <w:tcPr>
            <w:tcW w:type="dxa" w:w="3173"/>
            <w:vAlign w:val="center"/>
          </w:tcPr>
          <w:p>
            <w:pPr>
              <w:jc w:val="left"/>
            </w:pPr>
            <w:r/>
            <w:r>
              <w:rPr>
                <w:rFonts w:ascii="Times New Roman" w:hAnsi="Times New Roman" w:eastAsia="Times New Roman"/>
                <w:b w:val="0"/>
                <w:sz w:val="16"/>
              </w:rPr>
              <w:t>42 passing PostgreSQL and MinIO recovery checks</w:t>
            </w:r>
          </w:p>
        </w:tc>
        <w:tc>
          <w:tcPr>
            <w:tcW w:type="dxa" w:w="3173"/>
            <w:vAlign w:val="center"/>
          </w:tcPr>
          <w:p>
            <w:pPr>
              <w:jc w:val="left"/>
            </w:pPr>
            <w:r/>
            <w:r>
              <w:rPr>
                <w:rFonts w:ascii="Times New Roman" w:hAnsi="Times New Roman" w:eastAsia="Times New Roman"/>
                <w:b w:val="0"/>
                <w:sz w:val="16"/>
              </w:rPr>
              <w:t>Achieved locally</w:t>
            </w:r>
          </w:p>
        </w:tc>
      </w:tr>
      <w:tr>
        <w:trPr>
          <w:cantSplit/>
        </w:trPr>
        <w:tc>
          <w:tcPr>
            <w:tcW w:type="dxa" w:w="3173"/>
            <w:vAlign w:val="center"/>
          </w:tcPr>
          <w:p>
            <w:pPr>
              <w:jc w:val="left"/>
            </w:pPr>
            <w:r/>
            <w:r>
              <w:rPr>
                <w:rFonts w:ascii="Times New Roman" w:hAnsi="Times New Roman" w:eastAsia="Times New Roman"/>
                <w:b w:val="0"/>
                <w:sz w:val="16"/>
              </w:rPr>
              <w:t>Validate scalability</w:t>
            </w:r>
          </w:p>
        </w:tc>
        <w:tc>
          <w:tcPr>
            <w:tcW w:type="dxa" w:w="3173"/>
            <w:vAlign w:val="center"/>
          </w:tcPr>
          <w:p>
            <w:pPr>
              <w:jc w:val="left"/>
            </w:pPr>
            <w:r/>
            <w:r>
              <w:rPr>
                <w:rFonts w:ascii="Times New Roman" w:hAnsi="Times New Roman" w:eastAsia="Times New Roman"/>
                <w:b w:val="0"/>
                <w:sz w:val="16"/>
              </w:rPr>
              <w:t>200 users, 146.77 requests/s and zero failures after optimization</w:t>
            </w:r>
          </w:p>
        </w:tc>
        <w:tc>
          <w:tcPr>
            <w:tcW w:type="dxa" w:w="3173"/>
            <w:vAlign w:val="center"/>
          </w:tcPr>
          <w:p>
            <w:pPr>
              <w:jc w:val="left"/>
            </w:pPr>
            <w:r/>
            <w:r>
              <w:rPr>
                <w:rFonts w:ascii="Times New Roman" w:hAnsi="Times New Roman" w:eastAsia="Times New Roman"/>
                <w:b w:val="0"/>
                <w:sz w:val="16"/>
              </w:rPr>
              <w:t>Achieved for measured workload</w:t>
            </w:r>
          </w:p>
        </w:tc>
      </w:tr>
      <w:tr>
        <w:trPr>
          <w:cantSplit/>
        </w:trPr>
        <w:tc>
          <w:tcPr>
            <w:tcW w:type="dxa" w:w="3173"/>
            <w:vAlign w:val="center"/>
          </w:tcPr>
          <w:p>
            <w:pPr>
              <w:jc w:val="left"/>
            </w:pPr>
            <w:r/>
            <w:r>
              <w:rPr>
                <w:rFonts w:ascii="Times New Roman" w:hAnsi="Times New Roman" w:eastAsia="Times New Roman"/>
                <w:b w:val="0"/>
                <w:sz w:val="16"/>
              </w:rPr>
              <w:t>Deploy on institutional cloud infrastructure</w:t>
            </w:r>
          </w:p>
        </w:tc>
        <w:tc>
          <w:tcPr>
            <w:tcW w:type="dxa" w:w="3173"/>
            <w:vAlign w:val="center"/>
          </w:tcPr>
          <w:p>
            <w:pPr>
              <w:jc w:val="left"/>
            </w:pPr>
            <w:r/>
            <w:r>
              <w:rPr>
                <w:rFonts w:ascii="Times New Roman" w:hAnsi="Times New Roman" w:eastAsia="Times New Roman"/>
                <w:b w:val="0"/>
                <w:sz w:val="16"/>
              </w:rPr>
              <w:t>UESTC VM remains an external dependency</w:t>
            </w:r>
          </w:p>
        </w:tc>
        <w:tc>
          <w:tcPr>
            <w:tcW w:type="dxa" w:w="3173"/>
            <w:vAlign w:val="center"/>
          </w:tcPr>
          <w:p>
            <w:pPr>
              <w:jc w:val="left"/>
            </w:pPr>
            <w:r/>
            <w:r>
              <w:rPr>
                <w:rFonts w:ascii="Times New Roman" w:hAnsi="Times New Roman" w:eastAsia="Times New Roman"/>
                <w:b w:val="0"/>
                <w:sz w:val="16"/>
              </w:rPr>
              <w:t>Not yet completed</w:t>
            </w:r>
          </w:p>
        </w:tc>
      </w:tr>
      <w:tr>
        <w:trPr>
          <w:cantSplit/>
        </w:trPr>
        <w:tc>
          <w:tcPr>
            <w:tcW w:type="dxa" w:w="3173"/>
            <w:vAlign w:val="center"/>
          </w:tcPr>
          <w:p>
            <w:pPr>
              <w:jc w:val="left"/>
            </w:pPr>
            <w:r/>
            <w:r>
              <w:rPr>
                <w:rFonts w:ascii="Times New Roman" w:hAnsi="Times New Roman" w:eastAsia="Times New Roman"/>
                <w:b w:val="0"/>
                <w:sz w:val="16"/>
              </w:rPr>
              <w:t>Quantify monetary cost-effectiveness</w:t>
            </w:r>
          </w:p>
        </w:tc>
        <w:tc>
          <w:tcPr>
            <w:tcW w:type="dxa" w:w="3173"/>
            <w:vAlign w:val="center"/>
          </w:tcPr>
          <w:p>
            <w:pPr>
              <w:jc w:val="left"/>
            </w:pPr>
            <w:r/>
            <w:r>
              <w:rPr>
                <w:rFonts w:ascii="Times New Roman" w:hAnsi="Times New Roman" w:eastAsia="Times New Roman"/>
                <w:b w:val="0"/>
                <w:sz w:val="16"/>
              </w:rPr>
              <w:t>Method defined but verified cost inputs unavailable</w:t>
            </w:r>
          </w:p>
        </w:tc>
        <w:tc>
          <w:tcPr>
            <w:tcW w:type="dxa" w:w="3173"/>
            <w:vAlign w:val="center"/>
          </w:tcPr>
          <w:p>
            <w:pPr>
              <w:jc w:val="left"/>
            </w:pPr>
            <w:r/>
            <w:r>
              <w:rPr>
                <w:rFonts w:ascii="Times New Roman" w:hAnsi="Times New Roman" w:eastAsia="Times New Roman"/>
                <w:b w:val="0"/>
                <w:sz w:val="16"/>
              </w:rPr>
              <w:t>Not yet completed</w:t>
            </w:r>
          </w:p>
        </w:tc>
      </w:tr>
    </w:tbl>
    <w:p/>
    <w:p>
      <w:pPr>
        <w:pStyle w:val="Heading1"/>
      </w:pPr>
      <w:r>
        <w:t>4. Main Scientific and Engineering Contributions</w:t>
      </w:r>
    </w:p>
    <w:p>
      <w:pPr>
        <w:jc w:val="center"/>
      </w:pPr>
      <w:r>
        <w:drawing>
          <wp:inline xmlns:a="http://schemas.openxmlformats.org/drawingml/2006/main" xmlns:pic="http://schemas.openxmlformats.org/drawingml/2006/picture">
            <wp:extent cx="6217920" cy="4167366"/>
            <wp:docPr id="2" name="Picture 2"/>
            <wp:cNvGraphicFramePr>
              <a:graphicFrameLocks noChangeAspect="1"/>
            </wp:cNvGraphicFramePr>
            <a:graphic>
              <a:graphicData uri="http://schemas.openxmlformats.org/drawingml/2006/picture">
                <pic:pic>
                  <pic:nvPicPr>
                    <pic:cNvPr id="0" name="contribution_map.png"/>
                    <pic:cNvPicPr/>
                  </pic:nvPicPr>
                  <pic:blipFill>
                    <a:blip r:embed="rId12"/>
                    <a:stretch>
                      <a:fillRect/>
                    </a:stretch>
                  </pic:blipFill>
                  <pic:spPr>
                    <a:xfrm>
                      <a:off x="0" y="0"/>
                      <a:ext cx="6217920" cy="4167366"/>
                    </a:xfrm>
                    <a:prstGeom prst="rect"/>
                  </pic:spPr>
                </pic:pic>
              </a:graphicData>
            </a:graphic>
          </wp:inline>
        </w:drawing>
      </w:r>
    </w:p>
    <w:p>
      <w:pPr>
        <w:pStyle w:val="AcademicCaption"/>
      </w:pPr>
      <w:r>
        <w:t>Figure 2. Principal scientific and engineering contributions of the research.</w:t>
      </w:r>
    </w:p>
    <w:p>
      <w:pPr>
        <w:pStyle w:val="Heading2"/>
      </w:pPr>
      <w:r>
        <w:t>4.1 Security contribution</w:t>
      </w:r>
    </w:p>
    <w:p>
      <w:r>
        <w:t>The project integrates password protection, JWT-based authentication, active-account checking, six operational roles, route-level and router-level RBAC, production HTTP security controls, and audit logging. The contribution is not merely architectural. It is supported by executable security evidence, including 17 of 17 production HTTP checks and 9 of 9 strict audit checks.</w:t>
      </w:r>
    </w:p>
    <w:p>
      <w:pPr>
        <w:pStyle w:val="Heading2"/>
      </w:pPr>
      <w:r>
        <w:t>4.2 Healthcare data-management contribution</w:t>
      </w:r>
    </w:p>
    <w:p>
      <w:r>
        <w:t>The platform provides a patient-centered relational model for encounters, conditions, observations, prescriptions, diagnostic-report metadata, users, roles, and audit records. Diagnostic-report bytes are separated from structured metadata and stored privately in MinIO. File size and SHA-256 values connect the relational and object-storage layers.</w:t>
      </w:r>
    </w:p>
    <w:p>
      <w:pPr>
        <w:pStyle w:val="Heading2"/>
      </w:pPr>
      <w:r>
        <w:t>4.3 FHIR-inspired interoperability contribution</w:t>
      </w:r>
    </w:p>
    <w:p>
      <w:r>
        <w:t>The implementation exposes selected FHIR-named resources and Bundle-like responses for Patient, Encounter, Observation, MedicationRequest, and Condition, together with a Patient/$everything operation and minimal capability metadata. This provides an interoperability foundation while remaining explicitly narrower than full HL7 FHIR conformance.</w:t>
      </w:r>
    </w:p>
    <w:p>
      <w:pPr>
        <w:pStyle w:val="Heading2"/>
      </w:pPr>
      <w:r>
        <w:t>4.4 Containerization and cloud-readiness contribution</w:t>
      </w:r>
    </w:p>
    <w:p>
      <w:r>
        <w:t>The system is packaged as a four-service Docker Compose architecture. Nginx provides the external entry point, the backend mediates application access, and PostgreSQL and MinIO remain on an internal data network. Named volumes, health checks, dependencies, restart policies, environment-driven configuration, Git tags, and release history support reproducibility and deployment readiness.</w:t>
      </w:r>
    </w:p>
    <w:p>
      <w:pPr>
        <w:pStyle w:val="Heading2"/>
      </w:pPr>
      <w:r>
        <w:t>4.5 Performance and scalability contribution</w:t>
      </w:r>
    </w:p>
    <w:p>
      <w:r>
        <w:t>The study preserves both the failed initial 200-user experiment and the optimized result. The initial run produced 357 failed requests, 23.99% failure rate, mean latency of 33,132.66 ms, and 5.23 requests per second. The optimized run completed 43,814 requests with zero failures, 29.27 ms mean latency, 110 ms P95 latency, and 146.77 requests per second.</w:t>
      </w:r>
    </w:p>
    <w:p>
      <w:r>
        <w:t>This before-and-after evidence demonstrates the identification and remediation of a software bottleneck. It does not demonstrate unlimited scalability or performance on different infrastructure.</w:t>
      </w:r>
    </w:p>
    <w:p>
      <w:pPr>
        <w:pStyle w:val="Heading2"/>
      </w:pPr>
      <w:r>
        <w:t>4.6 Backup and disaster-recovery contribution</w:t>
      </w:r>
    </w:p>
    <w:p>
      <w:r>
        <w:t>The recovery contribution is based on restoration rather than backup creation alone. PostgreSQL was restored into a temporary database and verified across ten tables. MinIO objects were restored into a temporary bucket and checked for count, size, and SHA-256 integrity. Temporary recovery targets were removed after validation.</w:t>
      </w:r>
    </w:p>
    <w:p>
      <w:pPr>
        <w:pStyle w:val="Heading1"/>
      </w:pPr>
      <w:r>
        <w:t>5. Integrated Validation Outcome</w:t>
      </w:r>
    </w:p>
    <w:tbl>
      <w:tblPr>
        <w:tblStyle w:val="TableGrid"/>
        <w:tblW w:type="auto" w:w="0"/>
        <w:jc w:val="center"/>
        <w:tblLook w:firstColumn="1" w:firstRow="1" w:lastColumn="0" w:lastRow="0" w:noHBand="0" w:noVBand="1" w:val="04A0"/>
      </w:tblPr>
      <w:tblGrid>
        <w:gridCol w:w="3173"/>
        <w:gridCol w:w="3173"/>
        <w:gridCol w:w="3173"/>
      </w:tblGrid>
      <w:tr>
        <w:trPr>
          <w:tblHeader w:val="true"/>
          <w:cantSplit/>
        </w:trPr>
        <w:tc>
          <w:tcPr>
            <w:tcW w:type="dxa" w:w="3173"/>
            <w:vAlign w:val="center"/>
            <w:shd w:fill="D9E1F2"/>
          </w:tcPr>
          <w:p>
            <w:pPr>
              <w:jc w:val="left"/>
            </w:pPr>
            <w:r/>
            <w:r>
              <w:rPr>
                <w:rFonts w:ascii="Times New Roman" w:hAnsi="Times New Roman" w:eastAsia="Times New Roman"/>
                <w:b/>
                <w:sz w:val="17"/>
              </w:rPr>
              <w:t>Validation</w:t>
            </w:r>
          </w:p>
        </w:tc>
        <w:tc>
          <w:tcPr>
            <w:tcW w:type="dxa" w:w="3173"/>
            <w:vAlign w:val="center"/>
            <w:shd w:fill="D9E1F2"/>
          </w:tcPr>
          <w:p>
            <w:pPr>
              <w:jc w:val="left"/>
            </w:pPr>
            <w:r/>
            <w:r>
              <w:rPr>
                <w:rFonts w:ascii="Times New Roman" w:hAnsi="Times New Roman" w:eastAsia="Times New Roman"/>
                <w:b/>
                <w:sz w:val="17"/>
              </w:rPr>
              <w:t>Checks</w:t>
            </w:r>
          </w:p>
        </w:tc>
        <w:tc>
          <w:tcPr>
            <w:tcW w:type="dxa" w:w="3173"/>
            <w:vAlign w:val="center"/>
            <w:shd w:fill="D9E1F2"/>
          </w:tcPr>
          <w:p>
            <w:pPr>
              <w:jc w:val="left"/>
            </w:pPr>
            <w:r/>
            <w:r>
              <w:rPr>
                <w:rFonts w:ascii="Times New Roman" w:hAnsi="Times New Roman" w:eastAsia="Times New Roman"/>
                <w:b/>
                <w:sz w:val="17"/>
              </w:rPr>
              <w:t>Status</w:t>
            </w:r>
          </w:p>
        </w:tc>
      </w:tr>
      <w:tr>
        <w:trPr>
          <w:cantSplit/>
        </w:trPr>
        <w:tc>
          <w:tcPr>
            <w:tcW w:type="dxa" w:w="3173"/>
            <w:vAlign w:val="center"/>
          </w:tcPr>
          <w:p>
            <w:pPr>
              <w:jc w:val="left"/>
            </w:pPr>
            <w:r/>
            <w:r>
              <w:rPr>
                <w:rFonts w:ascii="Times New Roman" w:hAnsi="Times New Roman" w:eastAsia="Times New Roman"/>
                <w:b w:val="0"/>
                <w:sz w:val="17"/>
              </w:rPr>
              <w:t>Production HTTP security</w:t>
            </w:r>
          </w:p>
        </w:tc>
        <w:tc>
          <w:tcPr>
            <w:tcW w:type="dxa" w:w="3173"/>
            <w:vAlign w:val="center"/>
          </w:tcPr>
          <w:p>
            <w:pPr>
              <w:jc w:val="left"/>
            </w:pPr>
            <w:r/>
            <w:r>
              <w:rPr>
                <w:rFonts w:ascii="Times New Roman" w:hAnsi="Times New Roman" w:eastAsia="Times New Roman"/>
                <w:b w:val="0"/>
                <w:sz w:val="17"/>
              </w:rPr>
              <w:t>17/17</w:t>
            </w:r>
          </w:p>
        </w:tc>
        <w:tc>
          <w:tcPr>
            <w:tcW w:type="dxa" w:w="3173"/>
            <w:vAlign w:val="center"/>
          </w:tcPr>
          <w:p>
            <w:pPr>
              <w:jc w:val="left"/>
            </w:pPr>
            <w:r/>
            <w:r>
              <w:rPr>
                <w:rFonts w:ascii="Times New Roman" w:hAnsi="Times New Roman" w:eastAsia="Times New Roman"/>
                <w:b w:val="0"/>
                <w:sz w:val="17"/>
              </w:rPr>
              <w:t>PASS</w:t>
            </w:r>
          </w:p>
        </w:tc>
      </w:tr>
      <w:tr>
        <w:trPr>
          <w:cantSplit/>
        </w:trPr>
        <w:tc>
          <w:tcPr>
            <w:tcW w:type="dxa" w:w="3173"/>
            <w:vAlign w:val="center"/>
          </w:tcPr>
          <w:p>
            <w:pPr>
              <w:jc w:val="left"/>
            </w:pPr>
            <w:r/>
            <w:r>
              <w:rPr>
                <w:rFonts w:ascii="Times New Roman" w:hAnsi="Times New Roman" w:eastAsia="Times New Roman"/>
                <w:b w:val="0"/>
                <w:sz w:val="17"/>
              </w:rPr>
              <w:t>Diagnostic report strict audit</w:t>
            </w:r>
          </w:p>
        </w:tc>
        <w:tc>
          <w:tcPr>
            <w:tcW w:type="dxa" w:w="3173"/>
            <w:vAlign w:val="center"/>
          </w:tcPr>
          <w:p>
            <w:pPr>
              <w:jc w:val="left"/>
            </w:pPr>
            <w:r/>
            <w:r>
              <w:rPr>
                <w:rFonts w:ascii="Times New Roman" w:hAnsi="Times New Roman" w:eastAsia="Times New Roman"/>
                <w:b w:val="0"/>
                <w:sz w:val="17"/>
              </w:rPr>
              <w:t>9/9</w:t>
            </w:r>
          </w:p>
        </w:tc>
        <w:tc>
          <w:tcPr>
            <w:tcW w:type="dxa" w:w="3173"/>
            <w:vAlign w:val="center"/>
          </w:tcPr>
          <w:p>
            <w:pPr>
              <w:jc w:val="left"/>
            </w:pPr>
            <w:r/>
            <w:r>
              <w:rPr>
                <w:rFonts w:ascii="Times New Roman" w:hAnsi="Times New Roman" w:eastAsia="Times New Roman"/>
                <w:b w:val="0"/>
                <w:sz w:val="17"/>
              </w:rPr>
              <w:t>PASS</w:t>
            </w:r>
          </w:p>
        </w:tc>
      </w:tr>
      <w:tr>
        <w:trPr>
          <w:cantSplit/>
        </w:trPr>
        <w:tc>
          <w:tcPr>
            <w:tcW w:type="dxa" w:w="3173"/>
            <w:vAlign w:val="center"/>
          </w:tcPr>
          <w:p>
            <w:pPr>
              <w:jc w:val="left"/>
            </w:pPr>
            <w:r/>
            <w:r>
              <w:rPr>
                <w:rFonts w:ascii="Times New Roman" w:hAnsi="Times New Roman" w:eastAsia="Times New Roman"/>
                <w:b w:val="0"/>
                <w:sz w:val="17"/>
              </w:rPr>
              <w:t>Diagnostic report end-to-end storage</w:t>
            </w:r>
          </w:p>
        </w:tc>
        <w:tc>
          <w:tcPr>
            <w:tcW w:type="dxa" w:w="3173"/>
            <w:vAlign w:val="center"/>
          </w:tcPr>
          <w:p>
            <w:pPr>
              <w:jc w:val="left"/>
            </w:pPr>
            <w:r/>
            <w:r>
              <w:rPr>
                <w:rFonts w:ascii="Times New Roman" w:hAnsi="Times New Roman" w:eastAsia="Times New Roman"/>
                <w:b w:val="0"/>
                <w:sz w:val="17"/>
              </w:rPr>
              <w:t>10/10</w:t>
            </w:r>
          </w:p>
        </w:tc>
        <w:tc>
          <w:tcPr>
            <w:tcW w:type="dxa" w:w="3173"/>
            <w:vAlign w:val="center"/>
          </w:tcPr>
          <w:p>
            <w:pPr>
              <w:jc w:val="left"/>
            </w:pPr>
            <w:r/>
            <w:r>
              <w:rPr>
                <w:rFonts w:ascii="Times New Roman" w:hAnsi="Times New Roman" w:eastAsia="Times New Roman"/>
                <w:b w:val="0"/>
                <w:sz w:val="17"/>
              </w:rPr>
              <w:t>PASS</w:t>
            </w:r>
          </w:p>
        </w:tc>
      </w:tr>
      <w:tr>
        <w:trPr>
          <w:cantSplit/>
        </w:trPr>
        <w:tc>
          <w:tcPr>
            <w:tcW w:type="dxa" w:w="3173"/>
            <w:vAlign w:val="center"/>
          </w:tcPr>
          <w:p>
            <w:pPr>
              <w:jc w:val="left"/>
            </w:pPr>
            <w:r/>
            <w:r>
              <w:rPr>
                <w:rFonts w:ascii="Times New Roman" w:hAnsi="Times New Roman" w:eastAsia="Times New Roman"/>
                <w:b w:val="0"/>
                <w:sz w:val="17"/>
              </w:rPr>
              <w:t>MinIO service lifecycle</w:t>
            </w:r>
          </w:p>
        </w:tc>
        <w:tc>
          <w:tcPr>
            <w:tcW w:type="dxa" w:w="3173"/>
            <w:vAlign w:val="center"/>
          </w:tcPr>
          <w:p>
            <w:pPr>
              <w:jc w:val="left"/>
            </w:pPr>
            <w:r/>
            <w:r>
              <w:rPr>
                <w:rFonts w:ascii="Times New Roman" w:hAnsi="Times New Roman" w:eastAsia="Times New Roman"/>
                <w:b w:val="0"/>
                <w:sz w:val="17"/>
              </w:rPr>
              <w:t>4/4</w:t>
            </w:r>
          </w:p>
        </w:tc>
        <w:tc>
          <w:tcPr>
            <w:tcW w:type="dxa" w:w="3173"/>
            <w:vAlign w:val="center"/>
          </w:tcPr>
          <w:p>
            <w:pPr>
              <w:jc w:val="left"/>
            </w:pPr>
            <w:r/>
            <w:r>
              <w:rPr>
                <w:rFonts w:ascii="Times New Roman" w:hAnsi="Times New Roman" w:eastAsia="Times New Roman"/>
                <w:b w:val="0"/>
                <w:sz w:val="17"/>
              </w:rPr>
              <w:t>PASS</w:t>
            </w:r>
          </w:p>
        </w:tc>
      </w:tr>
      <w:tr>
        <w:trPr>
          <w:cantSplit/>
        </w:trPr>
        <w:tc>
          <w:tcPr>
            <w:tcW w:type="dxa" w:w="3173"/>
            <w:vAlign w:val="center"/>
          </w:tcPr>
          <w:p>
            <w:pPr>
              <w:jc w:val="left"/>
            </w:pPr>
            <w:r/>
            <w:r>
              <w:rPr>
                <w:rFonts w:ascii="Times New Roman" w:hAnsi="Times New Roman" w:eastAsia="Times New Roman"/>
                <w:b w:val="0"/>
                <w:sz w:val="17"/>
              </w:rPr>
              <w:t>PostgreSQL backup and restore</w:t>
            </w:r>
          </w:p>
        </w:tc>
        <w:tc>
          <w:tcPr>
            <w:tcW w:type="dxa" w:w="3173"/>
            <w:vAlign w:val="center"/>
          </w:tcPr>
          <w:p>
            <w:pPr>
              <w:jc w:val="left"/>
            </w:pPr>
            <w:r/>
            <w:r>
              <w:rPr>
                <w:rFonts w:ascii="Times New Roman" w:hAnsi="Times New Roman" w:eastAsia="Times New Roman"/>
                <w:b w:val="0"/>
                <w:sz w:val="17"/>
              </w:rPr>
              <w:t>19/19</w:t>
            </w:r>
          </w:p>
        </w:tc>
        <w:tc>
          <w:tcPr>
            <w:tcW w:type="dxa" w:w="3173"/>
            <w:vAlign w:val="center"/>
          </w:tcPr>
          <w:p>
            <w:pPr>
              <w:jc w:val="left"/>
            </w:pPr>
            <w:r/>
            <w:r>
              <w:rPr>
                <w:rFonts w:ascii="Times New Roman" w:hAnsi="Times New Roman" w:eastAsia="Times New Roman"/>
                <w:b w:val="0"/>
                <w:sz w:val="17"/>
              </w:rPr>
              <w:t>PASS</w:t>
            </w:r>
          </w:p>
        </w:tc>
      </w:tr>
      <w:tr>
        <w:trPr>
          <w:cantSplit/>
        </w:trPr>
        <w:tc>
          <w:tcPr>
            <w:tcW w:type="dxa" w:w="3173"/>
            <w:vAlign w:val="center"/>
          </w:tcPr>
          <w:p>
            <w:pPr>
              <w:jc w:val="left"/>
            </w:pPr>
            <w:r/>
            <w:r>
              <w:rPr>
                <w:rFonts w:ascii="Times New Roman" w:hAnsi="Times New Roman" w:eastAsia="Times New Roman"/>
                <w:b w:val="0"/>
                <w:sz w:val="17"/>
              </w:rPr>
              <w:t>MinIO backup and restore</w:t>
            </w:r>
          </w:p>
        </w:tc>
        <w:tc>
          <w:tcPr>
            <w:tcW w:type="dxa" w:w="3173"/>
            <w:vAlign w:val="center"/>
          </w:tcPr>
          <w:p>
            <w:pPr>
              <w:jc w:val="left"/>
            </w:pPr>
            <w:r/>
            <w:r>
              <w:rPr>
                <w:rFonts w:ascii="Times New Roman" w:hAnsi="Times New Roman" w:eastAsia="Times New Roman"/>
                <w:b w:val="0"/>
                <w:sz w:val="17"/>
              </w:rPr>
              <w:t>23/23</w:t>
            </w:r>
          </w:p>
        </w:tc>
        <w:tc>
          <w:tcPr>
            <w:tcW w:type="dxa" w:w="3173"/>
            <w:vAlign w:val="center"/>
          </w:tcPr>
          <w:p>
            <w:pPr>
              <w:jc w:val="left"/>
            </w:pPr>
            <w:r/>
            <w:r>
              <w:rPr>
                <w:rFonts w:ascii="Times New Roman" w:hAnsi="Times New Roman" w:eastAsia="Times New Roman"/>
                <w:b w:val="0"/>
                <w:sz w:val="17"/>
              </w:rPr>
              <w:t>PASS</w:t>
            </w:r>
          </w:p>
        </w:tc>
      </w:tr>
      <w:tr>
        <w:trPr>
          <w:cantSplit/>
        </w:trPr>
        <w:tc>
          <w:tcPr>
            <w:tcW w:type="dxa" w:w="3173"/>
            <w:vAlign w:val="center"/>
          </w:tcPr>
          <w:p>
            <w:pPr>
              <w:jc w:val="left"/>
            </w:pPr>
            <w:r/>
            <w:r>
              <w:rPr>
                <w:rFonts w:ascii="Times New Roman" w:hAnsi="Times New Roman" w:eastAsia="Times New Roman"/>
                <w:b w:val="0"/>
                <w:sz w:val="17"/>
              </w:rPr>
              <w:t>Optimized 200-user load</w:t>
            </w:r>
          </w:p>
        </w:tc>
        <w:tc>
          <w:tcPr>
            <w:tcW w:type="dxa" w:w="3173"/>
            <w:vAlign w:val="center"/>
          </w:tcPr>
          <w:p>
            <w:pPr>
              <w:jc w:val="left"/>
            </w:pPr>
            <w:r/>
            <w:r>
              <w:rPr>
                <w:rFonts w:ascii="Times New Roman" w:hAnsi="Times New Roman" w:eastAsia="Times New Roman"/>
                <w:b w:val="0"/>
                <w:sz w:val="17"/>
              </w:rPr>
              <w:t>1/1</w:t>
            </w:r>
          </w:p>
        </w:tc>
        <w:tc>
          <w:tcPr>
            <w:tcW w:type="dxa" w:w="3173"/>
            <w:vAlign w:val="center"/>
          </w:tcPr>
          <w:p>
            <w:pPr>
              <w:jc w:val="left"/>
            </w:pPr>
            <w:r/>
            <w:r>
              <w:rPr>
                <w:rFonts w:ascii="Times New Roman" w:hAnsi="Times New Roman" w:eastAsia="Times New Roman"/>
                <w:b w:val="0"/>
                <w:sz w:val="17"/>
              </w:rPr>
              <w:t>PASS</w:t>
            </w:r>
          </w:p>
        </w:tc>
      </w:tr>
    </w:tbl>
    <w:p/>
    <w:p>
      <w:r>
        <w:t>The seven validations contain 83 recorded checks, all of which passed. These checks represent heterogeneous forms of evidence and should not be interpreted as a statistical score. Their value lies in the combined coverage of security, auditability, storage, recovery, and performance.</w:t>
      </w:r>
    </w:p>
    <w:p>
      <w:r>
        <w:t>The strongest conclusion is cross-domain consistency. Authorized operations succeeded, unauthorized operations were denied, stored bytes matched recorded metadata, backups were recoverable, and the optimized workload met the measured reliability target.</w:t>
      </w:r>
    </w:p>
    <w:p>
      <w:pPr>
        <w:pStyle w:val="Heading1"/>
      </w:pPr>
      <w:r>
        <w:t>6. Study Limitations and Threats to Generalization</w:t>
      </w:r>
    </w:p>
    <w:p>
      <w:pPr>
        <w:pStyle w:val="ListBullet"/>
      </w:pPr>
      <w:r>
        <w:t>The final evidence describes one local Docker host and must be repeated on the UESTC VM.</w:t>
      </w:r>
    </w:p>
    <w:p>
      <w:pPr>
        <w:pStyle w:val="ListBullet"/>
      </w:pPr>
      <w:r>
        <w:t>The performance results are consolidated single-run scenarios without repeated-run confidence intervals.</w:t>
      </w:r>
    </w:p>
    <w:p>
      <w:pPr>
        <w:pStyle w:val="ListBullet"/>
      </w:pPr>
      <w:r>
        <w:t>The measured workload does not represent every write-heavy, upload-heavy, or geographically distributed use case.</w:t>
      </w:r>
    </w:p>
    <w:p>
      <w:pPr>
        <w:pStyle w:val="ListBullet"/>
      </w:pPr>
      <w:r>
        <w:t>Security tests validate selected controls but do not prove compliance with a healthcare regulation or certification framework.</w:t>
      </w:r>
    </w:p>
    <w:p>
      <w:pPr>
        <w:pStyle w:val="ListBullet"/>
      </w:pPr>
      <w:r>
        <w:t>The production reverse proxy remains HTTP-only in the supplied local configuration.</w:t>
      </w:r>
    </w:p>
    <w:p>
      <w:pPr>
        <w:pStyle w:val="ListBullet"/>
      </w:pPr>
      <w:r>
        <w:t>The recovery tests do not demonstrate recovery from complete host loss, off-site backup retention, or point-in-time recovery.</w:t>
      </w:r>
    </w:p>
    <w:p>
      <w:pPr>
        <w:pStyle w:val="ListBullet"/>
      </w:pPr>
      <w:r>
        <w:t>The MinIO recovery sample contains seven small objects totaling 488 bytes.</w:t>
      </w:r>
    </w:p>
    <w:p>
      <w:pPr>
        <w:pStyle w:val="ListBullet"/>
      </w:pPr>
      <w:r>
        <w:t>The resource snapshots are not synchronized time-series measurements and should not support strong efficiency claims.</w:t>
      </w:r>
    </w:p>
    <w:p>
      <w:pPr>
        <w:pStyle w:val="ListBullet"/>
      </w:pPr>
      <w:r>
        <w:t>Verified monthly infrastructure and operational costs were not available.</w:t>
      </w:r>
    </w:p>
    <w:p>
      <w:pPr>
        <w:pStyle w:val="ListBullet"/>
      </w:pPr>
      <w:r>
        <w:t>The FHIR-inspired layer is partial and does not demonstrate full conformance.</w:t>
      </w:r>
    </w:p>
    <w:p>
      <w:pPr>
        <w:pStyle w:val="ListBullet"/>
      </w:pPr>
      <w:r>
        <w:t>The supplied evidence does not include a demonstrated Synthea Condition importer.</w:t>
      </w:r>
    </w:p>
    <w:p>
      <w:pPr>
        <w:pStyle w:val="ListBullet"/>
      </w:pPr>
      <w:r>
        <w:t>High availability, multi-node database replication, and automatic failover were outside the validated scope.</w:t>
      </w:r>
    </w:p>
    <w:p>
      <w:r>
        <w:t>These limitations narrow the claims that can be made, but they do not invalidate the measured results. They define the boundary between the completed local research contribution and the next deployment phase.</w:t>
      </w:r>
    </w:p>
    <w:p>
      <w:pPr>
        <w:pStyle w:val="Heading1"/>
      </w:pPr>
      <w:r>
        <w:t>7. Future Work</w:t>
      </w:r>
    </w:p>
    <w:p>
      <w:pPr>
        <w:jc w:val="center"/>
      </w:pPr>
      <w:r>
        <w:drawing>
          <wp:inline xmlns:a="http://schemas.openxmlformats.org/drawingml/2006/main" xmlns:pic="http://schemas.openxmlformats.org/drawingml/2006/picture">
            <wp:extent cx="6217920" cy="4089386"/>
            <wp:docPr id="3" name="Picture 3"/>
            <wp:cNvGraphicFramePr>
              <a:graphicFrameLocks noChangeAspect="1"/>
            </wp:cNvGraphicFramePr>
            <a:graphic>
              <a:graphicData uri="http://schemas.openxmlformats.org/drawingml/2006/picture">
                <pic:pic>
                  <pic:nvPicPr>
                    <pic:cNvPr id="0" name="future_work_roadmap.png"/>
                    <pic:cNvPicPr/>
                  </pic:nvPicPr>
                  <pic:blipFill>
                    <a:blip r:embed="rId13"/>
                    <a:stretch>
                      <a:fillRect/>
                    </a:stretch>
                  </pic:blipFill>
                  <pic:spPr>
                    <a:xfrm>
                      <a:off x="0" y="0"/>
                      <a:ext cx="6217920" cy="4089386"/>
                    </a:xfrm>
                    <a:prstGeom prst="rect"/>
                  </pic:spPr>
                </pic:pic>
              </a:graphicData>
            </a:graphic>
          </wp:inline>
        </w:drawing>
      </w:r>
    </w:p>
    <w:p>
      <w:pPr>
        <w:pStyle w:val="AcademicCaption"/>
      </w:pPr>
      <w:r>
        <w:t>Figure 3. Prioritized roadmap from the validated local platform to remote production evidence.</w:t>
      </w:r>
    </w:p>
    <w:p>
      <w:pPr>
        <w:pStyle w:val="Heading2"/>
      </w:pPr>
      <w:r>
        <w:t>7.1 Deployment on the UESTC virtual machine</w:t>
      </w:r>
    </w:p>
    <w:p>
      <w:r>
        <w:t>The immediate next step is deployment of the tagged production release on the institutionally provided UESTC virtual machine. The deployment should record the operating system, CPU, memory, storage, network configuration, public or institutional IP, Docker versions, release commit, and migration revision.</w:t>
      </w:r>
    </w:p>
    <w:tbl>
      <w:tblPr>
        <w:tblStyle w:val="TableGrid"/>
        <w:tblW w:type="auto" w:w="0"/>
        <w:jc w:val="center"/>
        <w:tblLook w:firstColumn="1" w:firstRow="1" w:lastColumn="0" w:lastRow="0" w:noHBand="0" w:noVBand="1" w:val="04A0"/>
      </w:tblPr>
      <w:tblGrid>
        <w:gridCol w:w="4759"/>
        <w:gridCol w:w="4759"/>
      </w:tblGrid>
      <w:tr>
        <w:trPr>
          <w:tblHeader w:val="true"/>
          <w:cantSplit/>
        </w:trPr>
        <w:tc>
          <w:tcPr>
            <w:tcW w:type="dxa" w:w="4759"/>
            <w:vAlign w:val="center"/>
            <w:shd w:fill="D9E1F2"/>
          </w:tcPr>
          <w:p>
            <w:pPr>
              <w:jc w:val="left"/>
            </w:pPr>
            <w:r/>
            <w:r>
              <w:rPr>
                <w:rFonts w:ascii="Times New Roman" w:hAnsi="Times New Roman" w:eastAsia="Times New Roman"/>
                <w:b/>
                <w:sz w:val="16"/>
              </w:rPr>
              <w:t>Remote deployment action</w:t>
            </w:r>
          </w:p>
        </w:tc>
        <w:tc>
          <w:tcPr>
            <w:tcW w:type="dxa" w:w="4759"/>
            <w:vAlign w:val="center"/>
            <w:shd w:fill="D9E1F2"/>
          </w:tcPr>
          <w:p>
            <w:pPr>
              <w:jc w:val="left"/>
            </w:pPr>
            <w:r/>
            <w:r>
              <w:rPr>
                <w:rFonts w:ascii="Times New Roman" w:hAnsi="Times New Roman" w:eastAsia="Times New Roman"/>
                <w:b/>
                <w:sz w:val="16"/>
              </w:rPr>
              <w:t>Required evidence</w:t>
            </w:r>
          </w:p>
        </w:tc>
      </w:tr>
      <w:tr>
        <w:trPr>
          <w:cantSplit/>
        </w:trPr>
        <w:tc>
          <w:tcPr>
            <w:tcW w:type="dxa" w:w="4759"/>
            <w:vAlign w:val="center"/>
          </w:tcPr>
          <w:p>
            <w:pPr>
              <w:jc w:val="left"/>
            </w:pPr>
            <w:r/>
            <w:r>
              <w:rPr>
                <w:rFonts w:ascii="Times New Roman" w:hAnsi="Times New Roman" w:eastAsia="Times New Roman"/>
                <w:b w:val="0"/>
                <w:sz w:val="16"/>
              </w:rPr>
              <w:t>Provision and harden the VM</w:t>
            </w:r>
          </w:p>
        </w:tc>
        <w:tc>
          <w:tcPr>
            <w:tcW w:type="dxa" w:w="4759"/>
            <w:vAlign w:val="center"/>
          </w:tcPr>
          <w:p>
            <w:pPr>
              <w:jc w:val="left"/>
            </w:pPr>
            <w:r/>
            <w:r>
              <w:rPr>
                <w:rFonts w:ascii="Times New Roman" w:hAnsi="Times New Roman" w:eastAsia="Times New Roman"/>
                <w:b w:val="0"/>
                <w:sz w:val="16"/>
              </w:rPr>
              <w:t>Host specification, SSH-key access, operating-system updates and firewall state</w:t>
            </w:r>
          </w:p>
        </w:tc>
      </w:tr>
      <w:tr>
        <w:trPr>
          <w:cantSplit/>
        </w:trPr>
        <w:tc>
          <w:tcPr>
            <w:tcW w:type="dxa" w:w="4759"/>
            <w:vAlign w:val="center"/>
          </w:tcPr>
          <w:p>
            <w:pPr>
              <w:jc w:val="left"/>
            </w:pPr>
            <w:r/>
            <w:r>
              <w:rPr>
                <w:rFonts w:ascii="Times New Roman" w:hAnsi="Times New Roman" w:eastAsia="Times New Roman"/>
                <w:b w:val="0"/>
                <w:sz w:val="16"/>
              </w:rPr>
              <w:t>Install the application stack</w:t>
            </w:r>
          </w:p>
        </w:tc>
        <w:tc>
          <w:tcPr>
            <w:tcW w:type="dxa" w:w="4759"/>
            <w:vAlign w:val="center"/>
          </w:tcPr>
          <w:p>
            <w:pPr>
              <w:jc w:val="left"/>
            </w:pPr>
            <w:r/>
            <w:r>
              <w:rPr>
                <w:rFonts w:ascii="Times New Roman" w:hAnsi="Times New Roman" w:eastAsia="Times New Roman"/>
                <w:b w:val="0"/>
                <w:sz w:val="16"/>
              </w:rPr>
              <w:t>Docker and Compose versions, release tag, container status and health</w:t>
            </w:r>
          </w:p>
        </w:tc>
      </w:tr>
      <w:tr>
        <w:trPr>
          <w:cantSplit/>
        </w:trPr>
        <w:tc>
          <w:tcPr>
            <w:tcW w:type="dxa" w:w="4759"/>
            <w:vAlign w:val="center"/>
          </w:tcPr>
          <w:p>
            <w:pPr>
              <w:jc w:val="left"/>
            </w:pPr>
            <w:r/>
            <w:r>
              <w:rPr>
                <w:rFonts w:ascii="Times New Roman" w:hAnsi="Times New Roman" w:eastAsia="Times New Roman"/>
                <w:b w:val="0"/>
                <w:sz w:val="16"/>
              </w:rPr>
              <w:t>Configure production secrets</w:t>
            </w:r>
          </w:p>
        </w:tc>
        <w:tc>
          <w:tcPr>
            <w:tcW w:type="dxa" w:w="4759"/>
            <w:vAlign w:val="center"/>
          </w:tcPr>
          <w:p>
            <w:pPr>
              <w:jc w:val="left"/>
            </w:pPr>
            <w:r/>
            <w:r>
              <w:rPr>
                <w:rFonts w:ascii="Times New Roman" w:hAnsi="Times New Roman" w:eastAsia="Times New Roman"/>
                <w:b w:val="0"/>
                <w:sz w:val="16"/>
              </w:rPr>
              <w:t>New remote-only values, protected permissions and rotation record</w:t>
            </w:r>
          </w:p>
        </w:tc>
      </w:tr>
      <w:tr>
        <w:trPr>
          <w:cantSplit/>
        </w:trPr>
        <w:tc>
          <w:tcPr>
            <w:tcW w:type="dxa" w:w="4759"/>
            <w:vAlign w:val="center"/>
          </w:tcPr>
          <w:p>
            <w:pPr>
              <w:jc w:val="left"/>
            </w:pPr>
            <w:r/>
            <w:r>
              <w:rPr>
                <w:rFonts w:ascii="Times New Roman" w:hAnsi="Times New Roman" w:eastAsia="Times New Roman"/>
                <w:b w:val="0"/>
                <w:sz w:val="16"/>
              </w:rPr>
              <w:t>Configure domain and HTTPS</w:t>
            </w:r>
          </w:p>
        </w:tc>
        <w:tc>
          <w:tcPr>
            <w:tcW w:type="dxa" w:w="4759"/>
            <w:vAlign w:val="center"/>
          </w:tcPr>
          <w:p>
            <w:pPr>
              <w:jc w:val="left"/>
            </w:pPr>
            <w:r/>
            <w:r>
              <w:rPr>
                <w:rFonts w:ascii="Times New Roman" w:hAnsi="Times New Roman" w:eastAsia="Times New Roman"/>
                <w:b w:val="0"/>
                <w:sz w:val="16"/>
              </w:rPr>
              <w:t>DNS record, valid certificate, HTTP redirect and renewal process</w:t>
            </w:r>
          </w:p>
        </w:tc>
      </w:tr>
      <w:tr>
        <w:trPr>
          <w:cantSplit/>
        </w:trPr>
        <w:tc>
          <w:tcPr>
            <w:tcW w:type="dxa" w:w="4759"/>
            <w:vAlign w:val="center"/>
          </w:tcPr>
          <w:p>
            <w:pPr>
              <w:jc w:val="left"/>
            </w:pPr>
            <w:r/>
            <w:r>
              <w:rPr>
                <w:rFonts w:ascii="Times New Roman" w:hAnsi="Times New Roman" w:eastAsia="Times New Roman"/>
                <w:b w:val="0"/>
                <w:sz w:val="16"/>
              </w:rPr>
              <w:t>Migrate or restore data</w:t>
            </w:r>
          </w:p>
        </w:tc>
        <w:tc>
          <w:tcPr>
            <w:tcW w:type="dxa" w:w="4759"/>
            <w:vAlign w:val="center"/>
          </w:tcPr>
          <w:p>
            <w:pPr>
              <w:jc w:val="left"/>
            </w:pPr>
            <w:r/>
            <w:r>
              <w:rPr>
                <w:rFonts w:ascii="Times New Roman" w:hAnsi="Times New Roman" w:eastAsia="Times New Roman"/>
                <w:b w:val="0"/>
                <w:sz w:val="16"/>
              </w:rPr>
              <w:t>Alembic head, PostgreSQL integrity and MinIO bucket validation</w:t>
            </w:r>
          </w:p>
        </w:tc>
      </w:tr>
      <w:tr>
        <w:trPr>
          <w:cantSplit/>
        </w:trPr>
        <w:tc>
          <w:tcPr>
            <w:tcW w:type="dxa" w:w="4759"/>
            <w:vAlign w:val="center"/>
          </w:tcPr>
          <w:p>
            <w:pPr>
              <w:jc w:val="left"/>
            </w:pPr>
            <w:r/>
            <w:r>
              <w:rPr>
                <w:rFonts w:ascii="Times New Roman" w:hAnsi="Times New Roman" w:eastAsia="Times New Roman"/>
                <w:b w:val="0"/>
                <w:sz w:val="16"/>
              </w:rPr>
              <w:t>Repeat validation</w:t>
            </w:r>
          </w:p>
        </w:tc>
        <w:tc>
          <w:tcPr>
            <w:tcW w:type="dxa" w:w="4759"/>
            <w:vAlign w:val="center"/>
          </w:tcPr>
          <w:p>
            <w:pPr>
              <w:jc w:val="left"/>
            </w:pPr>
            <w:r/>
            <w:r>
              <w:rPr>
                <w:rFonts w:ascii="Times New Roman" w:hAnsi="Times New Roman" w:eastAsia="Times New Roman"/>
                <w:b w:val="0"/>
                <w:sz w:val="16"/>
              </w:rPr>
              <w:t>Remote security, storage, recovery and performance result files</w:t>
            </w:r>
          </w:p>
        </w:tc>
      </w:tr>
    </w:tbl>
    <w:p/>
    <w:p>
      <w:pPr>
        <w:pStyle w:val="Heading2"/>
      </w:pPr>
      <w:r>
        <w:t>7.2 Future security improvements</w:t>
      </w:r>
    </w:p>
    <w:p>
      <w:pPr>
        <w:pStyle w:val="ListBullet"/>
      </w:pPr>
      <w:r>
        <w:t>Deploy TLS and validate HSTS over HTTPS.</w:t>
      </w:r>
    </w:p>
    <w:p>
      <w:pPr>
        <w:pStyle w:val="ListBullet"/>
      </w:pPr>
      <w:r>
        <w:t>Introduce dedicated secret management or protected institutional secret storage.</w:t>
      </w:r>
    </w:p>
    <w:p>
      <w:pPr>
        <w:pStyle w:val="ListBullet"/>
      </w:pPr>
      <w:r>
        <w:t>Define secret rotation and incident-response procedures.</w:t>
      </w:r>
    </w:p>
    <w:p>
      <w:pPr>
        <w:pStyle w:val="ListBullet"/>
      </w:pPr>
      <w:r>
        <w:t>Add rate limiting, account lockout or throttling, and multifactor authentication where appropriate.</w:t>
      </w:r>
    </w:p>
    <w:p>
      <w:pPr>
        <w:pStyle w:val="ListBullet"/>
      </w:pPr>
      <w:r>
        <w:t>Forward audit and system logs to centralized monitoring.</w:t>
      </w:r>
    </w:p>
    <w:p>
      <w:pPr>
        <w:pStyle w:val="ListBullet"/>
      </w:pPr>
      <w:r>
        <w:t>Add image, dependency, and vulnerability scanning.</w:t>
      </w:r>
    </w:p>
    <w:p>
      <w:pPr>
        <w:pStyle w:val="ListBullet"/>
      </w:pPr>
      <w:r>
        <w:t>Evaluate database-level controls for stronger audit immutability.</w:t>
      </w:r>
    </w:p>
    <w:p>
      <w:pPr>
        <w:pStyle w:val="Heading2"/>
      </w:pPr>
      <w:r>
        <w:t>7.3 Future interoperability improvements</w:t>
      </w:r>
    </w:p>
    <w:p>
      <w:pPr>
        <w:pStyle w:val="ListBullet"/>
      </w:pPr>
      <w:r>
        <w:t>Declare the target FHIR release and supported implementation subset.</w:t>
      </w:r>
    </w:p>
    <w:p>
      <w:pPr>
        <w:pStyle w:val="ListBullet"/>
      </w:pPr>
      <w:r>
        <w:t>Expand capability metadata to enumerate resources, interactions, search parameters, formats, and security.</w:t>
      </w:r>
    </w:p>
    <w:p>
      <w:pPr>
        <w:pStyle w:val="ListBullet"/>
      </w:pPr>
      <w:r>
        <w:t>Correct search Bundle totals and add pagination links.</w:t>
      </w:r>
    </w:p>
    <w:p>
      <w:pPr>
        <w:pStyle w:val="ListBullet"/>
      </w:pPr>
      <w:r>
        <w:t>Extend Patient/$everything to include Conditions and DiagnosticReports with date bounds.</w:t>
      </w:r>
    </w:p>
    <w:p>
      <w:pPr>
        <w:pStyle w:val="ListBullet"/>
      </w:pPr>
      <w:r>
        <w:t>Add a FHIR DiagnosticReport representation and controlled binary retrieval strategy.</w:t>
      </w:r>
    </w:p>
    <w:p>
      <w:pPr>
        <w:pStyle w:val="ListBullet"/>
      </w:pPr>
      <w:r>
        <w:t>Add terminology validation for LOINC, RxNorm, and condition code systems where practical.</w:t>
      </w:r>
    </w:p>
    <w:p>
      <w:pPr>
        <w:pStyle w:val="ListBullet"/>
      </w:pPr>
      <w:r>
        <w:t>Add and validate the missing Condition ingestion workflow.</w:t>
      </w:r>
    </w:p>
    <w:p>
      <w:pPr>
        <w:pStyle w:val="Heading2"/>
      </w:pPr>
      <w:r>
        <w:t>7.4 Future performance and cost evaluation</w:t>
      </w:r>
    </w:p>
    <w:p>
      <w:pPr>
        <w:pStyle w:val="ListBullet"/>
      </w:pPr>
      <w:r>
        <w:t>Repeat each load scenario multiple times and report variability.</w:t>
      </w:r>
    </w:p>
    <w:p>
      <w:pPr>
        <w:pStyle w:val="ListBullet"/>
      </w:pPr>
      <w:r>
        <w:t>Add mixed read/write, file-upload, role-specific, endurance, and recovery-under-load scenarios.</w:t>
      </w:r>
    </w:p>
    <w:p>
      <w:pPr>
        <w:pStyle w:val="ListBullet"/>
      </w:pPr>
      <w:r>
        <w:t>Collect synchronized CPU, memory, network, storage, database-pool, and latency time series.</w:t>
      </w:r>
    </w:p>
    <w:p>
      <w:pPr>
        <w:pStyle w:val="ListBullet"/>
      </w:pPr>
      <w:r>
        <w:t>Compare local and UESTC VM performance using the same workload.</w:t>
      </w:r>
    </w:p>
    <w:p>
      <w:pPr>
        <w:pStyle w:val="ListBullet"/>
      </w:pPr>
      <w:r>
        <w:t>Define target service-level objectives for availability and latency.</w:t>
      </w:r>
    </w:p>
    <w:p>
      <w:pPr>
        <w:pStyle w:val="ListBullet"/>
      </w:pPr>
      <w:r>
        <w:t>Populate the cost model with verified infrastructure and operational costs.</w:t>
      </w:r>
    </w:p>
    <w:p>
      <w:pPr>
        <w:pStyle w:val="ListBullet"/>
      </w:pPr>
      <w:r>
        <w:t>Use realistic utilization rather than treating maximum Locust throughput as continuous monthly traffic.</w:t>
      </w:r>
    </w:p>
    <w:p>
      <w:pPr>
        <w:pStyle w:val="Heading2"/>
      </w:pPr>
      <w:r>
        <w:t>7.5 Future resilience and operational work</w:t>
      </w:r>
    </w:p>
    <w:p>
      <w:pPr>
        <w:pStyle w:val="ListBullet"/>
      </w:pPr>
      <w:r>
        <w:t>Create encrypted off-host PostgreSQL and MinIO backups.</w:t>
      </w:r>
    </w:p>
    <w:p>
      <w:pPr>
        <w:pStyle w:val="ListBullet"/>
      </w:pPr>
      <w:r>
        <w:t>Define backup schedules, retention rules, and automated failure alerts.</w:t>
      </w:r>
    </w:p>
    <w:p>
      <w:pPr>
        <w:pStyle w:val="ListBullet"/>
      </w:pPr>
      <w:r>
        <w:t>Measure recovery point objective and recovery time objective.</w:t>
      </w:r>
    </w:p>
    <w:p>
      <w:pPr>
        <w:pStyle w:val="ListBullet"/>
      </w:pPr>
      <w:r>
        <w:t>Evaluate PostgreSQL write-ahead-log archiving for point-in-time recovery.</w:t>
      </w:r>
    </w:p>
    <w:p>
      <w:pPr>
        <w:pStyle w:val="ListBullet"/>
      </w:pPr>
      <w:r>
        <w:t>Perform restoration on a clean second host.</w:t>
      </w:r>
    </w:p>
    <w:p>
      <w:pPr>
        <w:pStyle w:val="ListBullet"/>
      </w:pPr>
      <w:r>
        <w:t>Document an operational recovery runbook and responsible roles.</w:t>
      </w:r>
    </w:p>
    <w:p>
      <w:pPr>
        <w:pStyle w:val="ListBullet"/>
      </w:pPr>
      <w:r>
        <w:t>Evaluate high availability only after the remote single-host baseline is stable.</w:t>
      </w:r>
    </w:p>
    <w:p>
      <w:pPr>
        <w:pStyle w:val="Heading1"/>
      </w:pPr>
      <w:r>
        <w:t>8. Final Research Statement</w:t>
      </w:r>
    </w:p>
    <w:p>
      <w:r>
        <w:t>The research demonstrates that a modular open-source healthcare platform can integrate structured clinical data, protected object storage, role-based security, auditability, interoperability-oriented APIs, reproducible synthetic-data ingestion, containerized deployment, executable disaster recovery, and measured scalability within one coherent implementation.</w:t>
      </w:r>
    </w:p>
    <w:p>
      <w:r>
        <w:t>The final evidence is strong because the platform was not evaluated through a single success criterion. It was assessed through security controls, authorization outcomes, storage checksums, table-level restoration, object-level restoration, container health, and authenticated load testing.</w:t>
      </w:r>
    </w:p>
    <w:p>
      <w:r>
        <w:t>The completed work establishes a validated local foundation. The next research milestone is to transfer that foundation to the UESTC virtual machine and reproduce the evidence under the real remote deployment conditions. Only after that step should the platform be described as institutionally cloud-deployed.</w:t>
      </w:r>
    </w:p>
    <w:p>
      <w:r>
        <w:br w:type="page"/>
      </w:r>
    </w:p>
    <w:p>
      <w:pPr>
        <w:pStyle w:val="Heading1"/>
      </w:pPr>
      <w:r>
        <w:t>Appendix A. Evidence Traceability</w:t>
      </w:r>
    </w:p>
    <w:tbl>
      <w:tblPr>
        <w:tblStyle w:val="TableGrid"/>
        <w:tblW w:type="auto" w:w="0"/>
        <w:jc w:val="center"/>
        <w:tblLook w:firstColumn="1" w:firstRow="1" w:lastColumn="0" w:lastRow="0" w:noHBand="0" w:noVBand="1" w:val="04A0"/>
      </w:tblPr>
      <w:tblGrid>
        <w:gridCol w:w="4759"/>
        <w:gridCol w:w="4759"/>
      </w:tblGrid>
      <w:tr>
        <w:trPr>
          <w:tblHeader w:val="true"/>
          <w:cantSplit/>
        </w:trPr>
        <w:tc>
          <w:tcPr>
            <w:tcW w:type="dxa" w:w="4759"/>
            <w:vAlign w:val="center"/>
            <w:shd w:fill="D9E1F2"/>
          </w:tcPr>
          <w:p>
            <w:pPr>
              <w:jc w:val="left"/>
            </w:pPr>
            <w:r/>
            <w:r>
              <w:rPr>
                <w:rFonts w:ascii="Times New Roman" w:hAnsi="Times New Roman" w:eastAsia="Times New Roman"/>
                <w:b/>
                <w:sz w:val="16"/>
              </w:rPr>
              <w:t>Conclusion area</w:t>
            </w:r>
          </w:p>
        </w:tc>
        <w:tc>
          <w:tcPr>
            <w:tcW w:type="dxa" w:w="4759"/>
            <w:vAlign w:val="center"/>
            <w:shd w:fill="D9E1F2"/>
          </w:tcPr>
          <w:p>
            <w:pPr>
              <w:jc w:val="left"/>
            </w:pPr>
            <w:r/>
            <w:r>
              <w:rPr>
                <w:rFonts w:ascii="Times New Roman" w:hAnsi="Times New Roman" w:eastAsia="Times New Roman"/>
                <w:b/>
                <w:sz w:val="16"/>
              </w:rPr>
              <w:t>Primary evidence</w:t>
            </w:r>
          </w:p>
        </w:tc>
      </w:tr>
      <w:tr>
        <w:trPr>
          <w:cantSplit/>
        </w:trPr>
        <w:tc>
          <w:tcPr>
            <w:tcW w:type="dxa" w:w="4759"/>
            <w:vAlign w:val="center"/>
          </w:tcPr>
          <w:p>
            <w:pPr>
              <w:jc w:val="left"/>
            </w:pPr>
            <w:r/>
            <w:r>
              <w:rPr>
                <w:rFonts w:ascii="Times New Roman" w:hAnsi="Times New Roman" w:eastAsia="Times New Roman"/>
                <w:b w:val="0"/>
                <w:sz w:val="16"/>
              </w:rPr>
              <w:t>Overall validation</w:t>
            </w:r>
          </w:p>
        </w:tc>
        <w:tc>
          <w:tcPr>
            <w:tcW w:type="dxa" w:w="4759"/>
            <w:vAlign w:val="center"/>
          </w:tcPr>
          <w:p>
            <w:pPr>
              <w:jc w:val="left"/>
            </w:pPr>
            <w:r/>
            <w:r>
              <w:rPr>
                <w:rFonts w:ascii="Times New Roman" w:hAnsi="Times New Roman" w:eastAsia="Times New Roman"/>
                <w:b w:val="0"/>
                <w:sz w:val="16"/>
              </w:rPr>
              <w:t>docs/evidence/final_project_status.txt and final_validation_matrix.md</w:t>
            </w:r>
          </w:p>
        </w:tc>
      </w:tr>
      <w:tr>
        <w:trPr>
          <w:cantSplit/>
        </w:trPr>
        <w:tc>
          <w:tcPr>
            <w:tcW w:type="dxa" w:w="4759"/>
            <w:vAlign w:val="center"/>
          </w:tcPr>
          <w:p>
            <w:pPr>
              <w:jc w:val="left"/>
            </w:pPr>
            <w:r/>
            <w:r>
              <w:rPr>
                <w:rFonts w:ascii="Times New Roman" w:hAnsi="Times New Roman" w:eastAsia="Times New Roman"/>
                <w:b w:val="0"/>
                <w:sz w:val="16"/>
              </w:rPr>
              <w:t>Performance</w:t>
            </w:r>
          </w:p>
        </w:tc>
        <w:tc>
          <w:tcPr>
            <w:tcW w:type="dxa" w:w="4759"/>
            <w:vAlign w:val="center"/>
          </w:tcPr>
          <w:p>
            <w:pPr>
              <w:jc w:val="left"/>
            </w:pPr>
            <w:r/>
            <w:r>
              <w:rPr>
                <w:rFonts w:ascii="Times New Roman" w:hAnsi="Times New Roman" w:eastAsia="Times New Roman"/>
                <w:b w:val="0"/>
                <w:sz w:val="16"/>
              </w:rPr>
              <w:t>docs/evidence/performance_consolidated_summary.md</w:t>
            </w:r>
          </w:p>
        </w:tc>
      </w:tr>
      <w:tr>
        <w:trPr>
          <w:cantSplit/>
        </w:trPr>
        <w:tc>
          <w:tcPr>
            <w:tcW w:type="dxa" w:w="4759"/>
            <w:vAlign w:val="center"/>
          </w:tcPr>
          <w:p>
            <w:pPr>
              <w:jc w:val="left"/>
            </w:pPr>
            <w:r/>
            <w:r>
              <w:rPr>
                <w:rFonts w:ascii="Times New Roman" w:hAnsi="Times New Roman" w:eastAsia="Times New Roman"/>
                <w:b w:val="0"/>
                <w:sz w:val="16"/>
              </w:rPr>
              <w:t>Production HTTP security</w:t>
            </w:r>
          </w:p>
        </w:tc>
        <w:tc>
          <w:tcPr>
            <w:tcW w:type="dxa" w:w="4759"/>
            <w:vAlign w:val="center"/>
          </w:tcPr>
          <w:p>
            <w:pPr>
              <w:jc w:val="left"/>
            </w:pPr>
            <w:r/>
            <w:r>
              <w:rPr>
                <w:rFonts w:ascii="Times New Roman" w:hAnsi="Times New Roman" w:eastAsia="Times New Roman"/>
                <w:b w:val="0"/>
                <w:sz w:val="16"/>
              </w:rPr>
              <w:t>docs/evidence/production_security_summary.txt</w:t>
            </w:r>
          </w:p>
        </w:tc>
      </w:tr>
      <w:tr>
        <w:trPr>
          <w:cantSplit/>
        </w:trPr>
        <w:tc>
          <w:tcPr>
            <w:tcW w:type="dxa" w:w="4759"/>
            <w:vAlign w:val="center"/>
          </w:tcPr>
          <w:p>
            <w:pPr>
              <w:jc w:val="left"/>
            </w:pPr>
            <w:r/>
            <w:r>
              <w:rPr>
                <w:rFonts w:ascii="Times New Roman" w:hAnsi="Times New Roman" w:eastAsia="Times New Roman"/>
                <w:b w:val="0"/>
                <w:sz w:val="16"/>
              </w:rPr>
              <w:t>PostgreSQL recovery</w:t>
            </w:r>
          </w:p>
        </w:tc>
        <w:tc>
          <w:tcPr>
            <w:tcW w:type="dxa" w:w="4759"/>
            <w:vAlign w:val="center"/>
          </w:tcPr>
          <w:p>
            <w:pPr>
              <w:jc w:val="left"/>
            </w:pPr>
            <w:r/>
            <w:r>
              <w:rPr>
                <w:rFonts w:ascii="Times New Roman" w:hAnsi="Times New Roman" w:eastAsia="Times New Roman"/>
                <w:b w:val="0"/>
                <w:sz w:val="16"/>
              </w:rPr>
              <w:t>docs/evidence/postgres_backup_restore_summary.txt</w:t>
            </w:r>
          </w:p>
        </w:tc>
      </w:tr>
      <w:tr>
        <w:trPr>
          <w:cantSplit/>
        </w:trPr>
        <w:tc>
          <w:tcPr>
            <w:tcW w:type="dxa" w:w="4759"/>
            <w:vAlign w:val="center"/>
          </w:tcPr>
          <w:p>
            <w:pPr>
              <w:jc w:val="left"/>
            </w:pPr>
            <w:r/>
            <w:r>
              <w:rPr>
                <w:rFonts w:ascii="Times New Roman" w:hAnsi="Times New Roman" w:eastAsia="Times New Roman"/>
                <w:b w:val="0"/>
                <w:sz w:val="16"/>
              </w:rPr>
              <w:t>MinIO recovery</w:t>
            </w:r>
          </w:p>
        </w:tc>
        <w:tc>
          <w:tcPr>
            <w:tcW w:type="dxa" w:w="4759"/>
            <w:vAlign w:val="center"/>
          </w:tcPr>
          <w:p>
            <w:pPr>
              <w:jc w:val="left"/>
            </w:pPr>
            <w:r/>
            <w:r>
              <w:rPr>
                <w:rFonts w:ascii="Times New Roman" w:hAnsi="Times New Roman" w:eastAsia="Times New Roman"/>
                <w:b w:val="0"/>
                <w:sz w:val="16"/>
              </w:rPr>
              <w:t>docs/evidence/minio_backup_restore_summary.txt</w:t>
            </w:r>
          </w:p>
        </w:tc>
      </w:tr>
      <w:tr>
        <w:trPr>
          <w:cantSplit/>
        </w:trPr>
        <w:tc>
          <w:tcPr>
            <w:tcW w:type="dxa" w:w="4759"/>
            <w:vAlign w:val="center"/>
          </w:tcPr>
          <w:p>
            <w:pPr>
              <w:jc w:val="left"/>
            </w:pPr>
            <w:r/>
            <w:r>
              <w:rPr>
                <w:rFonts w:ascii="Times New Roman" w:hAnsi="Times New Roman" w:eastAsia="Times New Roman"/>
                <w:b w:val="0"/>
                <w:sz w:val="16"/>
              </w:rPr>
              <w:t>Resource and cost method</w:t>
            </w:r>
          </w:p>
        </w:tc>
        <w:tc>
          <w:tcPr>
            <w:tcW w:type="dxa" w:w="4759"/>
            <w:vAlign w:val="center"/>
          </w:tcPr>
          <w:p>
            <w:pPr>
              <w:jc w:val="left"/>
            </w:pPr>
            <w:r/>
            <w:r>
              <w:rPr>
                <w:rFonts w:ascii="Times New Roman" w:hAnsi="Times New Roman" w:eastAsia="Times New Roman"/>
                <w:b w:val="0"/>
                <w:sz w:val="16"/>
              </w:rPr>
              <w:t>docs/evidence/resource_cost_efficiency_summary.md</w:t>
            </w:r>
          </w:p>
        </w:tc>
      </w:tr>
      <w:tr>
        <w:trPr>
          <w:cantSplit/>
        </w:trPr>
        <w:tc>
          <w:tcPr>
            <w:tcW w:type="dxa" w:w="4759"/>
            <w:vAlign w:val="center"/>
          </w:tcPr>
          <w:p>
            <w:pPr>
              <w:jc w:val="left"/>
            </w:pPr>
            <w:r/>
            <w:r>
              <w:rPr>
                <w:rFonts w:ascii="Times New Roman" w:hAnsi="Times New Roman" w:eastAsia="Times New Roman"/>
                <w:b w:val="0"/>
                <w:sz w:val="16"/>
              </w:rPr>
              <w:t>Backend organization</w:t>
            </w:r>
          </w:p>
        </w:tc>
        <w:tc>
          <w:tcPr>
            <w:tcW w:type="dxa" w:w="4759"/>
            <w:vAlign w:val="center"/>
          </w:tcPr>
          <w:p>
            <w:pPr>
              <w:jc w:val="left"/>
            </w:pPr>
            <w:r/>
            <w:r>
              <w:rPr>
                <w:rFonts w:ascii="Times New Roman" w:hAnsi="Times New Roman" w:eastAsia="Times New Roman"/>
                <w:b w:val="0"/>
                <w:sz w:val="16"/>
              </w:rPr>
              <w:t>docs/02_implementation/backend_structure.txt</w:t>
            </w:r>
          </w:p>
        </w:tc>
      </w:tr>
      <w:tr>
        <w:trPr>
          <w:cantSplit/>
        </w:trPr>
        <w:tc>
          <w:tcPr>
            <w:tcW w:type="dxa" w:w="4759"/>
            <w:vAlign w:val="center"/>
          </w:tcPr>
          <w:p>
            <w:pPr>
              <w:jc w:val="left"/>
            </w:pPr>
            <w:r/>
            <w:r>
              <w:rPr>
                <w:rFonts w:ascii="Times New Roman" w:hAnsi="Times New Roman" w:eastAsia="Times New Roman"/>
                <w:b w:val="0"/>
                <w:sz w:val="16"/>
              </w:rPr>
              <w:t>Container services</w:t>
            </w:r>
          </w:p>
        </w:tc>
        <w:tc>
          <w:tcPr>
            <w:tcW w:type="dxa" w:w="4759"/>
            <w:vAlign w:val="center"/>
          </w:tcPr>
          <w:p>
            <w:pPr>
              <w:jc w:val="left"/>
            </w:pPr>
            <w:r/>
            <w:r>
              <w:rPr>
                <w:rFonts w:ascii="Times New Roman" w:hAnsi="Times New Roman" w:eastAsia="Times New Roman"/>
                <w:b w:val="0"/>
                <w:sz w:val="16"/>
              </w:rPr>
              <w:t>docs/02_implementation/docker_services.txt</w:t>
            </w:r>
          </w:p>
        </w:tc>
      </w:tr>
      <w:tr>
        <w:trPr>
          <w:cantSplit/>
        </w:trPr>
        <w:tc>
          <w:tcPr>
            <w:tcW w:type="dxa" w:w="4759"/>
            <w:vAlign w:val="center"/>
          </w:tcPr>
          <w:p>
            <w:pPr>
              <w:jc w:val="left"/>
            </w:pPr>
            <w:r/>
            <w:r>
              <w:rPr>
                <w:rFonts w:ascii="Times New Roman" w:hAnsi="Times New Roman" w:eastAsia="Times New Roman"/>
                <w:b w:val="0"/>
                <w:sz w:val="16"/>
              </w:rPr>
              <w:t>Migration state</w:t>
            </w:r>
          </w:p>
        </w:tc>
        <w:tc>
          <w:tcPr>
            <w:tcW w:type="dxa" w:w="4759"/>
            <w:vAlign w:val="center"/>
          </w:tcPr>
          <w:p>
            <w:pPr>
              <w:jc w:val="left"/>
            </w:pPr>
            <w:r/>
            <w:r>
              <w:rPr>
                <w:rFonts w:ascii="Times New Roman" w:hAnsi="Times New Roman" w:eastAsia="Times New Roman"/>
                <w:b w:val="0"/>
                <w:sz w:val="16"/>
              </w:rPr>
              <w:t>docs/02_implementation/alembic_current.txt</w:t>
            </w:r>
          </w:p>
        </w:tc>
      </w:tr>
      <w:tr>
        <w:trPr>
          <w:cantSplit/>
        </w:trPr>
        <w:tc>
          <w:tcPr>
            <w:tcW w:type="dxa" w:w="4759"/>
            <w:vAlign w:val="center"/>
          </w:tcPr>
          <w:p>
            <w:pPr>
              <w:jc w:val="left"/>
            </w:pPr>
            <w:r/>
            <w:r>
              <w:rPr>
                <w:rFonts w:ascii="Times New Roman" w:hAnsi="Times New Roman" w:eastAsia="Times New Roman"/>
                <w:b w:val="0"/>
                <w:sz w:val="16"/>
              </w:rPr>
              <w:t>Prior thesis chapters</w:t>
            </w:r>
          </w:p>
        </w:tc>
        <w:tc>
          <w:tcPr>
            <w:tcW w:type="dxa" w:w="4759"/>
            <w:vAlign w:val="center"/>
          </w:tcPr>
          <w:p>
            <w:pPr>
              <w:jc w:val="left"/>
            </w:pPr>
            <w:r/>
            <w:r>
              <w:rPr>
                <w:rFonts w:ascii="Times New Roman" w:hAnsi="Times New Roman" w:eastAsia="Times New Roman"/>
                <w:b w:val="0"/>
                <w:sz w:val="16"/>
              </w:rPr>
              <w:t>Seven Word chapters listed in docs/08_thesis_text</w:t>
            </w:r>
          </w:p>
        </w:tc>
      </w:tr>
    </w:tbl>
    <w:p/>
    <w:p>
      <w:pPr>
        <w:pStyle w:val="Heading1"/>
      </w:pPr>
      <w:r>
        <w:t>Appendix B. Repository Completion Note</w:t>
      </w:r>
    </w:p>
    <w:p>
      <w:r>
        <w:t>The supplied Git history confirms commits for the seven preceding thesis chapters. At the time of the source extraction, general_conclusion_source_extract.txt and performance_source_extract.txt were local untracked working files. They are evidence-preparation artifacts rather than thesis deliverables and should be removed or ignored after use.</w:t>
      </w:r>
    </w:p>
    <w:sectPr w:rsidR="00FC693F" w:rsidRPr="0006063C" w:rsidSect="00034616">
      <w:headerReference w:type="default" r:id="rId9"/>
      <w:footerReference w:type="default" r:id="rId10"/>
      <w:pgSz w:w="12240" w:h="15840"/>
      <w:pgMar w:top="1247" w:right="1361" w:bottom="1191"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16"/>
      </w:rPr>
      <w:t>Healthcare Cloud Platform | General Conclusion, Contributions and Future Work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jc w:val="both"/>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jc w:val="left"/>
      <w:outlineLvl w:val="0"/>
    </w:pPr>
    <w:rPr>
      <w:rFonts w:asciiTheme="majorHAnsi" w:eastAsiaTheme="majorEastAsia" w:hAnsiTheme="majorHAnsi" w:cstheme="majorBidi" w:ascii="Times New Roman" w:hAnsi="Times New Roman" w:eastAsia="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20" w:after="100"/>
      <w:jc w:val="left"/>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jc w:val="left"/>
      <w:outlineLvl w:val="2"/>
    </w:pPr>
    <w:rPr>
      <w:rFonts w:asciiTheme="majorHAnsi" w:eastAsiaTheme="majorEastAsia" w:hAnsiTheme="majorHAnsi" w:cstheme="majorBidi" w:ascii="Times New Roman" w:hAnsi="Times New Roman" w:eastAsia="Times New Roman"/>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left"/>
    </w:pPr>
    <w:rPr>
      <w:rFonts w:asciiTheme="majorHAnsi" w:eastAsiaTheme="majorEastAsia" w:hAnsiTheme="majorHAnsi" w:cstheme="majorBidi" w:ascii="Times New Roman" w:hAnsi="Times New Roman" w:eastAsia="Times New Roman"/>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icCaption">
    <w:name w:val="Academic Caption"/>
    <w:pPr>
      <w:spacing w:after="140"/>
      <w:jc w:val="center"/>
    </w:pPr>
    <w:rPr>
      <w:rFonts w:ascii="Times New Roman" w:hAnsi="Times New Roman" w:eastAsia="Times New Roman"/>
      <w: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