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Times New Roman" w:hAnsi="Times New Roman"/>
          <w:b/>
          <w:sz w:val="45"/>
        </w:rPr>
        <w:t>HEALTHCARE DATA MODEL,</w:t>
        <w:br/>
        <w:t>FHIR INTEROPERABILITY AND</w:t>
        <w:br/>
        <w:t>SYNTHEA DATA INGESTION</w:t>
      </w:r>
    </w:p>
    <w:p>
      <w:pPr>
        <w:spacing w:before="360"/>
        <w:jc w:val="center"/>
      </w:pPr>
      <w:r>
        <w:rPr>
          <w:rFonts w:ascii="Times New Roman" w:hAnsi="Times New Roman"/>
          <w:b/>
          <w:sz w:val="32"/>
        </w:rPr>
        <w:t>Healthcare Cloud Platform</w:t>
      </w:r>
    </w:p>
    <w:p>
      <w:pPr>
        <w:spacing w:before="800"/>
        <w:jc w:val="center"/>
      </w:pPr>
      <w:r>
        <w:rPr>
          <w:rFonts w:ascii="Times New Roman" w:hAnsi="Times New Roman"/>
          <w:i/>
          <w:sz w:val="23"/>
        </w:rPr>
        <w:t>A source-grounded analysis of the PostgreSQL clinical schema, hybrid object storage, FHIR-inspired API mappings, migration control, and synthetic-data ingestion workflow</w:t>
      </w:r>
    </w:p>
    <w:p>
      <w:pPr>
        <w:spacing w:before="1640"/>
        <w:jc w:val="center"/>
      </w:pPr>
      <w:r>
        <w:rPr>
          <w:rFonts w:ascii="Times New Roman" w:hAnsi="Times New Roman"/>
          <w:b/>
          <w:sz w:val="23"/>
        </w:rPr>
        <w:t>Validated clinical scale: 1,541,374 rows across patients, encounters, conditions, observations and prescriptions</w:t>
      </w:r>
    </w:p>
    <w:p>
      <w:r>
        <w:br w:type="page"/>
      </w:r>
    </w:p>
    <w:p>
      <w:pPr>
        <w:pStyle w:val="Heading1"/>
      </w:pPr>
      <w:r>
        <w:t>Executive Summary</w:t>
      </w:r>
    </w:p>
    <w:p>
      <w:r>
        <w:t>The Healthcare Cloud Platform implements a normalized relational model for patients, encounters, conditions, observations, prescriptions, diagnostic-report metadata, users, roles, and audit logs. Clinical records are stored in PostgreSQL, while binary diagnostic objects are stored privately in MinIO and referenced through bucket, object-key, size, content-type, and SHA-256 metadata.</w:t>
      </w:r>
    </w:p>
    <w:p>
      <w:r>
        <w:t>The supplied validated table inventory contains 117,581 patients, 121,649 encounters, 643,513 conditions, 592,173 observations, and 66,458 prescriptions. Foreign keys preserve core subject, encounter, prescriber, uploader, role, and audit relationships.</w:t>
      </w:r>
    </w:p>
    <w:p>
      <w:r>
        <w:t>The interoperability layer exposes JSON resources named Patient, Encounter, Observation, MedicationRequest, and Condition, together with search bundles, a minimal CapabilityStatement, and a Patient/$everything collection. The implementation is explicitly lightweight and FHIR-inspired. The source does not support a claim of full HL7 FHIR conformance.</w:t>
      </w:r>
    </w:p>
    <w:p>
      <w:r>
        <w:t>The Synthea import pipeline validates required files and headers, imports patients before dependent entities, maps external identifiers to internal keys, performs create-or-update logic, and tracks created, updated, skipped, and skip-reason counts. The uploaded source demonstrates ingestion for patients, encounters, observations, and medications. It does not show the importer that produced the condition records present in the database.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Domain</w:t>
            </w:r>
          </w:p>
        </w:tc>
        <w:tc>
          <w:tcPr>
            <w:tcW w:type="dxa" w:w="3173"/>
            <w:vAlign w:val="center"/>
            <w:shd w:fill="D9E1F2"/>
          </w:tcPr>
          <w:p>
            <w:pPr>
              <w:jc w:val="left"/>
            </w:pPr>
            <w:r/>
            <w:r>
              <w:rPr>
                <w:rFonts w:ascii="Times New Roman" w:hAnsi="Times New Roman" w:eastAsia="Times New Roman"/>
                <w:b/>
                <w:sz w:val="16"/>
              </w:rPr>
              <w:t>Implemented evidence</w:t>
            </w:r>
          </w:p>
        </w:tc>
        <w:tc>
          <w:tcPr>
            <w:tcW w:type="dxa" w:w="3173"/>
            <w:vAlign w:val="center"/>
            <w:shd w:fill="D9E1F2"/>
          </w:tcPr>
          <w:p>
            <w:pPr>
              <w:jc w:val="left"/>
            </w:pPr>
            <w:r/>
            <w:r>
              <w:rPr>
                <w:rFonts w:ascii="Times New Roman" w:hAnsi="Times New Roman" w:eastAsia="Times New Roman"/>
                <w:b/>
                <w:sz w:val="16"/>
              </w:rPr>
              <w:t>Important qualification</w:t>
            </w:r>
          </w:p>
        </w:tc>
      </w:tr>
      <w:tr>
        <w:trPr>
          <w:cantSplit/>
        </w:trPr>
        <w:tc>
          <w:tcPr>
            <w:tcW w:type="dxa" w:w="3173"/>
            <w:vAlign w:val="center"/>
          </w:tcPr>
          <w:p>
            <w:pPr>
              <w:jc w:val="left"/>
            </w:pPr>
            <w:r/>
            <w:r>
              <w:rPr>
                <w:rFonts w:ascii="Times New Roman" w:hAnsi="Times New Roman" w:eastAsia="Times New Roman"/>
                <w:b w:val="0"/>
                <w:sz w:val="16"/>
              </w:rPr>
              <w:t>Relational model</w:t>
            </w:r>
          </w:p>
        </w:tc>
        <w:tc>
          <w:tcPr>
            <w:tcW w:type="dxa" w:w="3173"/>
            <w:vAlign w:val="center"/>
          </w:tcPr>
          <w:p>
            <w:pPr>
              <w:jc w:val="left"/>
            </w:pPr>
            <w:r/>
            <w:r>
              <w:rPr>
                <w:rFonts w:ascii="Times New Roman" w:hAnsi="Times New Roman" w:eastAsia="Times New Roman"/>
                <w:b w:val="0"/>
                <w:sz w:val="16"/>
              </w:rPr>
              <w:t>Nine application and security entities plus Alembic migration state</w:t>
            </w:r>
          </w:p>
        </w:tc>
        <w:tc>
          <w:tcPr>
            <w:tcW w:type="dxa" w:w="3173"/>
            <w:vAlign w:val="center"/>
          </w:tcPr>
          <w:p>
            <w:pPr>
              <w:jc w:val="left"/>
            </w:pPr>
            <w:r/>
            <w:r>
              <w:rPr>
                <w:rFonts w:ascii="Times New Roman" w:hAnsi="Times New Roman" w:eastAsia="Times New Roman"/>
                <w:b w:val="0"/>
                <w:sz w:val="16"/>
              </w:rPr>
              <w:t>SQLAlchemy relationships are mostly represented by foreign keys rather than rich ORM relationships</w:t>
            </w:r>
          </w:p>
        </w:tc>
      </w:tr>
      <w:tr>
        <w:trPr>
          <w:cantSplit/>
        </w:trPr>
        <w:tc>
          <w:tcPr>
            <w:tcW w:type="dxa" w:w="3173"/>
            <w:vAlign w:val="center"/>
          </w:tcPr>
          <w:p>
            <w:pPr>
              <w:jc w:val="left"/>
            </w:pPr>
            <w:r/>
            <w:r>
              <w:rPr>
                <w:rFonts w:ascii="Times New Roman" w:hAnsi="Times New Roman" w:eastAsia="Times New Roman"/>
                <w:b w:val="0"/>
                <w:sz w:val="16"/>
              </w:rPr>
              <w:t>FHIR surface</w:t>
            </w:r>
          </w:p>
        </w:tc>
        <w:tc>
          <w:tcPr>
            <w:tcW w:type="dxa" w:w="3173"/>
            <w:vAlign w:val="center"/>
          </w:tcPr>
          <w:p>
            <w:pPr>
              <w:jc w:val="left"/>
            </w:pPr>
            <w:r/>
            <w:r>
              <w:rPr>
                <w:rFonts w:ascii="Times New Roman" w:hAnsi="Times New Roman" w:eastAsia="Times New Roman"/>
                <w:b w:val="0"/>
                <w:sz w:val="16"/>
              </w:rPr>
              <w:t>Patient, Encounter, Observation, MedicationRequest, Condition and Bundle-like responses</w:t>
            </w:r>
          </w:p>
        </w:tc>
        <w:tc>
          <w:tcPr>
            <w:tcW w:type="dxa" w:w="3173"/>
            <w:vAlign w:val="center"/>
          </w:tcPr>
          <w:p>
            <w:pPr>
              <w:jc w:val="left"/>
            </w:pPr>
            <w:r/>
            <w:r>
              <w:rPr>
                <w:rFonts w:ascii="Times New Roman" w:hAnsi="Times New Roman" w:eastAsia="Times New Roman"/>
                <w:b w:val="0"/>
                <w:sz w:val="16"/>
              </w:rPr>
              <w:t>FHIR-inspired JSON, not demonstrated full conformance</w:t>
            </w:r>
          </w:p>
        </w:tc>
      </w:tr>
      <w:tr>
        <w:trPr>
          <w:cantSplit/>
        </w:trPr>
        <w:tc>
          <w:tcPr>
            <w:tcW w:type="dxa" w:w="3173"/>
            <w:vAlign w:val="center"/>
          </w:tcPr>
          <w:p>
            <w:pPr>
              <w:jc w:val="left"/>
            </w:pPr>
            <w:r/>
            <w:r>
              <w:rPr>
                <w:rFonts w:ascii="Times New Roman" w:hAnsi="Times New Roman" w:eastAsia="Times New Roman"/>
                <w:b w:val="0"/>
                <w:sz w:val="16"/>
              </w:rPr>
              <w:t>Hybrid storage</w:t>
            </w:r>
          </w:p>
        </w:tc>
        <w:tc>
          <w:tcPr>
            <w:tcW w:type="dxa" w:w="3173"/>
            <w:vAlign w:val="center"/>
          </w:tcPr>
          <w:p>
            <w:pPr>
              <w:jc w:val="left"/>
            </w:pPr>
            <w:r/>
            <w:r>
              <w:rPr>
                <w:rFonts w:ascii="Times New Roman" w:hAnsi="Times New Roman" w:eastAsia="Times New Roman"/>
                <w:b w:val="0"/>
                <w:sz w:val="16"/>
              </w:rPr>
              <w:t>PostgreSQL metadata plus private MinIO objects and SHA-256 verification</w:t>
            </w:r>
          </w:p>
        </w:tc>
        <w:tc>
          <w:tcPr>
            <w:tcW w:type="dxa" w:w="3173"/>
            <w:vAlign w:val="center"/>
          </w:tcPr>
          <w:p>
            <w:pPr>
              <w:jc w:val="left"/>
            </w:pPr>
            <w:r/>
            <w:r>
              <w:rPr>
                <w:rFonts w:ascii="Times New Roman" w:hAnsi="Times New Roman" w:eastAsia="Times New Roman"/>
                <w:b w:val="0"/>
                <w:sz w:val="16"/>
              </w:rPr>
              <w:t>Binary files are not represented through a FHIR Binary or full DiagnosticReport resource</w:t>
            </w:r>
          </w:p>
        </w:tc>
      </w:tr>
      <w:tr>
        <w:trPr>
          <w:cantSplit/>
        </w:trPr>
        <w:tc>
          <w:tcPr>
            <w:tcW w:type="dxa" w:w="3173"/>
            <w:vAlign w:val="center"/>
          </w:tcPr>
          <w:p>
            <w:pPr>
              <w:jc w:val="left"/>
            </w:pPr>
            <w:r/>
            <w:r>
              <w:rPr>
                <w:rFonts w:ascii="Times New Roman" w:hAnsi="Times New Roman" w:eastAsia="Times New Roman"/>
                <w:b w:val="0"/>
                <w:sz w:val="16"/>
              </w:rPr>
              <w:t>Synthea ingestion</w:t>
            </w:r>
          </w:p>
        </w:tc>
        <w:tc>
          <w:tcPr>
            <w:tcW w:type="dxa" w:w="3173"/>
            <w:vAlign w:val="center"/>
          </w:tcPr>
          <w:p>
            <w:pPr>
              <w:jc w:val="left"/>
            </w:pPr>
            <w:r/>
            <w:r>
              <w:rPr>
                <w:rFonts w:ascii="Times New Roman" w:hAnsi="Times New Roman" w:eastAsia="Times New Roman"/>
                <w:b w:val="0"/>
                <w:sz w:val="16"/>
              </w:rPr>
              <w:t>Patients, encounters, observations and medications</w:t>
            </w:r>
          </w:p>
        </w:tc>
        <w:tc>
          <w:tcPr>
            <w:tcW w:type="dxa" w:w="3173"/>
            <w:vAlign w:val="center"/>
          </w:tcPr>
          <w:p>
            <w:pPr>
              <w:jc w:val="left"/>
            </w:pPr>
            <w:r/>
            <w:r>
              <w:rPr>
                <w:rFonts w:ascii="Times New Roman" w:hAnsi="Times New Roman" w:eastAsia="Times New Roman"/>
                <w:b w:val="0"/>
                <w:sz w:val="16"/>
              </w:rPr>
              <w:t>Condition ingestion source is absent from the uploaded extract</w:t>
            </w:r>
          </w:p>
        </w:tc>
      </w:tr>
    </w:tbl>
    <w:p/>
    <w:p>
      <w:pPr>
        <w:pStyle w:val="Heading1"/>
      </w:pPr>
      <w:r>
        <w:t>1. Healthcare Data Architecture</w:t>
      </w:r>
    </w:p>
    <w:p>
      <w:r>
        <w:t>The platform separates structured clinical and security data from binary objects. PostgreSQL is the authoritative store for identifiers, relationships, timestamps, codes, statuses, values, user roles, audit events, and diagnostic-report metadata. MinIO stores the report bytes. The application backend is the only component exposed to clients for report upload and download.</w:t>
      </w:r>
    </w:p>
    <w:p>
      <w:pPr>
        <w:jc w:val="center"/>
      </w:pPr>
      <w:r>
        <w:drawing>
          <wp:inline xmlns:a="http://schemas.openxmlformats.org/drawingml/2006/main" xmlns:pic="http://schemas.openxmlformats.org/drawingml/2006/picture">
            <wp:extent cx="6309360" cy="4083453"/>
            <wp:docPr id="1" name="Picture 1"/>
            <wp:cNvGraphicFramePr>
              <a:graphicFrameLocks noChangeAspect="1"/>
            </wp:cNvGraphicFramePr>
            <a:graphic>
              <a:graphicData uri="http://schemas.openxmlformats.org/drawingml/2006/picture">
                <pic:pic>
                  <pic:nvPicPr>
                    <pic:cNvPr id="0" name="relational_data_model.png"/>
                    <pic:cNvPicPr/>
                  </pic:nvPicPr>
                  <pic:blipFill>
                    <a:blip r:embed="rId11"/>
                    <a:stretch>
                      <a:fillRect/>
                    </a:stretch>
                  </pic:blipFill>
                  <pic:spPr>
                    <a:xfrm>
                      <a:off x="0" y="0"/>
                      <a:ext cx="6309360" cy="4083453"/>
                    </a:xfrm>
                    <a:prstGeom prst="rect"/>
                  </pic:spPr>
                </pic:pic>
              </a:graphicData>
            </a:graphic>
          </wp:inline>
        </w:drawing>
      </w:r>
    </w:p>
    <w:p>
      <w:pPr>
        <w:pStyle w:val="AcademicCaption"/>
      </w:pPr>
      <w:r>
        <w:t>Figure 1. Relational healthcare data model and principal foreign-key paths.</w:t>
      </w:r>
    </w:p>
    <w:p>
      <w:r>
        <w:t>The database design follows a patient-centered structure. Patient is the principal subject entity. Encounters are mandatory children of patients. Conditions, observations, prescriptions, and diagnostic reports are linked to a patient and may optionally reference an encounter. Prescriptions may reference a prescriber, diagnostic reports may reference an uploader, and audit records may reference the user responsible for an event.</w:t>
      </w:r>
    </w:p>
    <w:p>
      <w:pPr>
        <w:pStyle w:val="Heading1"/>
      </w:pPr>
      <w:r>
        <w:t>2. Core PostgreSQL Clinical Entities</w:t>
      </w:r>
    </w:p>
    <w:p>
      <w:pPr>
        <w:pStyle w:val="Heading2"/>
      </w:pPr>
      <w:r>
        <w:t>2.1 Patient</w:t>
      </w:r>
    </w:p>
    <w:p>
      <w:r>
        <w:t>The Patient table uses an integer primary key and a globally unique medical record number. The combination of source_system and external_id is also unique, supporting multi-source ingestion without treating external identifiers as globally unique. Demographic fields include name, date of birth, gender, phone, email, address, city, state, postal code, and country.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Patient design element</w:t>
            </w:r>
          </w:p>
        </w:tc>
        <w:tc>
          <w:tcPr>
            <w:tcW w:type="dxa" w:w="4759"/>
            <w:vAlign w:val="center"/>
            <w:shd w:fill="D9E1F2"/>
          </w:tcPr>
          <w:p>
            <w:pPr>
              <w:jc w:val="left"/>
            </w:pPr>
            <w:r/>
            <w:r>
              <w:rPr>
                <w:rFonts w:ascii="Times New Roman" w:hAnsi="Times New Roman" w:eastAsia="Times New Roman"/>
                <w:b/>
                <w:sz w:val="17"/>
              </w:rPr>
              <w:t>Implementation</w:t>
            </w:r>
          </w:p>
        </w:tc>
      </w:tr>
      <w:tr>
        <w:trPr>
          <w:cantSplit/>
        </w:trPr>
        <w:tc>
          <w:tcPr>
            <w:tcW w:type="dxa" w:w="4759"/>
            <w:vAlign w:val="center"/>
          </w:tcPr>
          <w:p>
            <w:pPr>
              <w:jc w:val="left"/>
            </w:pPr>
            <w:r/>
            <w:r>
              <w:rPr>
                <w:rFonts w:ascii="Times New Roman" w:hAnsi="Times New Roman" w:eastAsia="Times New Roman"/>
                <w:b w:val="0"/>
                <w:sz w:val="17"/>
              </w:rPr>
              <w:t>Primary identifier</w:t>
            </w:r>
          </w:p>
        </w:tc>
        <w:tc>
          <w:tcPr>
            <w:tcW w:type="dxa" w:w="4759"/>
            <w:vAlign w:val="center"/>
          </w:tcPr>
          <w:p>
            <w:pPr>
              <w:jc w:val="left"/>
            </w:pPr>
            <w:r/>
            <w:r>
              <w:rPr>
                <w:rFonts w:ascii="Times New Roman" w:hAnsi="Times New Roman" w:eastAsia="Times New Roman"/>
                <w:b w:val="0"/>
                <w:sz w:val="17"/>
              </w:rPr>
              <w:t>Integer id</w:t>
            </w:r>
          </w:p>
        </w:tc>
      </w:tr>
      <w:tr>
        <w:trPr>
          <w:cantSplit/>
        </w:trPr>
        <w:tc>
          <w:tcPr>
            <w:tcW w:type="dxa" w:w="4759"/>
            <w:vAlign w:val="center"/>
          </w:tcPr>
          <w:p>
            <w:pPr>
              <w:jc w:val="left"/>
            </w:pPr>
            <w:r/>
            <w:r>
              <w:rPr>
                <w:rFonts w:ascii="Times New Roman" w:hAnsi="Times New Roman" w:eastAsia="Times New Roman"/>
                <w:b w:val="0"/>
                <w:sz w:val="17"/>
              </w:rPr>
              <w:t>Clinical identifier</w:t>
            </w:r>
          </w:p>
        </w:tc>
        <w:tc>
          <w:tcPr>
            <w:tcW w:type="dxa" w:w="4759"/>
            <w:vAlign w:val="center"/>
          </w:tcPr>
          <w:p>
            <w:pPr>
              <w:jc w:val="left"/>
            </w:pPr>
            <w:r/>
            <w:r>
              <w:rPr>
                <w:rFonts w:ascii="Times New Roman" w:hAnsi="Times New Roman" w:eastAsia="Times New Roman"/>
                <w:b w:val="0"/>
                <w:sz w:val="17"/>
              </w:rPr>
              <w:t>Unique medical_record_number</w:t>
            </w:r>
          </w:p>
        </w:tc>
      </w:tr>
      <w:tr>
        <w:trPr>
          <w:cantSplit/>
        </w:trPr>
        <w:tc>
          <w:tcPr>
            <w:tcW w:type="dxa" w:w="4759"/>
            <w:vAlign w:val="center"/>
          </w:tcPr>
          <w:p>
            <w:pPr>
              <w:jc w:val="left"/>
            </w:pPr>
            <w:r/>
            <w:r>
              <w:rPr>
                <w:rFonts w:ascii="Times New Roman" w:hAnsi="Times New Roman" w:eastAsia="Times New Roman"/>
                <w:b w:val="0"/>
                <w:sz w:val="17"/>
              </w:rPr>
              <w:t>Source identity</w:t>
            </w:r>
          </w:p>
        </w:tc>
        <w:tc>
          <w:tcPr>
            <w:tcW w:type="dxa" w:w="4759"/>
            <w:vAlign w:val="center"/>
          </w:tcPr>
          <w:p>
            <w:pPr>
              <w:jc w:val="left"/>
            </w:pPr>
            <w:r/>
            <w:r>
              <w:rPr>
                <w:rFonts w:ascii="Times New Roman" w:hAnsi="Times New Roman" w:eastAsia="Times New Roman"/>
                <w:b w:val="0"/>
                <w:sz w:val="17"/>
              </w:rPr>
              <w:t>Unique pair: source_system + external_id</w:t>
            </w:r>
          </w:p>
        </w:tc>
      </w:tr>
      <w:tr>
        <w:trPr>
          <w:cantSplit/>
        </w:trPr>
        <w:tc>
          <w:tcPr>
            <w:tcW w:type="dxa" w:w="4759"/>
            <w:vAlign w:val="center"/>
          </w:tcPr>
          <w:p>
            <w:pPr>
              <w:jc w:val="left"/>
            </w:pPr>
            <w:r/>
            <w:r>
              <w:rPr>
                <w:rFonts w:ascii="Times New Roman" w:hAnsi="Times New Roman" w:eastAsia="Times New Roman"/>
                <w:b w:val="0"/>
                <w:sz w:val="17"/>
              </w:rPr>
              <w:t>Demographics</w:t>
            </w:r>
          </w:p>
        </w:tc>
        <w:tc>
          <w:tcPr>
            <w:tcW w:type="dxa" w:w="4759"/>
            <w:vAlign w:val="center"/>
          </w:tcPr>
          <w:p>
            <w:pPr>
              <w:jc w:val="left"/>
            </w:pPr>
            <w:r/>
            <w:r>
              <w:rPr>
                <w:rFonts w:ascii="Times New Roman" w:hAnsi="Times New Roman" w:eastAsia="Times New Roman"/>
                <w:b w:val="0"/>
                <w:sz w:val="17"/>
              </w:rPr>
              <w:t>Name, birth date, gender, contact and address fields</w:t>
            </w:r>
          </w:p>
        </w:tc>
      </w:tr>
      <w:tr>
        <w:trPr>
          <w:cantSplit/>
        </w:trPr>
        <w:tc>
          <w:tcPr>
            <w:tcW w:type="dxa" w:w="4759"/>
            <w:vAlign w:val="center"/>
          </w:tcPr>
          <w:p>
            <w:pPr>
              <w:jc w:val="left"/>
            </w:pPr>
            <w:r/>
            <w:r>
              <w:rPr>
                <w:rFonts w:ascii="Times New Roman" w:hAnsi="Times New Roman" w:eastAsia="Times New Roman"/>
                <w:b w:val="0"/>
                <w:sz w:val="17"/>
              </w:rPr>
              <w:t>Lifecycle metadata</w:t>
            </w:r>
          </w:p>
        </w:tc>
        <w:tc>
          <w:tcPr>
            <w:tcW w:type="dxa" w:w="4759"/>
            <w:vAlign w:val="center"/>
          </w:tcPr>
          <w:p>
            <w:pPr>
              <w:jc w:val="left"/>
            </w:pPr>
            <w:r/>
            <w:r>
              <w:rPr>
                <w:rFonts w:ascii="Times New Roman" w:hAnsi="Times New Roman" w:eastAsia="Times New Roman"/>
                <w:b w:val="0"/>
                <w:sz w:val="17"/>
              </w:rPr>
              <w:t>created_at and updated_at</w:t>
            </w:r>
          </w:p>
        </w:tc>
      </w:tr>
    </w:tbl>
    <w:p/>
    <w:p>
      <w:pPr>
        <w:pStyle w:val="Heading2"/>
      </w:pPr>
      <w:r>
        <w:t>2.2 Encounter</w:t>
      </w:r>
    </w:p>
    <w:p>
      <w:r>
        <w:t>Encounter requires a valid patient_id and records encounter type, status, start time, optional end time, and optional location. API validation prevents an end time earlier than the start time. The source-system and external-identifier pair is unique.</w:t>
      </w:r>
    </w:p>
    <w:p>
      <w:pPr>
        <w:pStyle w:val="Heading2"/>
      </w:pPr>
      <w:r>
        <w:t>2.3 Condition</w:t>
      </w:r>
    </w:p>
    <w:p>
      <w:r>
        <w:t>Condition records contain patient and optional encounter relationships, code and code-system values, display text, clinical status, optional verification status, onset, abatement, and recorded times. Indexes support searches by patient, code, status, onset time, source system, external identifier, and encounter.</w:t>
      </w:r>
    </w:p>
    <w:p>
      <w:pPr>
        <w:pStyle w:val="Heading2"/>
      </w:pPr>
      <w:r>
        <w:t>2.4 Observation</w:t>
      </w:r>
    </w:p>
    <w:p>
      <w:r>
        <w:t>Observation supports numeric and textual results. A create request must supply at least one of value_numeric or value_text. Numeric values use Numeric(18,6). The record also supports unit, reference range, category, code, code system, display name, status, observation time, and issue time. A composite patient-and-observed-time index supports chronological patient queries.</w:t>
      </w:r>
    </w:p>
    <w:p>
      <w:pPr>
        <w:pStyle w:val="Heading2"/>
      </w:pPr>
      <w:r>
        <w:t>2.5 Prescription</w:t>
      </w:r>
    </w:p>
    <w:p>
      <w:r>
        <w:t>Prescription links a medication order to a patient, an optional encounter, and an optional prescriber. It records medication identity, dosage, unit, route, frequency, instructions, status, authored time, and optional treatment dates. Validation requires the end date not to precede the start date and requires a dosage unit whenever a dosage amount is present.</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Entity</w:t>
            </w:r>
          </w:p>
        </w:tc>
        <w:tc>
          <w:tcPr>
            <w:tcW w:type="dxa" w:w="3173"/>
            <w:vAlign w:val="center"/>
            <w:shd w:fill="D9E1F2"/>
          </w:tcPr>
          <w:p>
            <w:pPr>
              <w:jc w:val="left"/>
            </w:pPr>
            <w:r/>
            <w:r>
              <w:rPr>
                <w:rFonts w:ascii="Times New Roman" w:hAnsi="Times New Roman" w:eastAsia="Times New Roman"/>
                <w:b/>
                <w:sz w:val="17"/>
              </w:rPr>
              <w:t>Validated rows</w:t>
            </w:r>
          </w:p>
        </w:tc>
        <w:tc>
          <w:tcPr>
            <w:tcW w:type="dxa" w:w="3173"/>
            <w:vAlign w:val="center"/>
            <w:shd w:fill="D9E1F2"/>
          </w:tcPr>
          <w:p>
            <w:pPr>
              <w:jc w:val="left"/>
            </w:pPr>
            <w:r/>
            <w:r>
              <w:rPr>
                <w:rFonts w:ascii="Times New Roman" w:hAnsi="Times New Roman" w:eastAsia="Times New Roman"/>
                <w:b/>
                <w:sz w:val="17"/>
              </w:rPr>
              <w:t>Key integrity feature</w:t>
            </w:r>
          </w:p>
        </w:tc>
      </w:tr>
      <w:tr>
        <w:trPr>
          <w:cantSplit/>
        </w:trPr>
        <w:tc>
          <w:tcPr>
            <w:tcW w:type="dxa" w:w="3173"/>
            <w:vAlign w:val="center"/>
          </w:tcPr>
          <w:p>
            <w:pPr>
              <w:jc w:val="left"/>
            </w:pPr>
            <w:r/>
            <w:r>
              <w:rPr>
                <w:rFonts w:ascii="Times New Roman" w:hAnsi="Times New Roman" w:eastAsia="Times New Roman"/>
                <w:b w:val="0"/>
                <w:sz w:val="17"/>
              </w:rPr>
              <w:t>Patients</w:t>
            </w:r>
          </w:p>
        </w:tc>
        <w:tc>
          <w:tcPr>
            <w:tcW w:type="dxa" w:w="3173"/>
            <w:vAlign w:val="center"/>
          </w:tcPr>
          <w:p>
            <w:pPr>
              <w:jc w:val="left"/>
            </w:pPr>
            <w:r/>
            <w:r>
              <w:rPr>
                <w:rFonts w:ascii="Times New Roman" w:hAnsi="Times New Roman" w:eastAsia="Times New Roman"/>
                <w:b w:val="0"/>
                <w:sz w:val="17"/>
              </w:rPr>
              <w:t>117,581</w:t>
            </w:r>
          </w:p>
        </w:tc>
        <w:tc>
          <w:tcPr>
            <w:tcW w:type="dxa" w:w="3173"/>
            <w:vAlign w:val="center"/>
          </w:tcPr>
          <w:p>
            <w:pPr>
              <w:jc w:val="left"/>
            </w:pPr>
            <w:r/>
            <w:r>
              <w:rPr>
                <w:rFonts w:ascii="Times New Roman" w:hAnsi="Times New Roman" w:eastAsia="Times New Roman"/>
                <w:b w:val="0"/>
                <w:sz w:val="17"/>
              </w:rPr>
              <w:t>Unique MRN and source identity</w:t>
            </w:r>
          </w:p>
        </w:tc>
      </w:tr>
      <w:tr>
        <w:trPr>
          <w:cantSplit/>
        </w:trPr>
        <w:tc>
          <w:tcPr>
            <w:tcW w:type="dxa" w:w="3173"/>
            <w:vAlign w:val="center"/>
          </w:tcPr>
          <w:p>
            <w:pPr>
              <w:jc w:val="left"/>
            </w:pPr>
            <w:r/>
            <w:r>
              <w:rPr>
                <w:rFonts w:ascii="Times New Roman" w:hAnsi="Times New Roman" w:eastAsia="Times New Roman"/>
                <w:b w:val="0"/>
                <w:sz w:val="17"/>
              </w:rPr>
              <w:t>Encounters</w:t>
            </w:r>
          </w:p>
        </w:tc>
        <w:tc>
          <w:tcPr>
            <w:tcW w:type="dxa" w:w="3173"/>
            <w:vAlign w:val="center"/>
          </w:tcPr>
          <w:p>
            <w:pPr>
              <w:jc w:val="left"/>
            </w:pPr>
            <w:r/>
            <w:r>
              <w:rPr>
                <w:rFonts w:ascii="Times New Roman" w:hAnsi="Times New Roman" w:eastAsia="Times New Roman"/>
                <w:b w:val="0"/>
                <w:sz w:val="17"/>
              </w:rPr>
              <w:t>121,649</w:t>
            </w:r>
          </w:p>
        </w:tc>
        <w:tc>
          <w:tcPr>
            <w:tcW w:type="dxa" w:w="3173"/>
            <w:vAlign w:val="center"/>
          </w:tcPr>
          <w:p>
            <w:pPr>
              <w:jc w:val="left"/>
            </w:pPr>
            <w:r/>
            <w:r>
              <w:rPr>
                <w:rFonts w:ascii="Times New Roman" w:hAnsi="Times New Roman" w:eastAsia="Times New Roman"/>
                <w:b w:val="0"/>
                <w:sz w:val="17"/>
              </w:rPr>
              <w:t>Required patient relation</w:t>
            </w:r>
          </w:p>
        </w:tc>
      </w:tr>
      <w:tr>
        <w:trPr>
          <w:cantSplit/>
        </w:trPr>
        <w:tc>
          <w:tcPr>
            <w:tcW w:type="dxa" w:w="3173"/>
            <w:vAlign w:val="center"/>
          </w:tcPr>
          <w:p>
            <w:pPr>
              <w:jc w:val="left"/>
            </w:pPr>
            <w:r/>
            <w:r>
              <w:rPr>
                <w:rFonts w:ascii="Times New Roman" w:hAnsi="Times New Roman" w:eastAsia="Times New Roman"/>
                <w:b w:val="0"/>
                <w:sz w:val="17"/>
              </w:rPr>
              <w:t>Conditions</w:t>
            </w:r>
          </w:p>
        </w:tc>
        <w:tc>
          <w:tcPr>
            <w:tcW w:type="dxa" w:w="3173"/>
            <w:vAlign w:val="center"/>
          </w:tcPr>
          <w:p>
            <w:pPr>
              <w:jc w:val="left"/>
            </w:pPr>
            <w:r/>
            <w:r>
              <w:rPr>
                <w:rFonts w:ascii="Times New Roman" w:hAnsi="Times New Roman" w:eastAsia="Times New Roman"/>
                <w:b w:val="0"/>
                <w:sz w:val="17"/>
              </w:rPr>
              <w:t>643,513</w:t>
            </w:r>
          </w:p>
        </w:tc>
        <w:tc>
          <w:tcPr>
            <w:tcW w:type="dxa" w:w="3173"/>
            <w:vAlign w:val="center"/>
          </w:tcPr>
          <w:p>
            <w:pPr>
              <w:jc w:val="left"/>
            </w:pPr>
            <w:r/>
            <w:r>
              <w:rPr>
                <w:rFonts w:ascii="Times New Roman" w:hAnsi="Times New Roman" w:eastAsia="Times New Roman"/>
                <w:b w:val="0"/>
                <w:sz w:val="17"/>
              </w:rPr>
              <w:t>Patient plus optional encounter</w:t>
            </w:r>
          </w:p>
        </w:tc>
      </w:tr>
      <w:tr>
        <w:trPr>
          <w:cantSplit/>
        </w:trPr>
        <w:tc>
          <w:tcPr>
            <w:tcW w:type="dxa" w:w="3173"/>
            <w:vAlign w:val="center"/>
          </w:tcPr>
          <w:p>
            <w:pPr>
              <w:jc w:val="left"/>
            </w:pPr>
            <w:r/>
            <w:r>
              <w:rPr>
                <w:rFonts w:ascii="Times New Roman" w:hAnsi="Times New Roman" w:eastAsia="Times New Roman"/>
                <w:b w:val="0"/>
                <w:sz w:val="17"/>
              </w:rPr>
              <w:t>Observations</w:t>
            </w:r>
          </w:p>
        </w:tc>
        <w:tc>
          <w:tcPr>
            <w:tcW w:type="dxa" w:w="3173"/>
            <w:vAlign w:val="center"/>
          </w:tcPr>
          <w:p>
            <w:pPr>
              <w:jc w:val="left"/>
            </w:pPr>
            <w:r/>
            <w:r>
              <w:rPr>
                <w:rFonts w:ascii="Times New Roman" w:hAnsi="Times New Roman" w:eastAsia="Times New Roman"/>
                <w:b w:val="0"/>
                <w:sz w:val="17"/>
              </w:rPr>
              <w:t>592,173</w:t>
            </w:r>
          </w:p>
        </w:tc>
        <w:tc>
          <w:tcPr>
            <w:tcW w:type="dxa" w:w="3173"/>
            <w:vAlign w:val="center"/>
          </w:tcPr>
          <w:p>
            <w:pPr>
              <w:jc w:val="left"/>
            </w:pPr>
            <w:r/>
            <w:r>
              <w:rPr>
                <w:rFonts w:ascii="Times New Roman" w:hAnsi="Times New Roman" w:eastAsia="Times New Roman"/>
                <w:b w:val="0"/>
                <w:sz w:val="17"/>
              </w:rPr>
              <w:t>Numeric or textual clinical result</w:t>
            </w:r>
          </w:p>
        </w:tc>
      </w:tr>
      <w:tr>
        <w:trPr>
          <w:cantSplit/>
        </w:trPr>
        <w:tc>
          <w:tcPr>
            <w:tcW w:type="dxa" w:w="3173"/>
            <w:vAlign w:val="center"/>
          </w:tcPr>
          <w:p>
            <w:pPr>
              <w:jc w:val="left"/>
            </w:pPr>
            <w:r/>
            <w:r>
              <w:rPr>
                <w:rFonts w:ascii="Times New Roman" w:hAnsi="Times New Roman" w:eastAsia="Times New Roman"/>
                <w:b w:val="0"/>
                <w:sz w:val="17"/>
              </w:rPr>
              <w:t>Prescriptions</w:t>
            </w:r>
          </w:p>
        </w:tc>
        <w:tc>
          <w:tcPr>
            <w:tcW w:type="dxa" w:w="3173"/>
            <w:vAlign w:val="center"/>
          </w:tcPr>
          <w:p>
            <w:pPr>
              <w:jc w:val="left"/>
            </w:pPr>
            <w:r/>
            <w:r>
              <w:rPr>
                <w:rFonts w:ascii="Times New Roman" w:hAnsi="Times New Roman" w:eastAsia="Times New Roman"/>
                <w:b w:val="0"/>
                <w:sz w:val="17"/>
              </w:rPr>
              <w:t>66,458</w:t>
            </w:r>
          </w:p>
        </w:tc>
        <w:tc>
          <w:tcPr>
            <w:tcW w:type="dxa" w:w="3173"/>
            <w:vAlign w:val="center"/>
          </w:tcPr>
          <w:p>
            <w:pPr>
              <w:jc w:val="left"/>
            </w:pPr>
            <w:r/>
            <w:r>
              <w:rPr>
                <w:rFonts w:ascii="Times New Roman" w:hAnsi="Times New Roman" w:eastAsia="Times New Roman"/>
                <w:b w:val="0"/>
                <w:sz w:val="17"/>
              </w:rPr>
              <w:t>Patient, optional encounter and prescriber</w:t>
            </w:r>
          </w:p>
        </w:tc>
      </w:tr>
    </w:tbl>
    <w:p/>
    <w:p>
      <w:pPr>
        <w:jc w:val="center"/>
      </w:pPr>
      <w:r>
        <w:drawing>
          <wp:inline xmlns:a="http://schemas.openxmlformats.org/drawingml/2006/main" xmlns:pic="http://schemas.openxmlformats.org/drawingml/2006/picture">
            <wp:extent cx="5760720" cy="3709988"/>
            <wp:docPr id="2" name="Picture 2"/>
            <wp:cNvGraphicFramePr>
              <a:graphicFrameLocks noChangeAspect="1"/>
            </wp:cNvGraphicFramePr>
            <a:graphic>
              <a:graphicData uri="http://schemas.openxmlformats.org/drawingml/2006/picture">
                <pic:pic>
                  <pic:nvPicPr>
                    <pic:cNvPr id="0" name="clinical_dataset_scale.png"/>
                    <pic:cNvPicPr/>
                  </pic:nvPicPr>
                  <pic:blipFill>
                    <a:blip r:embed="rId12"/>
                    <a:stretch>
                      <a:fillRect/>
                    </a:stretch>
                  </pic:blipFill>
                  <pic:spPr>
                    <a:xfrm>
                      <a:off x="0" y="0"/>
                      <a:ext cx="5760720" cy="3709988"/>
                    </a:xfrm>
                    <a:prstGeom prst="rect"/>
                  </pic:spPr>
                </pic:pic>
              </a:graphicData>
            </a:graphic>
          </wp:inline>
        </w:drawing>
      </w:r>
    </w:p>
    <w:p>
      <w:pPr>
        <w:pStyle w:val="AcademicCaption"/>
      </w:pPr>
      <w:r>
        <w:t>Figure 2. Core clinical dataset scale based on the validated database inventory.</w:t>
      </w:r>
    </w:p>
    <w:p>
      <w:pPr>
        <w:pStyle w:val="Heading1"/>
      </w:pPr>
      <w:r>
        <w:t>3. Security and Accountability Entities</w:t>
      </w:r>
    </w:p>
    <w:p>
      <w:pPr>
        <w:pStyle w:val="Heading2"/>
      </w:pPr>
      <w:r>
        <w:t>3.1 Roles and users</w:t>
      </w:r>
    </w:p>
    <w:p>
      <w:r>
        <w:t>Role contains a unique name and optional description. User contains unique username and email fields, a hashed password, an active-state flag, and a mandatory foreign key to Role. The demonstrated design supports the six operational roles used elsewhere in the project.</w:t>
      </w:r>
    </w:p>
    <w:p>
      <w:pPr>
        <w:pStyle w:val="Heading2"/>
      </w:pPr>
      <w:r>
        <w:t>3.2 Audit logs</w:t>
      </w:r>
    </w:p>
    <w:p>
      <w:r>
        <w:t>AuditLog stores action, outcome, resource type, resource identifier, HTTP method, endpoint, IP address, user agent, details, and creation time. User linkage is optional so that events can still be recorded when a user identity is unavailable. Composite indexes support user-time and action-time investigations.</w:t>
      </w:r>
    </w:p>
    <w:p>
      <w:r>
        <w:t>The model documentation calls audit records immutable, but the uploaded database definition does not show a database trigger, append-only permission model, or update/delete prohibition. Immutability is therefore an intended application property rather than a demonstrated database-enforced guarantee.</w:t>
      </w:r>
    </w:p>
    <w:p>
      <w:pPr>
        <w:pStyle w:val="Heading1"/>
      </w:pPr>
      <w:r>
        <w:t>4. Hybrid Diagnostic-Report Storage</w:t>
      </w:r>
    </w:p>
    <w:p>
      <w:pPr>
        <w:jc w:val="center"/>
      </w:pPr>
      <w:r>
        <w:drawing>
          <wp:inline xmlns:a="http://schemas.openxmlformats.org/drawingml/2006/main" xmlns:pic="http://schemas.openxmlformats.org/drawingml/2006/picture">
            <wp:extent cx="5943600" cy="3816838"/>
            <wp:docPr id="3" name="Picture 3"/>
            <wp:cNvGraphicFramePr>
              <a:graphicFrameLocks noChangeAspect="1"/>
            </wp:cNvGraphicFramePr>
            <a:graphic>
              <a:graphicData uri="http://schemas.openxmlformats.org/drawingml/2006/picture">
                <pic:pic>
                  <pic:nvPicPr>
                    <pic:cNvPr id="0" name="hybrid_storage_architecture.png"/>
                    <pic:cNvPicPr/>
                  </pic:nvPicPr>
                  <pic:blipFill>
                    <a:blip r:embed="rId13"/>
                    <a:stretch>
                      <a:fillRect/>
                    </a:stretch>
                  </pic:blipFill>
                  <pic:spPr>
                    <a:xfrm>
                      <a:off x="0" y="0"/>
                      <a:ext cx="5943600" cy="3816838"/>
                    </a:xfrm>
                    <a:prstGeom prst="rect"/>
                  </pic:spPr>
                </pic:pic>
              </a:graphicData>
            </a:graphic>
          </wp:inline>
        </w:drawing>
      </w:r>
    </w:p>
    <w:p>
      <w:pPr>
        <w:pStyle w:val="AcademicCaption"/>
      </w:pPr>
      <w:r>
        <w:t>Figure 3. Hybrid persistence for diagnostic-report metadata and binary objects.</w:t>
      </w:r>
    </w:p>
    <w:p>
      <w:r>
        <w:t>DiagnosticReport stores patient, optional encounter, and optional uploader relationships together with report type, status, title, conclusion, issue time, original filename, content type, byte size, and SHA-256 digest. The combination of bucket_name and object_key is unique.</w:t>
      </w:r>
    </w:p>
    <w:p>
      <w:r>
        <w:t>Uploads are restricted to PDF, plain text, JPEG, and PNG, with a 10 MB application-level maximum. The endpoint validates patient and encounter consistency before storage. Downloads pass through the backend, retrieve bytes from private MinIO, recompute SHA-256 when a checksum is stored, and return HTTP 409 if integrity verification fails.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Control</w:t>
            </w:r>
          </w:p>
        </w:tc>
        <w:tc>
          <w:tcPr>
            <w:tcW w:type="dxa" w:w="4759"/>
            <w:vAlign w:val="center"/>
            <w:shd w:fill="D9E1F2"/>
          </w:tcPr>
          <w:p>
            <w:pPr>
              <w:jc w:val="left"/>
            </w:pPr>
            <w:r/>
            <w:r>
              <w:rPr>
                <w:rFonts w:ascii="Times New Roman" w:hAnsi="Times New Roman" w:eastAsia="Times New Roman"/>
                <w:b/>
                <w:sz w:val="17"/>
              </w:rPr>
              <w:t>Implementation</w:t>
            </w:r>
          </w:p>
        </w:tc>
      </w:tr>
      <w:tr>
        <w:trPr>
          <w:cantSplit/>
        </w:trPr>
        <w:tc>
          <w:tcPr>
            <w:tcW w:type="dxa" w:w="4759"/>
            <w:vAlign w:val="center"/>
          </w:tcPr>
          <w:p>
            <w:pPr>
              <w:jc w:val="left"/>
            </w:pPr>
            <w:r/>
            <w:r>
              <w:rPr>
                <w:rFonts w:ascii="Times New Roman" w:hAnsi="Times New Roman" w:eastAsia="Times New Roman"/>
                <w:b w:val="0"/>
                <w:sz w:val="17"/>
              </w:rPr>
              <w:t>Storage separation</w:t>
            </w:r>
          </w:p>
        </w:tc>
        <w:tc>
          <w:tcPr>
            <w:tcW w:type="dxa" w:w="4759"/>
            <w:vAlign w:val="center"/>
          </w:tcPr>
          <w:p>
            <w:pPr>
              <w:jc w:val="left"/>
            </w:pPr>
            <w:r/>
            <w:r>
              <w:rPr>
                <w:rFonts w:ascii="Times New Roman" w:hAnsi="Times New Roman" w:eastAsia="Times New Roman"/>
                <w:b w:val="0"/>
                <w:sz w:val="17"/>
              </w:rPr>
              <w:t>Metadata in PostgreSQL; object bytes in MinIO</w:t>
            </w:r>
          </w:p>
        </w:tc>
      </w:tr>
      <w:tr>
        <w:trPr>
          <w:cantSplit/>
        </w:trPr>
        <w:tc>
          <w:tcPr>
            <w:tcW w:type="dxa" w:w="4759"/>
            <w:vAlign w:val="center"/>
          </w:tcPr>
          <w:p>
            <w:pPr>
              <w:jc w:val="left"/>
            </w:pPr>
            <w:r/>
            <w:r>
              <w:rPr>
                <w:rFonts w:ascii="Times New Roman" w:hAnsi="Times New Roman" w:eastAsia="Times New Roman"/>
                <w:b w:val="0"/>
                <w:sz w:val="17"/>
              </w:rPr>
              <w:t>Object uniqueness</w:t>
            </w:r>
          </w:p>
        </w:tc>
        <w:tc>
          <w:tcPr>
            <w:tcW w:type="dxa" w:w="4759"/>
            <w:vAlign w:val="center"/>
          </w:tcPr>
          <w:p>
            <w:pPr>
              <w:jc w:val="left"/>
            </w:pPr>
            <w:r/>
            <w:r>
              <w:rPr>
                <w:rFonts w:ascii="Times New Roman" w:hAnsi="Times New Roman" w:eastAsia="Times New Roman"/>
                <w:b w:val="0"/>
                <w:sz w:val="17"/>
              </w:rPr>
              <w:t>Unique bucket_name + object_key</w:t>
            </w:r>
          </w:p>
        </w:tc>
      </w:tr>
      <w:tr>
        <w:trPr>
          <w:cantSplit/>
        </w:trPr>
        <w:tc>
          <w:tcPr>
            <w:tcW w:type="dxa" w:w="4759"/>
            <w:vAlign w:val="center"/>
          </w:tcPr>
          <w:p>
            <w:pPr>
              <w:jc w:val="left"/>
            </w:pPr>
            <w:r/>
            <w:r>
              <w:rPr>
                <w:rFonts w:ascii="Times New Roman" w:hAnsi="Times New Roman" w:eastAsia="Times New Roman"/>
                <w:b w:val="0"/>
                <w:sz w:val="17"/>
              </w:rPr>
              <w:t>Allowed content types</w:t>
            </w:r>
          </w:p>
        </w:tc>
        <w:tc>
          <w:tcPr>
            <w:tcW w:type="dxa" w:w="4759"/>
            <w:vAlign w:val="center"/>
          </w:tcPr>
          <w:p>
            <w:pPr>
              <w:jc w:val="left"/>
            </w:pPr>
            <w:r/>
            <w:r>
              <w:rPr>
                <w:rFonts w:ascii="Times New Roman" w:hAnsi="Times New Roman" w:eastAsia="Times New Roman"/>
                <w:b w:val="0"/>
                <w:sz w:val="17"/>
              </w:rPr>
              <w:t>PDF, plain text, JPEG and PNG</w:t>
            </w:r>
          </w:p>
        </w:tc>
      </w:tr>
      <w:tr>
        <w:trPr>
          <w:cantSplit/>
        </w:trPr>
        <w:tc>
          <w:tcPr>
            <w:tcW w:type="dxa" w:w="4759"/>
            <w:vAlign w:val="center"/>
          </w:tcPr>
          <w:p>
            <w:pPr>
              <w:jc w:val="left"/>
            </w:pPr>
            <w:r/>
            <w:r>
              <w:rPr>
                <w:rFonts w:ascii="Times New Roman" w:hAnsi="Times New Roman" w:eastAsia="Times New Roman"/>
                <w:b w:val="0"/>
                <w:sz w:val="17"/>
              </w:rPr>
              <w:t>Maximum application upload size</w:t>
            </w:r>
          </w:p>
        </w:tc>
        <w:tc>
          <w:tcPr>
            <w:tcW w:type="dxa" w:w="4759"/>
            <w:vAlign w:val="center"/>
          </w:tcPr>
          <w:p>
            <w:pPr>
              <w:jc w:val="left"/>
            </w:pPr>
            <w:r/>
            <w:r>
              <w:rPr>
                <w:rFonts w:ascii="Times New Roman" w:hAnsi="Times New Roman" w:eastAsia="Times New Roman"/>
                <w:b w:val="0"/>
                <w:sz w:val="17"/>
              </w:rPr>
              <w:t>10 MB</w:t>
            </w:r>
          </w:p>
        </w:tc>
      </w:tr>
      <w:tr>
        <w:trPr>
          <w:cantSplit/>
        </w:trPr>
        <w:tc>
          <w:tcPr>
            <w:tcW w:type="dxa" w:w="4759"/>
            <w:vAlign w:val="center"/>
          </w:tcPr>
          <w:p>
            <w:pPr>
              <w:jc w:val="left"/>
            </w:pPr>
            <w:r/>
            <w:r>
              <w:rPr>
                <w:rFonts w:ascii="Times New Roman" w:hAnsi="Times New Roman" w:eastAsia="Times New Roman"/>
                <w:b w:val="0"/>
                <w:sz w:val="17"/>
              </w:rPr>
              <w:t>Download integrity</w:t>
            </w:r>
          </w:p>
        </w:tc>
        <w:tc>
          <w:tcPr>
            <w:tcW w:type="dxa" w:w="4759"/>
            <w:vAlign w:val="center"/>
          </w:tcPr>
          <w:p>
            <w:pPr>
              <w:jc w:val="left"/>
            </w:pPr>
            <w:r/>
            <w:r>
              <w:rPr>
                <w:rFonts w:ascii="Times New Roman" w:hAnsi="Times New Roman" w:eastAsia="Times New Roman"/>
                <w:b w:val="0"/>
                <w:sz w:val="17"/>
              </w:rPr>
              <w:t>SHA-256 comparison before response</w:t>
            </w:r>
          </w:p>
        </w:tc>
      </w:tr>
      <w:tr>
        <w:trPr>
          <w:cantSplit/>
        </w:trPr>
        <w:tc>
          <w:tcPr>
            <w:tcW w:type="dxa" w:w="4759"/>
            <w:vAlign w:val="center"/>
          </w:tcPr>
          <w:p>
            <w:pPr>
              <w:jc w:val="left"/>
            </w:pPr>
            <w:r/>
            <w:r>
              <w:rPr>
                <w:rFonts w:ascii="Times New Roman" w:hAnsi="Times New Roman" w:eastAsia="Times New Roman"/>
                <w:b w:val="0"/>
                <w:sz w:val="17"/>
              </w:rPr>
              <w:t>Client access</w:t>
            </w:r>
          </w:p>
        </w:tc>
        <w:tc>
          <w:tcPr>
            <w:tcW w:type="dxa" w:w="4759"/>
            <w:vAlign w:val="center"/>
          </w:tcPr>
          <w:p>
            <w:pPr>
              <w:jc w:val="left"/>
            </w:pPr>
            <w:r/>
            <w:r>
              <w:rPr>
                <w:rFonts w:ascii="Times New Roman" w:hAnsi="Times New Roman" w:eastAsia="Times New Roman"/>
                <w:b w:val="0"/>
                <w:sz w:val="17"/>
              </w:rPr>
              <w:t>Backend-mediated; MinIO remains private</w:t>
            </w:r>
          </w:p>
        </w:tc>
      </w:tr>
    </w:tbl>
    <w:p/>
    <w:p>
      <w:r>
        <w:t>Nginx permits request bodies up to 25 MB, while the application accepts diagnostic files only up to 10 MB. The stricter application limit is authoritative for this endpoint.</w:t>
      </w:r>
    </w:p>
    <w:p>
      <w:pPr>
        <w:pStyle w:val="Heading1"/>
      </w:pPr>
      <w:r>
        <w:t>5. FHIR-Inspired Resource Representation</w:t>
      </w:r>
    </w:p>
    <w:p>
      <w:pPr>
        <w:jc w:val="center"/>
      </w:pPr>
      <w:r>
        <w:drawing>
          <wp:inline xmlns:a="http://schemas.openxmlformats.org/drawingml/2006/main" xmlns:pic="http://schemas.openxmlformats.org/drawingml/2006/picture">
            <wp:extent cx="6126480" cy="3883896"/>
            <wp:docPr id="4" name="Picture 4"/>
            <wp:cNvGraphicFramePr>
              <a:graphicFrameLocks noChangeAspect="1"/>
            </wp:cNvGraphicFramePr>
            <a:graphic>
              <a:graphicData uri="http://schemas.openxmlformats.org/drawingml/2006/picture">
                <pic:pic>
                  <pic:nvPicPr>
                    <pic:cNvPr id="0" name="fhir_interoperability_surface.png"/>
                    <pic:cNvPicPr/>
                  </pic:nvPicPr>
                  <pic:blipFill>
                    <a:blip r:embed="rId14"/>
                    <a:stretch>
                      <a:fillRect/>
                    </a:stretch>
                  </pic:blipFill>
                  <pic:spPr>
                    <a:xfrm>
                      <a:off x="0" y="0"/>
                      <a:ext cx="6126480" cy="3883896"/>
                    </a:xfrm>
                    <a:prstGeom prst="rect"/>
                  </pic:spPr>
                </pic:pic>
              </a:graphicData>
            </a:graphic>
          </wp:inline>
        </w:drawing>
      </w:r>
    </w:p>
    <w:p>
      <w:pPr>
        <w:pStyle w:val="AcademicCaption"/>
      </w:pPr>
      <w:r>
        <w:t>Figure 4. Implemented FHIR-inspired interoperability surface.</w:t>
      </w:r>
    </w:p>
    <w:p>
      <w:pPr>
        <w:pStyle w:val="Heading2"/>
      </w:pPr>
      <w:r>
        <w:t>5.1 Capability metadata</w:t>
      </w:r>
    </w:p>
    <w:p>
      <w:r>
        <w:t>GET /fhir/metadata returns a JSON object labeled CapabilityStatement with active status, instance kind, software name and version, and JSON format. This provides lightweight discovery but does not enumerate REST resources, interactions, search parameters, security declarations, implementation guides, or FHIR version. It is not sufficient evidence of a conformant FHIR CapabilityStatement.</w:t>
      </w:r>
    </w:p>
    <w:p>
      <w:pPr>
        <w:pStyle w:val="Heading2"/>
      </w:pPr>
      <w:r>
        <w:t>5.2 Patient resource and search</w:t>
      </w:r>
    </w:p>
    <w:p>
      <w:r>
        <w:t>Patient mapping exposes resourceType, id, identifier, name, gender, and birthDate. Patient search accepts an optional name substring and a maximum _count of 100, returning a searchset-like Bundle. The reported Bundle total equals the number of returned rows rather than the full number of matches because the query does not execute a separate count.</w:t>
      </w:r>
    </w:p>
    <w:p>
      <w:pPr>
        <w:pStyle w:val="Heading2"/>
      </w:pPr>
      <w:r>
        <w:t>5.3 Encounter, Observation and MedicationRequest</w:t>
      </w:r>
    </w:p>
    <w:p>
      <w:r>
        <w:t>Encounter mapping exposes id, status, and a Patient reference. Observation exposes status, subject, code, and either valueQuantity or valueString. MedicationRequest exposes id, status, subject, medication text, and authoredOn.</w:t>
      </w:r>
    </w:p>
    <w:p>
      <w:r>
        <w:t>These representations omit several fields commonly expected in interoperable implementations. Examples include Encounter class and period, Observation category, effective time and encounter reference, and MedicationRequest intent, requester and dosageInstruction. The omissions reinforce the project's own description of the API as FHIR-inspired rather than fully compliant.</w:t>
      </w:r>
    </w:p>
    <w:p>
      <w:pPr>
        <w:pStyle w:val="Heading2"/>
      </w:pPr>
      <w:r>
        <w:t>5.4 Condition resources</w:t>
      </w:r>
    </w:p>
    <w:p>
      <w:r>
        <w:t>Condition mapping is more detailed. It includes clinicalStatus coding, optional verificationStatus, coded condition identity, subject, optional encounter, onset, abatement, and recorded date. Search supports patient, code, clinical status and _count. Unlike the Patient and Observation search implementations, Condition search calculates total before limiting the result set.</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Endpoint</w:t>
            </w:r>
          </w:p>
        </w:tc>
        <w:tc>
          <w:tcPr>
            <w:tcW w:type="dxa" w:w="3173"/>
            <w:vAlign w:val="center"/>
            <w:shd w:fill="D9E1F2"/>
          </w:tcPr>
          <w:p>
            <w:pPr>
              <w:jc w:val="left"/>
            </w:pPr>
            <w:r/>
            <w:r>
              <w:rPr>
                <w:rFonts w:ascii="Times New Roman" w:hAnsi="Times New Roman" w:eastAsia="Times New Roman"/>
                <w:b/>
                <w:sz w:val="16"/>
              </w:rPr>
              <w:t>Purpose</w:t>
            </w:r>
          </w:p>
        </w:tc>
        <w:tc>
          <w:tcPr>
            <w:tcW w:type="dxa" w:w="3173"/>
            <w:vAlign w:val="center"/>
            <w:shd w:fill="D9E1F2"/>
          </w:tcPr>
          <w:p>
            <w:pPr>
              <w:jc w:val="left"/>
            </w:pPr>
            <w:r/>
            <w:r>
              <w:rPr>
                <w:rFonts w:ascii="Times New Roman" w:hAnsi="Times New Roman" w:eastAsia="Times New Roman"/>
                <w:b/>
                <w:sz w:val="16"/>
              </w:rPr>
              <w:t>Observed limitation</w:t>
            </w:r>
          </w:p>
        </w:tc>
      </w:tr>
      <w:tr>
        <w:trPr>
          <w:cantSplit/>
        </w:trPr>
        <w:tc>
          <w:tcPr>
            <w:tcW w:type="dxa" w:w="3173"/>
            <w:vAlign w:val="center"/>
          </w:tcPr>
          <w:p>
            <w:pPr>
              <w:jc w:val="left"/>
            </w:pPr>
            <w:r/>
            <w:r>
              <w:rPr>
                <w:rFonts w:ascii="Times New Roman" w:hAnsi="Times New Roman" w:eastAsia="Times New Roman"/>
                <w:b w:val="0"/>
                <w:sz w:val="16"/>
              </w:rPr>
              <w:t>GET /fhir/metadata</w:t>
            </w:r>
          </w:p>
        </w:tc>
        <w:tc>
          <w:tcPr>
            <w:tcW w:type="dxa" w:w="3173"/>
            <w:vAlign w:val="center"/>
          </w:tcPr>
          <w:p>
            <w:pPr>
              <w:jc w:val="left"/>
            </w:pPr>
            <w:r/>
            <w:r>
              <w:rPr>
                <w:rFonts w:ascii="Times New Roman" w:hAnsi="Times New Roman" w:eastAsia="Times New Roman"/>
                <w:b w:val="0"/>
                <w:sz w:val="16"/>
              </w:rPr>
              <w:t>CapabilityStatement-like metadata</w:t>
            </w:r>
          </w:p>
        </w:tc>
        <w:tc>
          <w:tcPr>
            <w:tcW w:type="dxa" w:w="3173"/>
            <w:vAlign w:val="center"/>
          </w:tcPr>
          <w:p>
            <w:pPr>
              <w:jc w:val="left"/>
            </w:pPr>
            <w:r/>
            <w:r>
              <w:rPr>
                <w:rFonts w:ascii="Times New Roman" w:hAnsi="Times New Roman" w:eastAsia="Times New Roman"/>
                <w:b w:val="0"/>
                <w:sz w:val="16"/>
              </w:rPr>
              <w:t>Minimal discovery only</w:t>
            </w:r>
          </w:p>
        </w:tc>
      </w:tr>
      <w:tr>
        <w:trPr>
          <w:cantSplit/>
        </w:trPr>
        <w:tc>
          <w:tcPr>
            <w:tcW w:type="dxa" w:w="3173"/>
            <w:vAlign w:val="center"/>
          </w:tcPr>
          <w:p>
            <w:pPr>
              <w:jc w:val="left"/>
            </w:pPr>
            <w:r/>
            <w:r>
              <w:rPr>
                <w:rFonts w:ascii="Times New Roman" w:hAnsi="Times New Roman" w:eastAsia="Times New Roman"/>
                <w:b w:val="0"/>
                <w:sz w:val="16"/>
              </w:rPr>
              <w:t>GET /fhir/Patient</w:t>
            </w:r>
          </w:p>
        </w:tc>
        <w:tc>
          <w:tcPr>
            <w:tcW w:type="dxa" w:w="3173"/>
            <w:vAlign w:val="center"/>
          </w:tcPr>
          <w:p>
            <w:pPr>
              <w:jc w:val="left"/>
            </w:pPr>
            <w:r/>
            <w:r>
              <w:rPr>
                <w:rFonts w:ascii="Times New Roman" w:hAnsi="Times New Roman" w:eastAsia="Times New Roman"/>
                <w:b w:val="0"/>
                <w:sz w:val="16"/>
              </w:rPr>
              <w:t>Name search Bundle</w:t>
            </w:r>
          </w:p>
        </w:tc>
        <w:tc>
          <w:tcPr>
            <w:tcW w:type="dxa" w:w="3173"/>
            <w:vAlign w:val="center"/>
          </w:tcPr>
          <w:p>
            <w:pPr>
              <w:jc w:val="left"/>
            </w:pPr>
            <w:r/>
            <w:r>
              <w:rPr>
                <w:rFonts w:ascii="Times New Roman" w:hAnsi="Times New Roman" w:eastAsia="Times New Roman"/>
                <w:b w:val="0"/>
                <w:sz w:val="16"/>
              </w:rPr>
              <w:t>total reports returned count, not all matches</w:t>
            </w:r>
          </w:p>
        </w:tc>
      </w:tr>
      <w:tr>
        <w:trPr>
          <w:cantSplit/>
        </w:trPr>
        <w:tc>
          <w:tcPr>
            <w:tcW w:type="dxa" w:w="3173"/>
            <w:vAlign w:val="center"/>
          </w:tcPr>
          <w:p>
            <w:pPr>
              <w:jc w:val="left"/>
            </w:pPr>
            <w:r/>
            <w:r>
              <w:rPr>
                <w:rFonts w:ascii="Times New Roman" w:hAnsi="Times New Roman" w:eastAsia="Times New Roman"/>
                <w:b w:val="0"/>
                <w:sz w:val="16"/>
              </w:rPr>
              <w:t>GET /fhir/Patient/{id}</w:t>
            </w:r>
          </w:p>
        </w:tc>
        <w:tc>
          <w:tcPr>
            <w:tcW w:type="dxa" w:w="3173"/>
            <w:vAlign w:val="center"/>
          </w:tcPr>
          <w:p>
            <w:pPr>
              <w:jc w:val="left"/>
            </w:pPr>
            <w:r/>
            <w:r>
              <w:rPr>
                <w:rFonts w:ascii="Times New Roman" w:hAnsi="Times New Roman" w:eastAsia="Times New Roman"/>
                <w:b w:val="0"/>
                <w:sz w:val="16"/>
              </w:rPr>
              <w:t>Patient read</w:t>
            </w:r>
          </w:p>
        </w:tc>
        <w:tc>
          <w:tcPr>
            <w:tcW w:type="dxa" w:w="3173"/>
            <w:vAlign w:val="center"/>
          </w:tcPr>
          <w:p>
            <w:pPr>
              <w:jc w:val="left"/>
            </w:pPr>
            <w:r/>
            <w:r>
              <w:rPr>
                <w:rFonts w:ascii="Times New Roman" w:hAnsi="Times New Roman" w:eastAsia="Times New Roman"/>
                <w:b w:val="0"/>
                <w:sz w:val="16"/>
              </w:rPr>
              <w:t>Lightweight subset</w:t>
            </w:r>
          </w:p>
        </w:tc>
      </w:tr>
      <w:tr>
        <w:trPr>
          <w:cantSplit/>
        </w:trPr>
        <w:tc>
          <w:tcPr>
            <w:tcW w:type="dxa" w:w="3173"/>
            <w:vAlign w:val="center"/>
          </w:tcPr>
          <w:p>
            <w:pPr>
              <w:jc w:val="left"/>
            </w:pPr>
            <w:r/>
            <w:r>
              <w:rPr>
                <w:rFonts w:ascii="Times New Roman" w:hAnsi="Times New Roman" w:eastAsia="Times New Roman"/>
                <w:b w:val="0"/>
                <w:sz w:val="16"/>
              </w:rPr>
              <w:t>GET /fhir/Patient/{id}/$everything</w:t>
            </w:r>
          </w:p>
        </w:tc>
        <w:tc>
          <w:tcPr>
            <w:tcW w:type="dxa" w:w="3173"/>
            <w:vAlign w:val="center"/>
          </w:tcPr>
          <w:p>
            <w:pPr>
              <w:jc w:val="left"/>
            </w:pPr>
            <w:r/>
            <w:r>
              <w:rPr>
                <w:rFonts w:ascii="Times New Roman" w:hAnsi="Times New Roman" w:eastAsia="Times New Roman"/>
                <w:b w:val="0"/>
                <w:sz w:val="16"/>
              </w:rPr>
              <w:t>Collection Bundle</w:t>
            </w:r>
          </w:p>
        </w:tc>
        <w:tc>
          <w:tcPr>
            <w:tcW w:type="dxa" w:w="3173"/>
            <w:vAlign w:val="center"/>
          </w:tcPr>
          <w:p>
            <w:pPr>
              <w:jc w:val="left"/>
            </w:pPr>
            <w:r/>
            <w:r>
              <w:rPr>
                <w:rFonts w:ascii="Times New Roman" w:hAnsi="Times New Roman" w:eastAsia="Times New Roman"/>
                <w:b w:val="0"/>
                <w:sz w:val="16"/>
              </w:rPr>
              <w:t>Excludes Conditions and DiagnosticReports</w:t>
            </w:r>
          </w:p>
        </w:tc>
      </w:tr>
      <w:tr>
        <w:trPr>
          <w:cantSplit/>
        </w:trPr>
        <w:tc>
          <w:tcPr>
            <w:tcW w:type="dxa" w:w="3173"/>
            <w:vAlign w:val="center"/>
          </w:tcPr>
          <w:p>
            <w:pPr>
              <w:jc w:val="left"/>
            </w:pPr>
            <w:r/>
            <w:r>
              <w:rPr>
                <w:rFonts w:ascii="Times New Roman" w:hAnsi="Times New Roman" w:eastAsia="Times New Roman"/>
                <w:b w:val="0"/>
                <w:sz w:val="16"/>
              </w:rPr>
              <w:t>GET /fhir/Encounter/{id}</w:t>
            </w:r>
          </w:p>
        </w:tc>
        <w:tc>
          <w:tcPr>
            <w:tcW w:type="dxa" w:w="3173"/>
            <w:vAlign w:val="center"/>
          </w:tcPr>
          <w:p>
            <w:pPr>
              <w:jc w:val="left"/>
            </w:pPr>
            <w:r/>
            <w:r>
              <w:rPr>
                <w:rFonts w:ascii="Times New Roman" w:hAnsi="Times New Roman" w:eastAsia="Times New Roman"/>
                <w:b w:val="0"/>
                <w:sz w:val="16"/>
              </w:rPr>
              <w:t>Encounter read</w:t>
            </w:r>
          </w:p>
        </w:tc>
        <w:tc>
          <w:tcPr>
            <w:tcW w:type="dxa" w:w="3173"/>
            <w:vAlign w:val="center"/>
          </w:tcPr>
          <w:p>
            <w:pPr>
              <w:jc w:val="left"/>
            </w:pPr>
            <w:r/>
            <w:r>
              <w:rPr>
                <w:rFonts w:ascii="Times New Roman" w:hAnsi="Times New Roman" w:eastAsia="Times New Roman"/>
                <w:b w:val="0"/>
                <w:sz w:val="16"/>
              </w:rPr>
              <w:t>Limited resource content</w:t>
            </w:r>
          </w:p>
        </w:tc>
      </w:tr>
      <w:tr>
        <w:trPr>
          <w:cantSplit/>
        </w:trPr>
        <w:tc>
          <w:tcPr>
            <w:tcW w:type="dxa" w:w="3173"/>
            <w:vAlign w:val="center"/>
          </w:tcPr>
          <w:p>
            <w:pPr>
              <w:jc w:val="left"/>
            </w:pPr>
            <w:r/>
            <w:r>
              <w:rPr>
                <w:rFonts w:ascii="Times New Roman" w:hAnsi="Times New Roman" w:eastAsia="Times New Roman"/>
                <w:b w:val="0"/>
                <w:sz w:val="16"/>
              </w:rPr>
              <w:t>GET /fhir/Observation</w:t>
            </w:r>
          </w:p>
        </w:tc>
        <w:tc>
          <w:tcPr>
            <w:tcW w:type="dxa" w:w="3173"/>
            <w:vAlign w:val="center"/>
          </w:tcPr>
          <w:p>
            <w:pPr>
              <w:jc w:val="left"/>
            </w:pPr>
            <w:r/>
            <w:r>
              <w:rPr>
                <w:rFonts w:ascii="Times New Roman" w:hAnsi="Times New Roman" w:eastAsia="Times New Roman"/>
                <w:b w:val="0"/>
                <w:sz w:val="16"/>
              </w:rPr>
              <w:t>Patient/code search Bundle</w:t>
            </w:r>
          </w:p>
        </w:tc>
        <w:tc>
          <w:tcPr>
            <w:tcW w:type="dxa" w:w="3173"/>
            <w:vAlign w:val="center"/>
          </w:tcPr>
          <w:p>
            <w:pPr>
              <w:jc w:val="left"/>
            </w:pPr>
            <w:r/>
            <w:r>
              <w:rPr>
                <w:rFonts w:ascii="Times New Roman" w:hAnsi="Times New Roman" w:eastAsia="Times New Roman"/>
                <w:b w:val="0"/>
                <w:sz w:val="16"/>
              </w:rPr>
              <w:t>No full-match count</w:t>
            </w:r>
          </w:p>
        </w:tc>
      </w:tr>
      <w:tr>
        <w:trPr>
          <w:cantSplit/>
        </w:trPr>
        <w:tc>
          <w:tcPr>
            <w:tcW w:type="dxa" w:w="3173"/>
            <w:vAlign w:val="center"/>
          </w:tcPr>
          <w:p>
            <w:pPr>
              <w:jc w:val="left"/>
            </w:pPr>
            <w:r/>
            <w:r>
              <w:rPr>
                <w:rFonts w:ascii="Times New Roman" w:hAnsi="Times New Roman" w:eastAsia="Times New Roman"/>
                <w:b w:val="0"/>
                <w:sz w:val="16"/>
              </w:rPr>
              <w:t>GET /fhir/Observation/{id}</w:t>
            </w:r>
          </w:p>
        </w:tc>
        <w:tc>
          <w:tcPr>
            <w:tcW w:type="dxa" w:w="3173"/>
            <w:vAlign w:val="center"/>
          </w:tcPr>
          <w:p>
            <w:pPr>
              <w:jc w:val="left"/>
            </w:pPr>
            <w:r/>
            <w:r>
              <w:rPr>
                <w:rFonts w:ascii="Times New Roman" w:hAnsi="Times New Roman" w:eastAsia="Times New Roman"/>
                <w:b w:val="0"/>
                <w:sz w:val="16"/>
              </w:rPr>
              <w:t>Observation read</w:t>
            </w:r>
          </w:p>
        </w:tc>
        <w:tc>
          <w:tcPr>
            <w:tcW w:type="dxa" w:w="3173"/>
            <w:vAlign w:val="center"/>
          </w:tcPr>
          <w:p>
            <w:pPr>
              <w:jc w:val="left"/>
            </w:pPr>
            <w:r/>
            <w:r>
              <w:rPr>
                <w:rFonts w:ascii="Times New Roman" w:hAnsi="Times New Roman" w:eastAsia="Times New Roman"/>
                <w:b w:val="0"/>
                <w:sz w:val="16"/>
              </w:rPr>
              <w:t>Limited resource content</w:t>
            </w:r>
          </w:p>
        </w:tc>
      </w:tr>
      <w:tr>
        <w:trPr>
          <w:cantSplit/>
        </w:trPr>
        <w:tc>
          <w:tcPr>
            <w:tcW w:type="dxa" w:w="3173"/>
            <w:vAlign w:val="center"/>
          </w:tcPr>
          <w:p>
            <w:pPr>
              <w:jc w:val="left"/>
            </w:pPr>
            <w:r/>
            <w:r>
              <w:rPr>
                <w:rFonts w:ascii="Times New Roman" w:hAnsi="Times New Roman" w:eastAsia="Times New Roman"/>
                <w:b w:val="0"/>
                <w:sz w:val="16"/>
              </w:rPr>
              <w:t>GET /fhir/MedicationRequest/{id}</w:t>
            </w:r>
          </w:p>
        </w:tc>
        <w:tc>
          <w:tcPr>
            <w:tcW w:type="dxa" w:w="3173"/>
            <w:vAlign w:val="center"/>
          </w:tcPr>
          <w:p>
            <w:pPr>
              <w:jc w:val="left"/>
            </w:pPr>
            <w:r/>
            <w:r>
              <w:rPr>
                <w:rFonts w:ascii="Times New Roman" w:hAnsi="Times New Roman" w:eastAsia="Times New Roman"/>
                <w:b w:val="0"/>
                <w:sz w:val="16"/>
              </w:rPr>
              <w:t>MedicationRequest read</w:t>
            </w:r>
          </w:p>
        </w:tc>
        <w:tc>
          <w:tcPr>
            <w:tcW w:type="dxa" w:w="3173"/>
            <w:vAlign w:val="center"/>
          </w:tcPr>
          <w:p>
            <w:pPr>
              <w:jc w:val="left"/>
            </w:pPr>
            <w:r/>
            <w:r>
              <w:rPr>
                <w:rFonts w:ascii="Times New Roman" w:hAnsi="Times New Roman" w:eastAsia="Times New Roman"/>
                <w:b w:val="0"/>
                <w:sz w:val="16"/>
              </w:rPr>
              <w:t>No search endpoint in supplied FHIR router</w:t>
            </w:r>
          </w:p>
        </w:tc>
      </w:tr>
      <w:tr>
        <w:trPr>
          <w:cantSplit/>
        </w:trPr>
        <w:tc>
          <w:tcPr>
            <w:tcW w:type="dxa" w:w="3173"/>
            <w:vAlign w:val="center"/>
          </w:tcPr>
          <w:p>
            <w:pPr>
              <w:jc w:val="left"/>
            </w:pPr>
            <w:r/>
            <w:r>
              <w:rPr>
                <w:rFonts w:ascii="Times New Roman" w:hAnsi="Times New Roman" w:eastAsia="Times New Roman"/>
                <w:b w:val="0"/>
                <w:sz w:val="16"/>
              </w:rPr>
              <w:t>GET /fhir/Condition</w:t>
            </w:r>
          </w:p>
        </w:tc>
        <w:tc>
          <w:tcPr>
            <w:tcW w:type="dxa" w:w="3173"/>
            <w:vAlign w:val="center"/>
          </w:tcPr>
          <w:p>
            <w:pPr>
              <w:jc w:val="left"/>
            </w:pPr>
            <w:r/>
            <w:r>
              <w:rPr>
                <w:rFonts w:ascii="Times New Roman" w:hAnsi="Times New Roman" w:eastAsia="Times New Roman"/>
                <w:b w:val="0"/>
                <w:sz w:val="16"/>
              </w:rPr>
              <w:t>Condition search Bundle</w:t>
            </w:r>
          </w:p>
        </w:tc>
        <w:tc>
          <w:tcPr>
            <w:tcW w:type="dxa" w:w="3173"/>
            <w:vAlign w:val="center"/>
          </w:tcPr>
          <w:p>
            <w:pPr>
              <w:jc w:val="left"/>
            </w:pPr>
            <w:r/>
            <w:r>
              <w:rPr>
                <w:rFonts w:ascii="Times New Roman" w:hAnsi="Times New Roman" w:eastAsia="Times New Roman"/>
                <w:b w:val="0"/>
                <w:sz w:val="16"/>
              </w:rPr>
              <w:t>Supports patient, code and clinical status</w:t>
            </w:r>
          </w:p>
        </w:tc>
      </w:tr>
      <w:tr>
        <w:trPr>
          <w:cantSplit/>
        </w:trPr>
        <w:tc>
          <w:tcPr>
            <w:tcW w:type="dxa" w:w="3173"/>
            <w:vAlign w:val="center"/>
          </w:tcPr>
          <w:p>
            <w:pPr>
              <w:jc w:val="left"/>
            </w:pPr>
            <w:r/>
            <w:r>
              <w:rPr>
                <w:rFonts w:ascii="Times New Roman" w:hAnsi="Times New Roman" w:eastAsia="Times New Roman"/>
                <w:b w:val="0"/>
                <w:sz w:val="16"/>
              </w:rPr>
              <w:t>GET /fhir/Condition/{id}</w:t>
            </w:r>
          </w:p>
        </w:tc>
        <w:tc>
          <w:tcPr>
            <w:tcW w:type="dxa" w:w="3173"/>
            <w:vAlign w:val="center"/>
          </w:tcPr>
          <w:p>
            <w:pPr>
              <w:jc w:val="left"/>
            </w:pPr>
            <w:r/>
            <w:r>
              <w:rPr>
                <w:rFonts w:ascii="Times New Roman" w:hAnsi="Times New Roman" w:eastAsia="Times New Roman"/>
                <w:b w:val="0"/>
                <w:sz w:val="16"/>
              </w:rPr>
              <w:t>Condition read</w:t>
            </w:r>
          </w:p>
        </w:tc>
        <w:tc>
          <w:tcPr>
            <w:tcW w:type="dxa" w:w="3173"/>
            <w:vAlign w:val="center"/>
          </w:tcPr>
          <w:p>
            <w:pPr>
              <w:jc w:val="left"/>
            </w:pPr>
            <w:r/>
            <w:r>
              <w:rPr>
                <w:rFonts w:ascii="Times New Roman" w:hAnsi="Times New Roman" w:eastAsia="Times New Roman"/>
                <w:b w:val="0"/>
                <w:sz w:val="16"/>
              </w:rPr>
              <w:t>Most detailed FHIR-inspired mapping</w:t>
            </w:r>
          </w:p>
        </w:tc>
      </w:tr>
    </w:tbl>
    <w:p/>
    <w:p>
      <w:pPr>
        <w:pStyle w:val="Heading1"/>
      </w:pPr>
      <w:r>
        <w:t>6. Patient $everything Aggregation</w:t>
      </w:r>
    </w:p>
    <w:p>
      <w:r>
        <w:t>The Patient/$everything endpoint verifies that the patient exists and then assembles one collection Bundle containing the patient, all patient encounters, all patient observations, and all patient prescriptions. Resource entries are appended sequentially, and total equals the number of resources in the collection.</w:t>
      </w:r>
    </w:p>
    <w:p>
      <w:r>
        <w:t>The implementation does not include Condition resources or DiagnosticReport metadata and does not support date filters, pagination, continuation links, or resource-type selection. For large longitudinal records, loading all related rows in one request may also create response-size and query-cost concerns.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Included in current $everything</w:t>
            </w:r>
          </w:p>
        </w:tc>
        <w:tc>
          <w:tcPr>
            <w:tcW w:type="dxa" w:w="4759"/>
            <w:vAlign w:val="center"/>
            <w:shd w:fill="D9E1F2"/>
          </w:tcPr>
          <w:p>
            <w:pPr>
              <w:jc w:val="left"/>
            </w:pPr>
            <w:r/>
            <w:r>
              <w:rPr>
                <w:rFonts w:ascii="Times New Roman" w:hAnsi="Times New Roman" w:eastAsia="Times New Roman"/>
                <w:b/>
                <w:sz w:val="17"/>
              </w:rPr>
              <w:t>Not included in current $everything</w:t>
            </w:r>
          </w:p>
        </w:tc>
      </w:tr>
      <w:tr>
        <w:trPr>
          <w:cantSplit/>
        </w:trPr>
        <w:tc>
          <w:tcPr>
            <w:tcW w:type="dxa" w:w="4759"/>
            <w:vAlign w:val="center"/>
          </w:tcPr>
          <w:p>
            <w:pPr>
              <w:jc w:val="left"/>
            </w:pPr>
            <w:r/>
            <w:r>
              <w:rPr>
                <w:rFonts w:ascii="Times New Roman" w:hAnsi="Times New Roman" w:eastAsia="Times New Roman"/>
                <w:b w:val="0"/>
                <w:sz w:val="17"/>
              </w:rPr>
              <w:t>Patient</w:t>
            </w:r>
          </w:p>
        </w:tc>
        <w:tc>
          <w:tcPr>
            <w:tcW w:type="dxa" w:w="4759"/>
            <w:vAlign w:val="center"/>
          </w:tcPr>
          <w:p>
            <w:pPr>
              <w:jc w:val="left"/>
            </w:pPr>
            <w:r/>
            <w:r>
              <w:rPr>
                <w:rFonts w:ascii="Times New Roman" w:hAnsi="Times New Roman" w:eastAsia="Times New Roman"/>
                <w:b w:val="0"/>
                <w:sz w:val="17"/>
              </w:rPr>
              <w:t>Condition</w:t>
            </w:r>
          </w:p>
        </w:tc>
      </w:tr>
      <w:tr>
        <w:trPr>
          <w:cantSplit/>
        </w:trPr>
        <w:tc>
          <w:tcPr>
            <w:tcW w:type="dxa" w:w="4759"/>
            <w:vAlign w:val="center"/>
          </w:tcPr>
          <w:p>
            <w:pPr>
              <w:jc w:val="left"/>
            </w:pPr>
            <w:r/>
            <w:r>
              <w:rPr>
                <w:rFonts w:ascii="Times New Roman" w:hAnsi="Times New Roman" w:eastAsia="Times New Roman"/>
                <w:b w:val="0"/>
                <w:sz w:val="17"/>
              </w:rPr>
              <w:t>Encounter</w:t>
            </w:r>
          </w:p>
        </w:tc>
        <w:tc>
          <w:tcPr>
            <w:tcW w:type="dxa" w:w="4759"/>
            <w:vAlign w:val="center"/>
          </w:tcPr>
          <w:p>
            <w:pPr>
              <w:jc w:val="left"/>
            </w:pPr>
            <w:r/>
            <w:r>
              <w:rPr>
                <w:rFonts w:ascii="Times New Roman" w:hAnsi="Times New Roman" w:eastAsia="Times New Roman"/>
                <w:b w:val="0"/>
                <w:sz w:val="17"/>
              </w:rPr>
              <w:t>DiagnosticReport</w:t>
            </w:r>
          </w:p>
        </w:tc>
      </w:tr>
      <w:tr>
        <w:trPr>
          <w:cantSplit/>
        </w:trPr>
        <w:tc>
          <w:tcPr>
            <w:tcW w:type="dxa" w:w="4759"/>
            <w:vAlign w:val="center"/>
          </w:tcPr>
          <w:p>
            <w:pPr>
              <w:jc w:val="left"/>
            </w:pPr>
            <w:r/>
            <w:r>
              <w:rPr>
                <w:rFonts w:ascii="Times New Roman" w:hAnsi="Times New Roman" w:eastAsia="Times New Roman"/>
                <w:b w:val="0"/>
                <w:sz w:val="17"/>
              </w:rPr>
              <w:t>Observation</w:t>
            </w:r>
          </w:p>
        </w:tc>
        <w:tc>
          <w:tcPr>
            <w:tcW w:type="dxa" w:w="4759"/>
            <w:vAlign w:val="center"/>
          </w:tcPr>
          <w:p>
            <w:pPr>
              <w:jc w:val="left"/>
            </w:pPr>
            <w:r/>
            <w:r>
              <w:rPr>
                <w:rFonts w:ascii="Times New Roman" w:hAnsi="Times New Roman" w:eastAsia="Times New Roman"/>
                <w:b w:val="0"/>
                <w:sz w:val="17"/>
              </w:rPr>
              <w:t>AuditLog</w:t>
            </w:r>
          </w:p>
        </w:tc>
      </w:tr>
      <w:tr>
        <w:trPr>
          <w:cantSplit/>
        </w:trPr>
        <w:tc>
          <w:tcPr>
            <w:tcW w:type="dxa" w:w="4759"/>
            <w:vAlign w:val="center"/>
          </w:tcPr>
          <w:p>
            <w:pPr>
              <w:jc w:val="left"/>
            </w:pPr>
            <w:r/>
            <w:r>
              <w:rPr>
                <w:rFonts w:ascii="Times New Roman" w:hAnsi="Times New Roman" w:eastAsia="Times New Roman"/>
                <w:b w:val="0"/>
                <w:sz w:val="17"/>
              </w:rPr>
              <w:t>MedicationRequest derived from Prescription</w:t>
            </w:r>
          </w:p>
        </w:tc>
        <w:tc>
          <w:tcPr>
            <w:tcW w:type="dxa" w:w="4759"/>
            <w:vAlign w:val="center"/>
          </w:tcPr>
          <w:p>
            <w:pPr>
              <w:jc w:val="left"/>
            </w:pPr>
            <w:r/>
            <w:r>
              <w:rPr>
                <w:rFonts w:ascii="Times New Roman" w:hAnsi="Times New Roman" w:eastAsia="Times New Roman"/>
                <w:b w:val="0"/>
                <w:sz w:val="17"/>
              </w:rPr>
              <w:t>Binary report objects</w:t>
            </w:r>
          </w:p>
        </w:tc>
      </w:tr>
    </w:tbl>
    <w:p/>
    <w:p>
      <w:pPr>
        <w:pStyle w:val="Heading1"/>
      </w:pPr>
      <w:r>
        <w:t>7. Native REST APIs and Data-Integrity Validation</w:t>
      </w:r>
    </w:p>
    <w:p>
      <w:r>
        <w:t>In addition to the FHIR-inspired read layer, the platform exposes native REST endpoints with Pydantic schemas, pagination, RBAC, audit recording, and domain validation.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Module</w:t>
            </w:r>
          </w:p>
        </w:tc>
        <w:tc>
          <w:tcPr>
            <w:tcW w:type="dxa" w:w="3173"/>
            <w:vAlign w:val="center"/>
            <w:shd w:fill="D9E1F2"/>
          </w:tcPr>
          <w:p>
            <w:pPr>
              <w:jc w:val="left"/>
            </w:pPr>
            <w:r/>
            <w:r>
              <w:rPr>
                <w:rFonts w:ascii="Times New Roman" w:hAnsi="Times New Roman" w:eastAsia="Times New Roman"/>
                <w:b/>
                <w:sz w:val="16"/>
              </w:rPr>
              <w:t>Supported operations in supplied source</w:t>
            </w:r>
          </w:p>
        </w:tc>
        <w:tc>
          <w:tcPr>
            <w:tcW w:type="dxa" w:w="3173"/>
            <w:vAlign w:val="center"/>
            <w:shd w:fill="D9E1F2"/>
          </w:tcPr>
          <w:p>
            <w:pPr>
              <w:jc w:val="left"/>
            </w:pPr>
            <w:r/>
            <w:r>
              <w:rPr>
                <w:rFonts w:ascii="Times New Roman" w:hAnsi="Times New Roman" w:eastAsia="Times New Roman"/>
                <w:b/>
                <w:sz w:val="16"/>
              </w:rPr>
              <w:t>Key integrity checks</w:t>
            </w:r>
          </w:p>
        </w:tc>
      </w:tr>
      <w:tr>
        <w:trPr>
          <w:cantSplit/>
        </w:trPr>
        <w:tc>
          <w:tcPr>
            <w:tcW w:type="dxa" w:w="3173"/>
            <w:vAlign w:val="center"/>
          </w:tcPr>
          <w:p>
            <w:pPr>
              <w:jc w:val="left"/>
            </w:pPr>
            <w:r/>
            <w:r>
              <w:rPr>
                <w:rFonts w:ascii="Times New Roman" w:hAnsi="Times New Roman" w:eastAsia="Times New Roman"/>
                <w:b w:val="0"/>
                <w:sz w:val="16"/>
              </w:rPr>
              <w:t>Patients</w:t>
            </w:r>
          </w:p>
        </w:tc>
        <w:tc>
          <w:tcPr>
            <w:tcW w:type="dxa" w:w="3173"/>
            <w:vAlign w:val="center"/>
          </w:tcPr>
          <w:p>
            <w:pPr>
              <w:jc w:val="left"/>
            </w:pPr>
            <w:r/>
            <w:r>
              <w:rPr>
                <w:rFonts w:ascii="Times New Roman" w:hAnsi="Times New Roman" w:eastAsia="Times New Roman"/>
                <w:b w:val="0"/>
                <w:sz w:val="16"/>
              </w:rPr>
              <w:t>Create, list, read, partial update</w:t>
            </w:r>
          </w:p>
        </w:tc>
        <w:tc>
          <w:tcPr>
            <w:tcW w:type="dxa" w:w="3173"/>
            <w:vAlign w:val="center"/>
          </w:tcPr>
          <w:p>
            <w:pPr>
              <w:jc w:val="left"/>
            </w:pPr>
            <w:r/>
            <w:r>
              <w:rPr>
                <w:rFonts w:ascii="Times New Roman" w:hAnsi="Times New Roman" w:eastAsia="Times New Roman"/>
                <w:b w:val="0"/>
                <w:sz w:val="16"/>
              </w:rPr>
              <w:t>MRN and external-identity conflict handling</w:t>
            </w:r>
          </w:p>
        </w:tc>
      </w:tr>
      <w:tr>
        <w:trPr>
          <w:cantSplit/>
        </w:trPr>
        <w:tc>
          <w:tcPr>
            <w:tcW w:type="dxa" w:w="3173"/>
            <w:vAlign w:val="center"/>
          </w:tcPr>
          <w:p>
            <w:pPr>
              <w:jc w:val="left"/>
            </w:pPr>
            <w:r/>
            <w:r>
              <w:rPr>
                <w:rFonts w:ascii="Times New Roman" w:hAnsi="Times New Roman" w:eastAsia="Times New Roman"/>
                <w:b w:val="0"/>
                <w:sz w:val="16"/>
              </w:rPr>
              <w:t>Encounters</w:t>
            </w:r>
          </w:p>
        </w:tc>
        <w:tc>
          <w:tcPr>
            <w:tcW w:type="dxa" w:w="3173"/>
            <w:vAlign w:val="center"/>
          </w:tcPr>
          <w:p>
            <w:pPr>
              <w:jc w:val="left"/>
            </w:pPr>
            <w:r/>
            <w:r>
              <w:rPr>
                <w:rFonts w:ascii="Times New Roman" w:hAnsi="Times New Roman" w:eastAsia="Times New Roman"/>
                <w:b w:val="0"/>
                <w:sz w:val="16"/>
              </w:rPr>
              <w:t>Create, list, read, partial update</w:t>
            </w:r>
          </w:p>
        </w:tc>
        <w:tc>
          <w:tcPr>
            <w:tcW w:type="dxa" w:w="3173"/>
            <w:vAlign w:val="center"/>
          </w:tcPr>
          <w:p>
            <w:pPr>
              <w:jc w:val="left"/>
            </w:pPr>
            <w:r/>
            <w:r>
              <w:rPr>
                <w:rFonts w:ascii="Times New Roman" w:hAnsi="Times New Roman" w:eastAsia="Times New Roman"/>
                <w:b w:val="0"/>
                <w:sz w:val="16"/>
              </w:rPr>
              <w:t>Patient existence and time-range validation</w:t>
            </w:r>
          </w:p>
        </w:tc>
      </w:tr>
      <w:tr>
        <w:trPr>
          <w:cantSplit/>
        </w:trPr>
        <w:tc>
          <w:tcPr>
            <w:tcW w:type="dxa" w:w="3173"/>
            <w:vAlign w:val="center"/>
          </w:tcPr>
          <w:p>
            <w:pPr>
              <w:jc w:val="left"/>
            </w:pPr>
            <w:r/>
            <w:r>
              <w:rPr>
                <w:rFonts w:ascii="Times New Roman" w:hAnsi="Times New Roman" w:eastAsia="Times New Roman"/>
                <w:b w:val="0"/>
                <w:sz w:val="16"/>
              </w:rPr>
              <w:t>Observations</w:t>
            </w:r>
          </w:p>
        </w:tc>
        <w:tc>
          <w:tcPr>
            <w:tcW w:type="dxa" w:w="3173"/>
            <w:vAlign w:val="center"/>
          </w:tcPr>
          <w:p>
            <w:pPr>
              <w:jc w:val="left"/>
            </w:pPr>
            <w:r/>
            <w:r>
              <w:rPr>
                <w:rFonts w:ascii="Times New Roman" w:hAnsi="Times New Roman" w:eastAsia="Times New Roman"/>
                <w:b w:val="0"/>
                <w:sz w:val="16"/>
              </w:rPr>
              <w:t>Create, list, read, partial update</w:t>
            </w:r>
          </w:p>
        </w:tc>
        <w:tc>
          <w:tcPr>
            <w:tcW w:type="dxa" w:w="3173"/>
            <w:vAlign w:val="center"/>
          </w:tcPr>
          <w:p>
            <w:pPr>
              <w:jc w:val="left"/>
            </w:pPr>
            <w:r/>
            <w:r>
              <w:rPr>
                <w:rFonts w:ascii="Times New Roman" w:hAnsi="Times New Roman" w:eastAsia="Times New Roman"/>
                <w:b w:val="0"/>
                <w:sz w:val="16"/>
              </w:rPr>
              <w:t>Patient/encounter ownership and value presence</w:t>
            </w:r>
          </w:p>
        </w:tc>
      </w:tr>
      <w:tr>
        <w:trPr>
          <w:cantSplit/>
        </w:trPr>
        <w:tc>
          <w:tcPr>
            <w:tcW w:type="dxa" w:w="3173"/>
            <w:vAlign w:val="center"/>
          </w:tcPr>
          <w:p>
            <w:pPr>
              <w:jc w:val="left"/>
            </w:pPr>
            <w:r/>
            <w:r>
              <w:rPr>
                <w:rFonts w:ascii="Times New Roman" w:hAnsi="Times New Roman" w:eastAsia="Times New Roman"/>
                <w:b w:val="0"/>
                <w:sz w:val="16"/>
              </w:rPr>
              <w:t>Prescriptions</w:t>
            </w:r>
          </w:p>
        </w:tc>
        <w:tc>
          <w:tcPr>
            <w:tcW w:type="dxa" w:w="3173"/>
            <w:vAlign w:val="center"/>
          </w:tcPr>
          <w:p>
            <w:pPr>
              <w:jc w:val="left"/>
            </w:pPr>
            <w:r/>
            <w:r>
              <w:rPr>
                <w:rFonts w:ascii="Times New Roman" w:hAnsi="Times New Roman" w:eastAsia="Times New Roman"/>
                <w:b w:val="0"/>
                <w:sz w:val="16"/>
              </w:rPr>
              <w:t>Create, list, read, partial update</w:t>
            </w:r>
          </w:p>
        </w:tc>
        <w:tc>
          <w:tcPr>
            <w:tcW w:type="dxa" w:w="3173"/>
            <w:vAlign w:val="center"/>
          </w:tcPr>
          <w:p>
            <w:pPr>
              <w:jc w:val="left"/>
            </w:pPr>
            <w:r/>
            <w:r>
              <w:rPr>
                <w:rFonts w:ascii="Times New Roman" w:hAnsi="Times New Roman" w:eastAsia="Times New Roman"/>
                <w:b w:val="0"/>
                <w:sz w:val="16"/>
              </w:rPr>
              <w:t>Patient, encounter, prescriber, dosage and date checks</w:t>
            </w:r>
          </w:p>
        </w:tc>
      </w:tr>
      <w:tr>
        <w:trPr>
          <w:cantSplit/>
        </w:trPr>
        <w:tc>
          <w:tcPr>
            <w:tcW w:type="dxa" w:w="3173"/>
            <w:vAlign w:val="center"/>
          </w:tcPr>
          <w:p>
            <w:pPr>
              <w:jc w:val="left"/>
            </w:pPr>
            <w:r/>
            <w:r>
              <w:rPr>
                <w:rFonts w:ascii="Times New Roman" w:hAnsi="Times New Roman" w:eastAsia="Times New Roman"/>
                <w:b w:val="0"/>
                <w:sz w:val="16"/>
              </w:rPr>
              <w:t>Diagnostic reports</w:t>
            </w:r>
          </w:p>
        </w:tc>
        <w:tc>
          <w:tcPr>
            <w:tcW w:type="dxa" w:w="3173"/>
            <w:vAlign w:val="center"/>
          </w:tcPr>
          <w:p>
            <w:pPr>
              <w:jc w:val="left"/>
            </w:pPr>
            <w:r/>
            <w:r>
              <w:rPr>
                <w:rFonts w:ascii="Times New Roman" w:hAnsi="Times New Roman" w:eastAsia="Times New Roman"/>
                <w:b w:val="0"/>
                <w:sz w:val="16"/>
              </w:rPr>
              <w:t>Upload, metadata read, download</w:t>
            </w:r>
          </w:p>
        </w:tc>
        <w:tc>
          <w:tcPr>
            <w:tcW w:type="dxa" w:w="3173"/>
            <w:vAlign w:val="center"/>
          </w:tcPr>
          <w:p>
            <w:pPr>
              <w:jc w:val="left"/>
            </w:pPr>
            <w:r/>
            <w:r>
              <w:rPr>
                <w:rFonts w:ascii="Times New Roman" w:hAnsi="Times New Roman" w:eastAsia="Times New Roman"/>
                <w:b w:val="0"/>
                <w:sz w:val="16"/>
              </w:rPr>
              <w:t>File type, size, patient/encounter and SHA-256 checks</w:t>
            </w:r>
          </w:p>
        </w:tc>
      </w:tr>
    </w:tbl>
    <w:p/>
    <w:p>
      <w:r>
        <w:t>These native endpoints contain stronger validation than the FHIR-inspired read surface. For example, observation creation confirms that an encounter belongs to the specified patient, and prescription creation confirms patient, encounter and active prescriber validity.</w:t>
      </w:r>
    </w:p>
    <w:p>
      <w:pPr>
        <w:pStyle w:val="Heading1"/>
      </w:pPr>
      <w:r>
        <w:t>8. Synthea Data-Ingestion Workflow</w:t>
      </w:r>
    </w:p>
    <w:p>
      <w:pPr>
        <w:jc w:val="center"/>
      </w:pPr>
      <w:r>
        <w:drawing>
          <wp:inline xmlns:a="http://schemas.openxmlformats.org/drawingml/2006/main" xmlns:pic="http://schemas.openxmlformats.org/drawingml/2006/picture">
            <wp:extent cx="6035040" cy="4044201"/>
            <wp:docPr id="5" name="Picture 5"/>
            <wp:cNvGraphicFramePr>
              <a:graphicFrameLocks noChangeAspect="1"/>
            </wp:cNvGraphicFramePr>
            <a:graphic>
              <a:graphicData uri="http://schemas.openxmlformats.org/drawingml/2006/picture">
                <pic:pic>
                  <pic:nvPicPr>
                    <pic:cNvPr id="0" name="synthea_ingestion_pipeline.png"/>
                    <pic:cNvPicPr/>
                  </pic:nvPicPr>
                  <pic:blipFill>
                    <a:blip r:embed="rId15"/>
                    <a:stretch>
                      <a:fillRect/>
                    </a:stretch>
                  </pic:blipFill>
                  <pic:spPr>
                    <a:xfrm>
                      <a:off x="0" y="0"/>
                      <a:ext cx="6035040" cy="4044201"/>
                    </a:xfrm>
                    <a:prstGeom prst="rect"/>
                  </pic:spPr>
                </pic:pic>
              </a:graphicData>
            </a:graphic>
          </wp:inline>
        </w:drawing>
      </w:r>
    </w:p>
    <w:p>
      <w:pPr>
        <w:pStyle w:val="AcademicCaption"/>
      </w:pPr>
      <w:r>
        <w:t>Figure 5. Synthea CSV ingestion workflow.</w:t>
      </w:r>
    </w:p>
    <w:p>
      <w:pPr>
        <w:pStyle w:val="Heading2"/>
      </w:pPr>
      <w:r>
        <w:t>8.1 Pre-flight validation</w:t>
      </w:r>
    </w:p>
    <w:p>
      <w:r>
        <w:t>The check_synthea_files script expects patients.csv, encounters.csv, observations.csv, and medications.csv. It verifies file presence, required headers, and data-row counts before import.</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CSV file</w:t>
            </w:r>
          </w:p>
        </w:tc>
        <w:tc>
          <w:tcPr>
            <w:tcW w:type="dxa" w:w="4759"/>
            <w:vAlign w:val="center"/>
            <w:shd w:fill="D9E1F2"/>
          </w:tcPr>
          <w:p>
            <w:pPr>
              <w:jc w:val="left"/>
            </w:pPr>
            <w:r/>
            <w:r>
              <w:rPr>
                <w:rFonts w:ascii="Times New Roman" w:hAnsi="Times New Roman" w:eastAsia="Times New Roman"/>
                <w:b/>
                <w:sz w:val="17"/>
              </w:rPr>
              <w:t>Required source fields shown in the validator</w:t>
            </w:r>
          </w:p>
        </w:tc>
      </w:tr>
      <w:tr>
        <w:trPr>
          <w:cantSplit/>
        </w:trPr>
        <w:tc>
          <w:tcPr>
            <w:tcW w:type="dxa" w:w="4759"/>
            <w:vAlign w:val="center"/>
          </w:tcPr>
          <w:p>
            <w:pPr>
              <w:jc w:val="left"/>
            </w:pPr>
            <w:r/>
            <w:r>
              <w:rPr>
                <w:rFonts w:ascii="Times New Roman" w:hAnsi="Times New Roman" w:eastAsia="Times New Roman"/>
                <w:b w:val="0"/>
                <w:sz w:val="17"/>
              </w:rPr>
              <w:t>patients.csv</w:t>
            </w:r>
          </w:p>
        </w:tc>
        <w:tc>
          <w:tcPr>
            <w:tcW w:type="dxa" w:w="4759"/>
            <w:vAlign w:val="center"/>
          </w:tcPr>
          <w:p>
            <w:pPr>
              <w:jc w:val="left"/>
            </w:pPr>
            <w:r/>
            <w:r>
              <w:rPr>
                <w:rFonts w:ascii="Times New Roman" w:hAnsi="Times New Roman" w:eastAsia="Times New Roman"/>
                <w:b w:val="0"/>
                <w:sz w:val="17"/>
              </w:rPr>
              <w:t>Id, FIRST, LAST, BIRTHDATE, GENDER</w:t>
            </w:r>
          </w:p>
        </w:tc>
      </w:tr>
      <w:tr>
        <w:trPr>
          <w:cantSplit/>
        </w:trPr>
        <w:tc>
          <w:tcPr>
            <w:tcW w:type="dxa" w:w="4759"/>
            <w:vAlign w:val="center"/>
          </w:tcPr>
          <w:p>
            <w:pPr>
              <w:jc w:val="left"/>
            </w:pPr>
            <w:r/>
            <w:r>
              <w:rPr>
                <w:rFonts w:ascii="Times New Roman" w:hAnsi="Times New Roman" w:eastAsia="Times New Roman"/>
                <w:b w:val="0"/>
                <w:sz w:val="17"/>
              </w:rPr>
              <w:t>encounters.csv</w:t>
            </w:r>
          </w:p>
        </w:tc>
        <w:tc>
          <w:tcPr>
            <w:tcW w:type="dxa" w:w="4759"/>
            <w:vAlign w:val="center"/>
          </w:tcPr>
          <w:p>
            <w:pPr>
              <w:jc w:val="left"/>
            </w:pPr>
            <w:r/>
            <w:r>
              <w:rPr>
                <w:rFonts w:ascii="Times New Roman" w:hAnsi="Times New Roman" w:eastAsia="Times New Roman"/>
                <w:b w:val="0"/>
                <w:sz w:val="17"/>
              </w:rPr>
              <w:t>Id, PATIENT, START, ENCOUNTERCLASS</w:t>
            </w:r>
          </w:p>
        </w:tc>
      </w:tr>
      <w:tr>
        <w:trPr>
          <w:cantSplit/>
        </w:trPr>
        <w:tc>
          <w:tcPr>
            <w:tcW w:type="dxa" w:w="4759"/>
            <w:vAlign w:val="center"/>
          </w:tcPr>
          <w:p>
            <w:pPr>
              <w:jc w:val="left"/>
            </w:pPr>
            <w:r/>
            <w:r>
              <w:rPr>
                <w:rFonts w:ascii="Times New Roman" w:hAnsi="Times New Roman" w:eastAsia="Times New Roman"/>
                <w:b w:val="0"/>
                <w:sz w:val="17"/>
              </w:rPr>
              <w:t>observations.csv</w:t>
            </w:r>
          </w:p>
        </w:tc>
        <w:tc>
          <w:tcPr>
            <w:tcW w:type="dxa" w:w="4759"/>
            <w:vAlign w:val="center"/>
          </w:tcPr>
          <w:p>
            <w:pPr>
              <w:jc w:val="left"/>
            </w:pPr>
            <w:r/>
            <w:r>
              <w:rPr>
                <w:rFonts w:ascii="Times New Roman" w:hAnsi="Times New Roman" w:eastAsia="Times New Roman"/>
                <w:b w:val="0"/>
                <w:sz w:val="17"/>
              </w:rPr>
              <w:t>DATE, PATIENT, CODE, DESCRIPTION, VALUE, UNITS</w:t>
            </w:r>
          </w:p>
        </w:tc>
      </w:tr>
      <w:tr>
        <w:trPr>
          <w:cantSplit/>
        </w:trPr>
        <w:tc>
          <w:tcPr>
            <w:tcW w:type="dxa" w:w="4759"/>
            <w:vAlign w:val="center"/>
          </w:tcPr>
          <w:p>
            <w:pPr>
              <w:jc w:val="left"/>
            </w:pPr>
            <w:r/>
            <w:r>
              <w:rPr>
                <w:rFonts w:ascii="Times New Roman" w:hAnsi="Times New Roman" w:eastAsia="Times New Roman"/>
                <w:b w:val="0"/>
                <w:sz w:val="17"/>
              </w:rPr>
              <w:t>medications.csv</w:t>
            </w:r>
          </w:p>
        </w:tc>
        <w:tc>
          <w:tcPr>
            <w:tcW w:type="dxa" w:w="4759"/>
            <w:vAlign w:val="center"/>
          </w:tcPr>
          <w:p>
            <w:pPr>
              <w:jc w:val="left"/>
            </w:pPr>
            <w:r/>
            <w:r>
              <w:rPr>
                <w:rFonts w:ascii="Times New Roman" w:hAnsi="Times New Roman" w:eastAsia="Times New Roman"/>
                <w:b w:val="0"/>
                <w:sz w:val="17"/>
              </w:rPr>
              <w:t>START, PATIENT, CODE, DESCRIPTION</w:t>
            </w:r>
          </w:p>
        </w:tc>
      </w:tr>
    </w:tbl>
    <w:p/>
    <w:p>
      <w:pPr>
        <w:pStyle w:val="Heading2"/>
      </w:pPr>
      <w:r>
        <w:t>8.2 Import order</w:t>
      </w:r>
    </w:p>
    <w:p>
      <w:r>
        <w:t>The combined pipeline imports patients first, followed by encounters, observations, and medications. This order is necessary because dependent importers resolve patient and encounter external identifiers before creating child records.</w:t>
      </w:r>
    </w:p>
    <w:p>
      <w:pPr>
        <w:pStyle w:val="Heading2"/>
      </w:pPr>
      <w:r>
        <w:t>8.3 Idempotent source identity</w:t>
      </w:r>
    </w:p>
    <w:p>
      <w:r>
        <w:t>Patient and encounter importers use Synthea identifiers directly as external_id with source_system set to synthea. Observation and medication files do not rely on a single source row identifier. Their importers construct deterministic SHA-256-based identifiers from selected source fields. Existing records with the same source identity are updated rather than duplicated.</w:t>
      </w:r>
    </w:p>
    <w:p>
      <w:pPr>
        <w:pStyle w:val="Heading2"/>
      </w:pPr>
      <w:r>
        <w:t>8.4 Transformations and batching</w:t>
      </w:r>
    </w:p>
    <w:p>
      <w:r>
        <w:t>Importers normalize optional strings, parse ISO date/time values, convert timezone-aware values to UTC and remove timezone information before persistence, map Synthea gender values, select default coding systems, derive record status, and separate numeric from textual observation values. Observation and medication importers commit in batches of 1,000 processed rows and report skip reasons.</w:t>
      </w:r>
    </w:p>
    <w:p>
      <w:pPr>
        <w:pStyle w:val="Heading2"/>
      </w:pPr>
      <w:r>
        <w:t>8.5 Conditions ingestion gap</w:t>
      </w:r>
    </w:p>
    <w:p>
      <w:r>
        <w:t>The validated database contains 643,513 Condition rows and the API contains a Condition model and FHIR router. However, the uploaded source does not include a Synthea condition importer or an all-pipeline step for conditions. The chapter therefore cannot attribute those rows to a specific demonstrated ingestion procedure. The missing importer should be documented or added to the evidence set.</w:t>
      </w:r>
    </w:p>
    <w:p>
      <w:pPr>
        <w:pStyle w:val="Heading1"/>
      </w:pPr>
      <w:r>
        <w:t>9. Database Migration Management</w:t>
      </w:r>
    </w:p>
    <w:p>
      <w:r>
        <w:t>Alembic manages schema evolution. The current recorded revision is 685666386ae6, which adds the conditions table and is marked as head. Earlier migrations shown in the source create patients, encounters, observations, prescriptions, and diagnostic reports.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Revision</w:t>
            </w:r>
          </w:p>
        </w:tc>
        <w:tc>
          <w:tcPr>
            <w:tcW w:type="dxa" w:w="4759"/>
            <w:vAlign w:val="center"/>
            <w:shd w:fill="D9E1F2"/>
          </w:tcPr>
          <w:p>
            <w:pPr>
              <w:jc w:val="left"/>
            </w:pPr>
            <w:r/>
            <w:r>
              <w:rPr>
                <w:rFonts w:ascii="Times New Roman" w:hAnsi="Times New Roman" w:eastAsia="Times New Roman"/>
                <w:b/>
                <w:sz w:val="17"/>
              </w:rPr>
              <w:t>Schema contribution</w:t>
            </w:r>
          </w:p>
        </w:tc>
      </w:tr>
      <w:tr>
        <w:trPr>
          <w:cantSplit/>
        </w:trPr>
        <w:tc>
          <w:tcPr>
            <w:tcW w:type="dxa" w:w="4759"/>
            <w:vAlign w:val="center"/>
          </w:tcPr>
          <w:p>
            <w:pPr>
              <w:jc w:val="left"/>
            </w:pPr>
            <w:r/>
            <w:r>
              <w:rPr>
                <w:rFonts w:ascii="Times New Roman" w:hAnsi="Times New Roman" w:eastAsia="Times New Roman"/>
                <w:b w:val="0"/>
                <w:sz w:val="17"/>
              </w:rPr>
              <w:t>67172335d89c</w:t>
            </w:r>
          </w:p>
        </w:tc>
        <w:tc>
          <w:tcPr>
            <w:tcW w:type="dxa" w:w="4759"/>
            <w:vAlign w:val="center"/>
          </w:tcPr>
          <w:p>
            <w:pPr>
              <w:jc w:val="left"/>
            </w:pPr>
            <w:r/>
            <w:r>
              <w:rPr>
                <w:rFonts w:ascii="Times New Roman" w:hAnsi="Times New Roman" w:eastAsia="Times New Roman"/>
                <w:b w:val="0"/>
                <w:sz w:val="17"/>
              </w:rPr>
              <w:t>Patients table</w:t>
            </w:r>
          </w:p>
        </w:tc>
      </w:tr>
      <w:tr>
        <w:trPr>
          <w:cantSplit/>
        </w:trPr>
        <w:tc>
          <w:tcPr>
            <w:tcW w:type="dxa" w:w="4759"/>
            <w:vAlign w:val="center"/>
          </w:tcPr>
          <w:p>
            <w:pPr>
              <w:jc w:val="left"/>
            </w:pPr>
            <w:r/>
            <w:r>
              <w:rPr>
                <w:rFonts w:ascii="Times New Roman" w:hAnsi="Times New Roman" w:eastAsia="Times New Roman"/>
                <w:b w:val="0"/>
                <w:sz w:val="17"/>
              </w:rPr>
              <w:t>b734f3f99abc</w:t>
            </w:r>
          </w:p>
        </w:tc>
        <w:tc>
          <w:tcPr>
            <w:tcW w:type="dxa" w:w="4759"/>
            <w:vAlign w:val="center"/>
          </w:tcPr>
          <w:p>
            <w:pPr>
              <w:jc w:val="left"/>
            </w:pPr>
            <w:r/>
            <w:r>
              <w:rPr>
                <w:rFonts w:ascii="Times New Roman" w:hAnsi="Times New Roman" w:eastAsia="Times New Roman"/>
                <w:b w:val="0"/>
                <w:sz w:val="17"/>
              </w:rPr>
              <w:t>Encounters table</w:t>
            </w:r>
          </w:p>
        </w:tc>
      </w:tr>
      <w:tr>
        <w:trPr>
          <w:cantSplit/>
        </w:trPr>
        <w:tc>
          <w:tcPr>
            <w:tcW w:type="dxa" w:w="4759"/>
            <w:vAlign w:val="center"/>
          </w:tcPr>
          <w:p>
            <w:pPr>
              <w:jc w:val="left"/>
            </w:pPr>
            <w:r/>
            <w:r>
              <w:rPr>
                <w:rFonts w:ascii="Times New Roman" w:hAnsi="Times New Roman" w:eastAsia="Times New Roman"/>
                <w:b w:val="0"/>
                <w:sz w:val="17"/>
              </w:rPr>
              <w:t>5cda57afee5d</w:t>
            </w:r>
          </w:p>
        </w:tc>
        <w:tc>
          <w:tcPr>
            <w:tcW w:type="dxa" w:w="4759"/>
            <w:vAlign w:val="center"/>
          </w:tcPr>
          <w:p>
            <w:pPr>
              <w:jc w:val="left"/>
            </w:pPr>
            <w:r/>
            <w:r>
              <w:rPr>
                <w:rFonts w:ascii="Times New Roman" w:hAnsi="Times New Roman" w:eastAsia="Times New Roman"/>
                <w:b w:val="0"/>
                <w:sz w:val="17"/>
              </w:rPr>
              <w:t>Observations table</w:t>
            </w:r>
          </w:p>
        </w:tc>
      </w:tr>
      <w:tr>
        <w:trPr>
          <w:cantSplit/>
        </w:trPr>
        <w:tc>
          <w:tcPr>
            <w:tcW w:type="dxa" w:w="4759"/>
            <w:vAlign w:val="center"/>
          </w:tcPr>
          <w:p>
            <w:pPr>
              <w:jc w:val="left"/>
            </w:pPr>
            <w:r/>
            <w:r>
              <w:rPr>
                <w:rFonts w:ascii="Times New Roman" w:hAnsi="Times New Roman" w:eastAsia="Times New Roman"/>
                <w:b w:val="0"/>
                <w:sz w:val="17"/>
              </w:rPr>
              <w:t>dd10de0050e3</w:t>
            </w:r>
          </w:p>
        </w:tc>
        <w:tc>
          <w:tcPr>
            <w:tcW w:type="dxa" w:w="4759"/>
            <w:vAlign w:val="center"/>
          </w:tcPr>
          <w:p>
            <w:pPr>
              <w:jc w:val="left"/>
            </w:pPr>
            <w:r/>
            <w:r>
              <w:rPr>
                <w:rFonts w:ascii="Times New Roman" w:hAnsi="Times New Roman" w:eastAsia="Times New Roman"/>
                <w:b w:val="0"/>
                <w:sz w:val="17"/>
              </w:rPr>
              <w:t>Prescriptions table</w:t>
            </w:r>
          </w:p>
        </w:tc>
      </w:tr>
      <w:tr>
        <w:trPr>
          <w:cantSplit/>
        </w:trPr>
        <w:tc>
          <w:tcPr>
            <w:tcW w:type="dxa" w:w="4759"/>
            <w:vAlign w:val="center"/>
          </w:tcPr>
          <w:p>
            <w:pPr>
              <w:jc w:val="left"/>
            </w:pPr>
            <w:r/>
            <w:r>
              <w:rPr>
                <w:rFonts w:ascii="Times New Roman" w:hAnsi="Times New Roman" w:eastAsia="Times New Roman"/>
                <w:b w:val="0"/>
                <w:sz w:val="17"/>
              </w:rPr>
              <w:t>f3c250badef9</w:t>
            </w:r>
          </w:p>
        </w:tc>
        <w:tc>
          <w:tcPr>
            <w:tcW w:type="dxa" w:w="4759"/>
            <w:vAlign w:val="center"/>
          </w:tcPr>
          <w:p>
            <w:pPr>
              <w:jc w:val="left"/>
            </w:pPr>
            <w:r/>
            <w:r>
              <w:rPr>
                <w:rFonts w:ascii="Times New Roman" w:hAnsi="Times New Roman" w:eastAsia="Times New Roman"/>
                <w:b w:val="0"/>
                <w:sz w:val="17"/>
              </w:rPr>
              <w:t>Diagnostic reports table</w:t>
            </w:r>
          </w:p>
        </w:tc>
      </w:tr>
      <w:tr>
        <w:trPr>
          <w:cantSplit/>
        </w:trPr>
        <w:tc>
          <w:tcPr>
            <w:tcW w:type="dxa" w:w="4759"/>
            <w:vAlign w:val="center"/>
          </w:tcPr>
          <w:p>
            <w:pPr>
              <w:jc w:val="left"/>
            </w:pPr>
            <w:r/>
            <w:r>
              <w:rPr>
                <w:rFonts w:ascii="Times New Roman" w:hAnsi="Times New Roman" w:eastAsia="Times New Roman"/>
                <w:b w:val="0"/>
                <w:sz w:val="17"/>
              </w:rPr>
              <w:t>685666386ae6</w:t>
            </w:r>
          </w:p>
        </w:tc>
        <w:tc>
          <w:tcPr>
            <w:tcW w:type="dxa" w:w="4759"/>
            <w:vAlign w:val="center"/>
          </w:tcPr>
          <w:p>
            <w:pPr>
              <w:jc w:val="left"/>
            </w:pPr>
            <w:r/>
            <w:r>
              <w:rPr>
                <w:rFonts w:ascii="Times New Roman" w:hAnsi="Times New Roman" w:eastAsia="Times New Roman"/>
                <w:b w:val="0"/>
                <w:sz w:val="17"/>
              </w:rPr>
              <w:t>Conditions table; current head</w:t>
            </w:r>
          </w:p>
        </w:tc>
      </w:tr>
    </w:tbl>
    <w:p/>
    <w:p>
      <w:r>
        <w:t>The supplied encounter downgrade migration attempts to drop indexes that are not all created in the shown upgrade function. This should be reviewed because a downgrade may fail when an index name is absent. Migration downgrade paths require the same level of testing as upgrade paths.</w:t>
      </w:r>
    </w:p>
    <w:p>
      <w:r>
        <w:t>The base_imports module imports Condition after the __all__ declaration and does not include Condition in __all__. Direct module import still executes the final import, but the organization is inconsistent and should be cleaned to avoid migration-discovery confusion.</w:t>
      </w:r>
    </w:p>
    <w:p>
      <w:pPr>
        <w:pStyle w:val="Heading1"/>
      </w:pPr>
      <w:r>
        <w:t>10. Interoperability and Data-Quality Limitations</w:t>
      </w:r>
    </w:p>
    <w:p>
      <w:pPr>
        <w:pStyle w:val="ListBullet"/>
      </w:pPr>
      <w:r>
        <w:t>The resource mappings are intentionally lightweight and do not demonstrate full HL7 FHIR conformance.</w:t>
      </w:r>
    </w:p>
    <w:p>
      <w:pPr>
        <w:pStyle w:val="ListBullet"/>
      </w:pPr>
      <w:r>
        <w:t>No FHIR version is declared in the minimal CapabilityStatement-like response.</w:t>
      </w:r>
    </w:p>
    <w:p>
      <w:pPr>
        <w:pStyle w:val="ListBullet"/>
      </w:pPr>
      <w:r>
        <w:t>FHIR resources do not show profiles, meta.profile, narrative text, OperationOutcome responses, or terminology validation.</w:t>
      </w:r>
    </w:p>
    <w:p>
      <w:pPr>
        <w:pStyle w:val="ListBullet"/>
      </w:pPr>
      <w:r>
        <w:t>Patient and Observation search totals report returned rows rather than all matching rows.</w:t>
      </w:r>
    </w:p>
    <w:p>
      <w:pPr>
        <w:pStyle w:val="ListBullet"/>
      </w:pPr>
      <w:r>
        <w:t>Patient/$everything omits Conditions and DiagnosticReports and has no pagination or date filtering.</w:t>
      </w:r>
    </w:p>
    <w:p>
      <w:pPr>
        <w:pStyle w:val="ListBullet"/>
      </w:pPr>
      <w:r>
        <w:t>Diagnostic reports are available only through the native REST API, not as a FHIR DiagnosticReport resource.</w:t>
      </w:r>
    </w:p>
    <w:p>
      <w:pPr>
        <w:pStyle w:val="ListBullet"/>
      </w:pPr>
      <w:r>
        <w:t>The uploaded source does not demonstrate a Condition ingestion pipeline.</w:t>
      </w:r>
    </w:p>
    <w:p>
      <w:pPr>
        <w:pStyle w:val="ListBullet"/>
      </w:pPr>
      <w:r>
        <w:t>Timestamps are stored in timezone-capable database columns, while importers convert aware values to UTC and then remove tzinfo before persistence. This behavior should be standardized and tested.</w:t>
      </w:r>
    </w:p>
    <w:p>
      <w:pPr>
        <w:pStyle w:val="ListBullet"/>
      </w:pPr>
      <w:r>
        <w:t>Source-system uniqueness depends on both source_system and external_id. Null combinations require careful handling because SQL uniqueness semantics may permit multiple null external identifiers.</w:t>
      </w:r>
    </w:p>
    <w:p>
      <w:pPr>
        <w:pStyle w:val="ListBullet"/>
      </w:pPr>
      <w:r>
        <w:t>Most SQLAlchemy models define foreign keys but do not expose ORM relationship collections for clinical navigation.</w:t>
      </w:r>
    </w:p>
    <w:p>
      <w:pPr>
        <w:pStyle w:val="Heading1"/>
      </w:pPr>
      <w:r>
        <w:t>11. Recommended Improvements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Priority</w:t>
            </w:r>
          </w:p>
        </w:tc>
        <w:tc>
          <w:tcPr>
            <w:tcW w:type="dxa" w:w="4759"/>
            <w:vAlign w:val="center"/>
            <w:shd w:fill="D9E1F2"/>
          </w:tcPr>
          <w:p>
            <w:pPr>
              <w:jc w:val="left"/>
            </w:pPr>
            <w:r/>
            <w:r>
              <w:rPr>
                <w:rFonts w:ascii="Times New Roman" w:hAnsi="Times New Roman" w:eastAsia="Times New Roman"/>
                <w:b/>
                <w:sz w:val="16"/>
              </w:rPr>
              <w:t>Recommended action</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Document the exact FHIR release and explicitly state the supported subset.</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Expand CapabilityStatement content to list resources, interactions, search parameters, formats and security.</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Add Condition and DiagnosticReport to Patient/$everything, with pagination or date bounds.</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Provide and validate the missing Condition ingestion workflow.</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Add a FHIR DiagnosticReport representation and a controlled Binary or attachment retrieval strategy.</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Correct Bundle total behavior and add pagination links for search endpoints.</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Add required or commonly expected fields such as MedicationRequest.intent and Encounter.class/period.</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Standardize UTC timezone persistence and round-trip tests.</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Test all Alembic downgrade paths and correct inconsistent index operations.</w:t>
            </w:r>
          </w:p>
        </w:tc>
      </w:tr>
      <w:tr>
        <w:trPr>
          <w:cantSplit/>
        </w:trPr>
        <w:tc>
          <w:tcPr>
            <w:tcW w:type="dxa" w:w="4759"/>
            <w:vAlign w:val="center"/>
          </w:tcPr>
          <w:p>
            <w:pPr>
              <w:jc w:val="left"/>
            </w:pPr>
            <w:r/>
            <w:r>
              <w:rPr>
                <w:rFonts w:ascii="Times New Roman" w:hAnsi="Times New Roman" w:eastAsia="Times New Roman"/>
                <w:b w:val="0"/>
                <w:sz w:val="16"/>
              </w:rPr>
              <w:t>P3</w:t>
            </w:r>
          </w:p>
        </w:tc>
        <w:tc>
          <w:tcPr>
            <w:tcW w:type="dxa" w:w="4759"/>
            <w:vAlign w:val="center"/>
          </w:tcPr>
          <w:p>
            <w:pPr>
              <w:jc w:val="left"/>
            </w:pPr>
            <w:r/>
            <w:r>
              <w:rPr>
                <w:rFonts w:ascii="Times New Roman" w:hAnsi="Times New Roman" w:eastAsia="Times New Roman"/>
                <w:b w:val="0"/>
                <w:sz w:val="16"/>
              </w:rPr>
              <w:t>Add terminology validation for LOINC, RxNorm and condition code systems where feasible.</w:t>
            </w:r>
          </w:p>
        </w:tc>
      </w:tr>
      <w:tr>
        <w:trPr>
          <w:cantSplit/>
        </w:trPr>
        <w:tc>
          <w:tcPr>
            <w:tcW w:type="dxa" w:w="4759"/>
            <w:vAlign w:val="center"/>
          </w:tcPr>
          <w:p>
            <w:pPr>
              <w:jc w:val="left"/>
            </w:pPr>
            <w:r/>
            <w:r>
              <w:rPr>
                <w:rFonts w:ascii="Times New Roman" w:hAnsi="Times New Roman" w:eastAsia="Times New Roman"/>
                <w:b w:val="0"/>
                <w:sz w:val="16"/>
              </w:rPr>
              <w:t>P3</w:t>
            </w:r>
          </w:p>
        </w:tc>
        <w:tc>
          <w:tcPr>
            <w:tcW w:type="dxa" w:w="4759"/>
            <w:vAlign w:val="center"/>
          </w:tcPr>
          <w:p>
            <w:pPr>
              <w:jc w:val="left"/>
            </w:pPr>
            <w:r/>
            <w:r>
              <w:rPr>
                <w:rFonts w:ascii="Times New Roman" w:hAnsi="Times New Roman" w:eastAsia="Times New Roman"/>
                <w:b w:val="0"/>
                <w:sz w:val="16"/>
              </w:rPr>
              <w:t>Add ORM relationships for patient-centered navigation while retaining explicit query controls.</w:t>
            </w:r>
          </w:p>
        </w:tc>
      </w:tr>
      <w:tr>
        <w:trPr>
          <w:cantSplit/>
        </w:trPr>
        <w:tc>
          <w:tcPr>
            <w:tcW w:type="dxa" w:w="4759"/>
            <w:vAlign w:val="center"/>
          </w:tcPr>
          <w:p>
            <w:pPr>
              <w:jc w:val="left"/>
            </w:pPr>
            <w:r/>
            <w:r>
              <w:rPr>
                <w:rFonts w:ascii="Times New Roman" w:hAnsi="Times New Roman" w:eastAsia="Times New Roman"/>
                <w:b w:val="0"/>
                <w:sz w:val="16"/>
              </w:rPr>
              <w:t>P3</w:t>
            </w:r>
          </w:p>
        </w:tc>
        <w:tc>
          <w:tcPr>
            <w:tcW w:type="dxa" w:w="4759"/>
            <w:vAlign w:val="center"/>
          </w:tcPr>
          <w:p>
            <w:pPr>
              <w:jc w:val="left"/>
            </w:pPr>
            <w:r/>
            <w:r>
              <w:rPr>
                <w:rFonts w:ascii="Times New Roman" w:hAnsi="Times New Roman" w:eastAsia="Times New Roman"/>
                <w:b w:val="0"/>
                <w:sz w:val="16"/>
              </w:rPr>
              <w:t>Create data-quality reports for skipped imports, duplicate source rows and unresolved encounters.</w:t>
            </w:r>
          </w:p>
        </w:tc>
      </w:tr>
    </w:tbl>
    <w:p/>
    <w:p>
      <w:pPr>
        <w:pStyle w:val="Heading1"/>
      </w:pPr>
      <w:r>
        <w:t>12. Conclusion</w:t>
      </w:r>
    </w:p>
    <w:p>
      <w:r>
        <w:t>The Healthcare Cloud Platform provides a substantial patient-centered data layer with relational integrity, source-aware ingestion, application validation, auditability, and hybrid object storage. The validated database contains 1,541,374 core clinical rows across five major clinical entities.</w:t>
      </w:r>
    </w:p>
    <w:p>
      <w:r>
        <w:t>The Synthea pipeline demonstrates reproducible ingestion for patients, encounters, observations, and medications. Deterministic external identifiers, create-or-update logic, relationship resolution, batch commits, and skip accounting support repeatable imports.</w:t>
      </w:r>
    </w:p>
    <w:p>
      <w:r>
        <w:t>The interoperability layer provides a useful FHIR-inspired read interface but remains a partial mapping. The scientifically accurate claim is that the platform exposes selected FHIR-named resources and Bundle-like responses, not that it is fully FHIR compliant. Addressing CapabilityStatement completeness, missing resource fields, Bundle semantics, $everything coverage, diagnostic-report representation, and the missing condition ingestion evidence would materially strengthen the interoperability contribution.</w:t>
      </w:r>
    </w:p>
    <w:p>
      <w:r>
        <w:br w:type="page"/>
      </w:r>
    </w:p>
    <w:p>
      <w:pPr>
        <w:pStyle w:val="Heading1"/>
      </w:pPr>
      <w:r>
        <w:t>Appendix A. Validated Table Inventory</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Table or entity</w:t>
            </w:r>
          </w:p>
        </w:tc>
        <w:tc>
          <w:tcPr>
            <w:tcW w:type="dxa" w:w="3173"/>
            <w:vAlign w:val="center"/>
            <w:shd w:fill="D9E1F2"/>
          </w:tcPr>
          <w:p>
            <w:pPr>
              <w:jc w:val="left"/>
            </w:pPr>
            <w:r/>
            <w:r>
              <w:rPr>
                <w:rFonts w:ascii="Times New Roman" w:hAnsi="Times New Roman" w:eastAsia="Times New Roman"/>
                <w:b/>
                <w:sz w:val="17"/>
              </w:rPr>
              <w:t>Rows</w:t>
            </w:r>
          </w:p>
        </w:tc>
        <w:tc>
          <w:tcPr>
            <w:tcW w:type="dxa" w:w="3173"/>
            <w:vAlign w:val="center"/>
            <w:shd w:fill="D9E1F2"/>
          </w:tcPr>
          <w:p>
            <w:pPr>
              <w:jc w:val="left"/>
            </w:pPr>
            <w:r/>
            <w:r>
              <w:rPr>
                <w:rFonts w:ascii="Times New Roman" w:hAnsi="Times New Roman" w:eastAsia="Times New Roman"/>
                <w:b/>
                <w:sz w:val="17"/>
              </w:rPr>
              <w:t>Restore evidence</w:t>
            </w:r>
          </w:p>
        </w:tc>
      </w:tr>
      <w:tr>
        <w:trPr>
          <w:cantSplit/>
        </w:trPr>
        <w:tc>
          <w:tcPr>
            <w:tcW w:type="dxa" w:w="3173"/>
            <w:vAlign w:val="center"/>
          </w:tcPr>
          <w:p>
            <w:pPr>
              <w:jc w:val="left"/>
            </w:pPr>
            <w:r/>
            <w:r>
              <w:rPr>
                <w:rFonts w:ascii="Times New Roman" w:hAnsi="Times New Roman" w:eastAsia="Times New Roman"/>
                <w:b w:val="0"/>
                <w:sz w:val="17"/>
              </w:rPr>
              <w:t>Patients</w:t>
            </w:r>
          </w:p>
        </w:tc>
        <w:tc>
          <w:tcPr>
            <w:tcW w:type="dxa" w:w="3173"/>
            <w:vAlign w:val="center"/>
          </w:tcPr>
          <w:p>
            <w:pPr>
              <w:jc w:val="left"/>
            </w:pPr>
            <w:r/>
            <w:r>
              <w:rPr>
                <w:rFonts w:ascii="Times New Roman" w:hAnsi="Times New Roman" w:eastAsia="Times New Roman"/>
                <w:b w:val="0"/>
                <w:sz w:val="17"/>
              </w:rPr>
              <w:t>117,581</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Encounters</w:t>
            </w:r>
          </w:p>
        </w:tc>
        <w:tc>
          <w:tcPr>
            <w:tcW w:type="dxa" w:w="3173"/>
            <w:vAlign w:val="center"/>
          </w:tcPr>
          <w:p>
            <w:pPr>
              <w:jc w:val="left"/>
            </w:pPr>
            <w:r/>
            <w:r>
              <w:rPr>
                <w:rFonts w:ascii="Times New Roman" w:hAnsi="Times New Roman" w:eastAsia="Times New Roman"/>
                <w:b w:val="0"/>
                <w:sz w:val="17"/>
              </w:rPr>
              <w:t>121,649</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Conditions</w:t>
            </w:r>
          </w:p>
        </w:tc>
        <w:tc>
          <w:tcPr>
            <w:tcW w:type="dxa" w:w="3173"/>
            <w:vAlign w:val="center"/>
          </w:tcPr>
          <w:p>
            <w:pPr>
              <w:jc w:val="left"/>
            </w:pPr>
            <w:r/>
            <w:r>
              <w:rPr>
                <w:rFonts w:ascii="Times New Roman" w:hAnsi="Times New Roman" w:eastAsia="Times New Roman"/>
                <w:b w:val="0"/>
                <w:sz w:val="17"/>
              </w:rPr>
              <w:t>643,513</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Observations</w:t>
            </w:r>
          </w:p>
        </w:tc>
        <w:tc>
          <w:tcPr>
            <w:tcW w:type="dxa" w:w="3173"/>
            <w:vAlign w:val="center"/>
          </w:tcPr>
          <w:p>
            <w:pPr>
              <w:jc w:val="left"/>
            </w:pPr>
            <w:r/>
            <w:r>
              <w:rPr>
                <w:rFonts w:ascii="Times New Roman" w:hAnsi="Times New Roman" w:eastAsia="Times New Roman"/>
                <w:b w:val="0"/>
                <w:sz w:val="17"/>
              </w:rPr>
              <w:t>592,173</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Prescriptions</w:t>
            </w:r>
          </w:p>
        </w:tc>
        <w:tc>
          <w:tcPr>
            <w:tcW w:type="dxa" w:w="3173"/>
            <w:vAlign w:val="center"/>
          </w:tcPr>
          <w:p>
            <w:pPr>
              <w:jc w:val="left"/>
            </w:pPr>
            <w:r/>
            <w:r>
              <w:rPr>
                <w:rFonts w:ascii="Times New Roman" w:hAnsi="Times New Roman" w:eastAsia="Times New Roman"/>
                <w:b w:val="0"/>
                <w:sz w:val="17"/>
              </w:rPr>
              <w:t>66,458</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Diagnostic reports</w:t>
            </w:r>
          </w:p>
        </w:tc>
        <w:tc>
          <w:tcPr>
            <w:tcW w:type="dxa" w:w="3173"/>
            <w:vAlign w:val="center"/>
          </w:tcPr>
          <w:p>
            <w:pPr>
              <w:jc w:val="left"/>
            </w:pPr>
            <w:r/>
            <w:r>
              <w:rPr>
                <w:rFonts w:ascii="Times New Roman" w:hAnsi="Times New Roman" w:eastAsia="Times New Roman"/>
                <w:b w:val="0"/>
                <w:sz w:val="17"/>
              </w:rPr>
              <w:t>5</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Audit logs</w:t>
            </w:r>
          </w:p>
        </w:tc>
        <w:tc>
          <w:tcPr>
            <w:tcW w:type="dxa" w:w="3173"/>
            <w:vAlign w:val="center"/>
          </w:tcPr>
          <w:p>
            <w:pPr>
              <w:jc w:val="left"/>
            </w:pPr>
            <w:r/>
            <w:r>
              <w:rPr>
                <w:rFonts w:ascii="Times New Roman" w:hAnsi="Times New Roman" w:eastAsia="Times New Roman"/>
                <w:b w:val="0"/>
                <w:sz w:val="17"/>
              </w:rPr>
              <w:t>40,535</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Users</w:t>
            </w:r>
          </w:p>
        </w:tc>
        <w:tc>
          <w:tcPr>
            <w:tcW w:type="dxa" w:w="3173"/>
            <w:vAlign w:val="center"/>
          </w:tcPr>
          <w:p>
            <w:pPr>
              <w:jc w:val="left"/>
            </w:pPr>
            <w:r/>
            <w:r>
              <w:rPr>
                <w:rFonts w:ascii="Times New Roman" w:hAnsi="Times New Roman" w:eastAsia="Times New Roman"/>
                <w:b w:val="0"/>
                <w:sz w:val="17"/>
              </w:rPr>
              <w:t>6</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Roles</w:t>
            </w:r>
          </w:p>
        </w:tc>
        <w:tc>
          <w:tcPr>
            <w:tcW w:type="dxa" w:w="3173"/>
            <w:vAlign w:val="center"/>
          </w:tcPr>
          <w:p>
            <w:pPr>
              <w:jc w:val="left"/>
            </w:pPr>
            <w:r/>
            <w:r>
              <w:rPr>
                <w:rFonts w:ascii="Times New Roman" w:hAnsi="Times New Roman" w:eastAsia="Times New Roman"/>
                <w:b w:val="0"/>
                <w:sz w:val="17"/>
              </w:rPr>
              <w:t>6</w:t>
            </w:r>
          </w:p>
        </w:tc>
        <w:tc>
          <w:tcPr>
            <w:tcW w:type="dxa" w:w="3173"/>
            <w:vAlign w:val="center"/>
          </w:tcPr>
          <w:p>
            <w:pPr>
              <w:jc w:val="left"/>
            </w:pPr>
            <w:r/>
            <w:r>
              <w:rPr>
                <w:rFonts w:ascii="Times New Roman" w:hAnsi="Times New Roman" w:eastAsia="Times New Roman"/>
                <w:b w:val="0"/>
                <w:sz w:val="17"/>
              </w:rPr>
              <w:t>0 difference in supplied restore comparison</w:t>
            </w:r>
          </w:p>
        </w:tc>
      </w:tr>
    </w:tbl>
    <w:p/>
    <w:p>
      <w:pPr>
        <w:pStyle w:val="Heading1"/>
      </w:pPr>
      <w:r>
        <w:t>Appendix B.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Claim area</w:t>
            </w:r>
          </w:p>
        </w:tc>
        <w:tc>
          <w:tcPr>
            <w:tcW w:type="dxa" w:w="4759"/>
            <w:vAlign w:val="center"/>
            <w:shd w:fill="D9E1F2"/>
          </w:tcPr>
          <w:p>
            <w:pPr>
              <w:jc w:val="left"/>
            </w:pPr>
            <w:r/>
            <w:r>
              <w:rPr>
                <w:rFonts w:ascii="Times New Roman" w:hAnsi="Times New Roman" w:eastAsia="Times New Roman"/>
                <w:b/>
                <w:sz w:val="16"/>
              </w:rPr>
              <w:t>Primary source</w:t>
            </w:r>
          </w:p>
        </w:tc>
      </w:tr>
      <w:tr>
        <w:trPr>
          <w:cantSplit/>
        </w:trPr>
        <w:tc>
          <w:tcPr>
            <w:tcW w:type="dxa" w:w="4759"/>
            <w:vAlign w:val="center"/>
          </w:tcPr>
          <w:p>
            <w:pPr>
              <w:jc w:val="left"/>
            </w:pPr>
            <w:r/>
            <w:r>
              <w:rPr>
                <w:rFonts w:ascii="Times New Roman" w:hAnsi="Times New Roman" w:eastAsia="Times New Roman"/>
                <w:b w:val="0"/>
                <w:sz w:val="16"/>
              </w:rPr>
              <w:t>Clinical models</w:t>
            </w:r>
          </w:p>
        </w:tc>
        <w:tc>
          <w:tcPr>
            <w:tcW w:type="dxa" w:w="4759"/>
            <w:vAlign w:val="center"/>
          </w:tcPr>
          <w:p>
            <w:pPr>
              <w:jc w:val="left"/>
            </w:pPr>
            <w:r/>
            <w:r>
              <w:rPr>
                <w:rFonts w:ascii="Times New Roman" w:hAnsi="Times New Roman" w:eastAsia="Times New Roman"/>
                <w:b w:val="0"/>
                <w:sz w:val="16"/>
              </w:rPr>
              <w:t>backend/app/models/patient.py, encounter.py, condition.py, observation.py, prescription.py</w:t>
            </w:r>
          </w:p>
        </w:tc>
      </w:tr>
      <w:tr>
        <w:trPr>
          <w:cantSplit/>
        </w:trPr>
        <w:tc>
          <w:tcPr>
            <w:tcW w:type="dxa" w:w="4759"/>
            <w:vAlign w:val="center"/>
          </w:tcPr>
          <w:p>
            <w:pPr>
              <w:jc w:val="left"/>
            </w:pPr>
            <w:r/>
            <w:r>
              <w:rPr>
                <w:rFonts w:ascii="Times New Roman" w:hAnsi="Times New Roman" w:eastAsia="Times New Roman"/>
                <w:b w:val="0"/>
                <w:sz w:val="16"/>
              </w:rPr>
              <w:t>Diagnostic-report model</w:t>
            </w:r>
          </w:p>
        </w:tc>
        <w:tc>
          <w:tcPr>
            <w:tcW w:type="dxa" w:w="4759"/>
            <w:vAlign w:val="center"/>
          </w:tcPr>
          <w:p>
            <w:pPr>
              <w:jc w:val="left"/>
            </w:pPr>
            <w:r/>
            <w:r>
              <w:rPr>
                <w:rFonts w:ascii="Times New Roman" w:hAnsi="Times New Roman" w:eastAsia="Times New Roman"/>
                <w:b w:val="0"/>
                <w:sz w:val="16"/>
              </w:rPr>
              <w:t>backend/app/models/diagnostic_report.py</w:t>
            </w:r>
          </w:p>
        </w:tc>
      </w:tr>
      <w:tr>
        <w:trPr>
          <w:cantSplit/>
        </w:trPr>
        <w:tc>
          <w:tcPr>
            <w:tcW w:type="dxa" w:w="4759"/>
            <w:vAlign w:val="center"/>
          </w:tcPr>
          <w:p>
            <w:pPr>
              <w:jc w:val="left"/>
            </w:pPr>
            <w:r/>
            <w:r>
              <w:rPr>
                <w:rFonts w:ascii="Times New Roman" w:hAnsi="Times New Roman" w:eastAsia="Times New Roman"/>
                <w:b w:val="0"/>
                <w:sz w:val="16"/>
              </w:rPr>
              <w:t>Security entities</w:t>
            </w:r>
          </w:p>
        </w:tc>
        <w:tc>
          <w:tcPr>
            <w:tcW w:type="dxa" w:w="4759"/>
            <w:vAlign w:val="center"/>
          </w:tcPr>
          <w:p>
            <w:pPr>
              <w:jc w:val="left"/>
            </w:pPr>
            <w:r/>
            <w:r>
              <w:rPr>
                <w:rFonts w:ascii="Times New Roman" w:hAnsi="Times New Roman" w:eastAsia="Times New Roman"/>
                <w:b w:val="0"/>
                <w:sz w:val="16"/>
              </w:rPr>
              <w:t>backend/app/models/user.py, role.py, audit_log.py</w:t>
            </w:r>
          </w:p>
        </w:tc>
      </w:tr>
      <w:tr>
        <w:trPr>
          <w:cantSplit/>
        </w:trPr>
        <w:tc>
          <w:tcPr>
            <w:tcW w:type="dxa" w:w="4759"/>
            <w:vAlign w:val="center"/>
          </w:tcPr>
          <w:p>
            <w:pPr>
              <w:jc w:val="left"/>
            </w:pPr>
            <w:r/>
            <w:r>
              <w:rPr>
                <w:rFonts w:ascii="Times New Roman" w:hAnsi="Times New Roman" w:eastAsia="Times New Roman"/>
                <w:b w:val="0"/>
                <w:sz w:val="16"/>
              </w:rPr>
              <w:t>FHIR-inspired API</w:t>
            </w:r>
          </w:p>
        </w:tc>
        <w:tc>
          <w:tcPr>
            <w:tcW w:type="dxa" w:w="4759"/>
            <w:vAlign w:val="center"/>
          </w:tcPr>
          <w:p>
            <w:pPr>
              <w:jc w:val="left"/>
            </w:pPr>
            <w:r/>
            <w:r>
              <w:rPr>
                <w:rFonts w:ascii="Times New Roman" w:hAnsi="Times New Roman" w:eastAsia="Times New Roman"/>
                <w:b w:val="0"/>
                <w:sz w:val="16"/>
              </w:rPr>
              <w:t>backend/app/api/v1/endpoints/fhir.py and fhir_conditions.py</w:t>
            </w:r>
          </w:p>
        </w:tc>
      </w:tr>
      <w:tr>
        <w:trPr>
          <w:cantSplit/>
        </w:trPr>
        <w:tc>
          <w:tcPr>
            <w:tcW w:type="dxa" w:w="4759"/>
            <w:vAlign w:val="center"/>
          </w:tcPr>
          <w:p>
            <w:pPr>
              <w:jc w:val="left"/>
            </w:pPr>
            <w:r/>
            <w:r>
              <w:rPr>
                <w:rFonts w:ascii="Times New Roman" w:hAnsi="Times New Roman" w:eastAsia="Times New Roman"/>
                <w:b w:val="0"/>
                <w:sz w:val="16"/>
              </w:rPr>
              <w:t>Native clinical APIs</w:t>
            </w:r>
          </w:p>
        </w:tc>
        <w:tc>
          <w:tcPr>
            <w:tcW w:type="dxa" w:w="4759"/>
            <w:vAlign w:val="center"/>
          </w:tcPr>
          <w:p>
            <w:pPr>
              <w:jc w:val="left"/>
            </w:pPr>
            <w:r/>
            <w:r>
              <w:rPr>
                <w:rFonts w:ascii="Times New Roman" w:hAnsi="Times New Roman" w:eastAsia="Times New Roman"/>
                <w:b w:val="0"/>
                <w:sz w:val="16"/>
              </w:rPr>
              <w:t>patients.py, encounters.py, observations.py, prescriptions.py, diagnostic_reports.py</w:t>
            </w:r>
          </w:p>
        </w:tc>
      </w:tr>
      <w:tr>
        <w:trPr>
          <w:cantSplit/>
        </w:trPr>
        <w:tc>
          <w:tcPr>
            <w:tcW w:type="dxa" w:w="4759"/>
            <w:vAlign w:val="center"/>
          </w:tcPr>
          <w:p>
            <w:pPr>
              <w:jc w:val="left"/>
            </w:pPr>
            <w:r/>
            <w:r>
              <w:rPr>
                <w:rFonts w:ascii="Times New Roman" w:hAnsi="Times New Roman" w:eastAsia="Times New Roman"/>
                <w:b w:val="0"/>
                <w:sz w:val="16"/>
              </w:rPr>
              <w:t>Object storage</w:t>
            </w:r>
          </w:p>
        </w:tc>
        <w:tc>
          <w:tcPr>
            <w:tcW w:type="dxa" w:w="4759"/>
            <w:vAlign w:val="center"/>
          </w:tcPr>
          <w:p>
            <w:pPr>
              <w:jc w:val="left"/>
            </w:pPr>
            <w:r/>
            <w:r>
              <w:rPr>
                <w:rFonts w:ascii="Times New Roman" w:hAnsi="Times New Roman" w:eastAsia="Times New Roman"/>
                <w:b w:val="0"/>
                <w:sz w:val="16"/>
              </w:rPr>
              <w:t>backend/app/services/storage_service.py</w:t>
            </w:r>
          </w:p>
        </w:tc>
      </w:tr>
      <w:tr>
        <w:trPr>
          <w:cantSplit/>
        </w:trPr>
        <w:tc>
          <w:tcPr>
            <w:tcW w:type="dxa" w:w="4759"/>
            <w:vAlign w:val="center"/>
          </w:tcPr>
          <w:p>
            <w:pPr>
              <w:jc w:val="left"/>
            </w:pPr>
            <w:r/>
            <w:r>
              <w:rPr>
                <w:rFonts w:ascii="Times New Roman" w:hAnsi="Times New Roman" w:eastAsia="Times New Roman"/>
                <w:b w:val="0"/>
                <w:sz w:val="16"/>
              </w:rPr>
              <w:t>Synthea pre-flight</w:t>
            </w:r>
          </w:p>
        </w:tc>
        <w:tc>
          <w:tcPr>
            <w:tcW w:type="dxa" w:w="4759"/>
            <w:vAlign w:val="center"/>
          </w:tcPr>
          <w:p>
            <w:pPr>
              <w:jc w:val="left"/>
            </w:pPr>
            <w:r/>
            <w:r>
              <w:rPr>
                <w:rFonts w:ascii="Times New Roman" w:hAnsi="Times New Roman" w:eastAsia="Times New Roman"/>
                <w:b w:val="0"/>
                <w:sz w:val="16"/>
              </w:rPr>
              <w:t>backend/app/scripts/check_synthea_files.py</w:t>
            </w:r>
          </w:p>
        </w:tc>
      </w:tr>
      <w:tr>
        <w:trPr>
          <w:cantSplit/>
        </w:trPr>
        <w:tc>
          <w:tcPr>
            <w:tcW w:type="dxa" w:w="4759"/>
            <w:vAlign w:val="center"/>
          </w:tcPr>
          <w:p>
            <w:pPr>
              <w:jc w:val="left"/>
            </w:pPr>
            <w:r/>
            <w:r>
              <w:rPr>
                <w:rFonts w:ascii="Times New Roman" w:hAnsi="Times New Roman" w:eastAsia="Times New Roman"/>
                <w:b w:val="0"/>
                <w:sz w:val="16"/>
              </w:rPr>
              <w:t>Combined import pipeline</w:t>
            </w:r>
          </w:p>
        </w:tc>
        <w:tc>
          <w:tcPr>
            <w:tcW w:type="dxa" w:w="4759"/>
            <w:vAlign w:val="center"/>
          </w:tcPr>
          <w:p>
            <w:pPr>
              <w:jc w:val="left"/>
            </w:pPr>
            <w:r/>
            <w:r>
              <w:rPr>
                <w:rFonts w:ascii="Times New Roman" w:hAnsi="Times New Roman" w:eastAsia="Times New Roman"/>
                <w:b w:val="0"/>
                <w:sz w:val="16"/>
              </w:rPr>
              <w:t>backend/app/scripts/import_synthea_all.py</w:t>
            </w:r>
          </w:p>
        </w:tc>
      </w:tr>
      <w:tr>
        <w:trPr>
          <w:cantSplit/>
        </w:trPr>
        <w:tc>
          <w:tcPr>
            <w:tcW w:type="dxa" w:w="4759"/>
            <w:vAlign w:val="center"/>
          </w:tcPr>
          <w:p>
            <w:pPr>
              <w:jc w:val="left"/>
            </w:pPr>
            <w:r/>
            <w:r>
              <w:rPr>
                <w:rFonts w:ascii="Times New Roman" w:hAnsi="Times New Roman" w:eastAsia="Times New Roman"/>
                <w:b w:val="0"/>
                <w:sz w:val="16"/>
              </w:rPr>
              <w:t>Importers</w:t>
            </w:r>
          </w:p>
        </w:tc>
        <w:tc>
          <w:tcPr>
            <w:tcW w:type="dxa" w:w="4759"/>
            <w:vAlign w:val="center"/>
          </w:tcPr>
          <w:p>
            <w:pPr>
              <w:jc w:val="left"/>
            </w:pPr>
            <w:r/>
            <w:r>
              <w:rPr>
                <w:rFonts w:ascii="Times New Roman" w:hAnsi="Times New Roman" w:eastAsia="Times New Roman"/>
                <w:b w:val="0"/>
                <w:sz w:val="16"/>
              </w:rPr>
              <w:t>backend/app/services/ingestion/synthea_*_importer.py</w:t>
            </w:r>
          </w:p>
        </w:tc>
      </w:tr>
      <w:tr>
        <w:trPr>
          <w:cantSplit/>
        </w:trPr>
        <w:tc>
          <w:tcPr>
            <w:tcW w:type="dxa" w:w="4759"/>
            <w:vAlign w:val="center"/>
          </w:tcPr>
          <w:p>
            <w:pPr>
              <w:jc w:val="left"/>
            </w:pPr>
            <w:r/>
            <w:r>
              <w:rPr>
                <w:rFonts w:ascii="Times New Roman" w:hAnsi="Times New Roman" w:eastAsia="Times New Roman"/>
                <w:b w:val="0"/>
                <w:sz w:val="16"/>
              </w:rPr>
              <w:t>Migration state</w:t>
            </w:r>
          </w:p>
        </w:tc>
        <w:tc>
          <w:tcPr>
            <w:tcW w:type="dxa" w:w="4759"/>
            <w:vAlign w:val="center"/>
          </w:tcPr>
          <w:p>
            <w:pPr>
              <w:jc w:val="left"/>
            </w:pPr>
            <w:r/>
            <w:r>
              <w:rPr>
                <w:rFonts w:ascii="Times New Roman" w:hAnsi="Times New Roman" w:eastAsia="Times New Roman"/>
                <w:b w:val="0"/>
                <w:sz w:val="16"/>
              </w:rPr>
              <w:t>Alembic revisions and 685666386ae6 head</w:t>
            </w:r>
          </w:p>
        </w:tc>
      </w:tr>
      <w:tr>
        <w:trPr>
          <w:cantSplit/>
        </w:trPr>
        <w:tc>
          <w:tcPr>
            <w:tcW w:type="dxa" w:w="4759"/>
            <w:vAlign w:val="center"/>
          </w:tcPr>
          <w:p>
            <w:pPr>
              <w:jc w:val="left"/>
            </w:pPr>
            <w:r/>
            <w:r>
              <w:rPr>
                <w:rFonts w:ascii="Times New Roman" w:hAnsi="Times New Roman" w:eastAsia="Times New Roman"/>
                <w:b w:val="0"/>
                <w:sz w:val="16"/>
              </w:rPr>
              <w:t>Validated scale</w:t>
            </w:r>
          </w:p>
        </w:tc>
        <w:tc>
          <w:tcPr>
            <w:tcW w:type="dxa" w:w="4759"/>
            <w:vAlign w:val="center"/>
          </w:tcPr>
          <w:p>
            <w:pPr>
              <w:jc w:val="left"/>
            </w:pPr>
            <w:r/>
            <w:r>
              <w:rPr>
                <w:rFonts w:ascii="Times New Roman" w:hAnsi="Times New Roman" w:eastAsia="Times New Roman"/>
                <w:b w:val="0"/>
                <w:sz w:val="16"/>
              </w:rPr>
              <w:t>docs/tables/backup_restore_validation.csv</w:t>
            </w:r>
          </w:p>
        </w:tc>
      </w:tr>
    </w:tbl>
    <w:p/>
    <w:p>
      <w:pPr>
        <w:pStyle w:val="Heading1"/>
      </w:pPr>
      <w:r>
        <w:t>Appendix C. Key Source-Review Findings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Finding</w:t>
            </w:r>
          </w:p>
        </w:tc>
        <w:tc>
          <w:tcPr>
            <w:tcW w:type="dxa" w:w="4759"/>
            <w:vAlign w:val="center"/>
            <w:shd w:fill="D9E1F2"/>
          </w:tcPr>
          <w:p>
            <w:pPr>
              <w:jc w:val="left"/>
            </w:pPr>
            <w:r/>
            <w:r>
              <w:rPr>
                <w:rFonts w:ascii="Times New Roman" w:hAnsi="Times New Roman" w:eastAsia="Times New Roman"/>
                <w:b/>
                <w:sz w:val="17"/>
              </w:rPr>
              <w:t>Evidence-based interpretation</w:t>
            </w:r>
          </w:p>
        </w:tc>
      </w:tr>
      <w:tr>
        <w:trPr>
          <w:cantSplit/>
        </w:trPr>
        <w:tc>
          <w:tcPr>
            <w:tcW w:type="dxa" w:w="4759"/>
            <w:vAlign w:val="center"/>
          </w:tcPr>
          <w:p>
            <w:pPr>
              <w:jc w:val="left"/>
            </w:pPr>
            <w:r/>
            <w:r>
              <w:rPr>
                <w:rFonts w:ascii="Times New Roman" w:hAnsi="Times New Roman" w:eastAsia="Times New Roman"/>
                <w:b w:val="0"/>
                <w:sz w:val="17"/>
              </w:rPr>
              <w:t>FHIR compliance wording</w:t>
            </w:r>
          </w:p>
        </w:tc>
        <w:tc>
          <w:tcPr>
            <w:tcW w:type="dxa" w:w="4759"/>
            <w:vAlign w:val="center"/>
          </w:tcPr>
          <w:p>
            <w:pPr>
              <w:jc w:val="left"/>
            </w:pPr>
            <w:r/>
            <w:r>
              <w:rPr>
                <w:rFonts w:ascii="Times New Roman" w:hAnsi="Times New Roman" w:eastAsia="Times New Roman"/>
                <w:b w:val="0"/>
                <w:sz w:val="17"/>
              </w:rPr>
              <w:t>Models and documentation consistently state lightweight FHIR-inspired design without full compliance.</w:t>
            </w:r>
          </w:p>
        </w:tc>
      </w:tr>
      <w:tr>
        <w:trPr>
          <w:cantSplit/>
        </w:trPr>
        <w:tc>
          <w:tcPr>
            <w:tcW w:type="dxa" w:w="4759"/>
            <w:vAlign w:val="center"/>
          </w:tcPr>
          <w:p>
            <w:pPr>
              <w:jc w:val="left"/>
            </w:pPr>
            <w:r/>
            <w:r>
              <w:rPr>
                <w:rFonts w:ascii="Times New Roman" w:hAnsi="Times New Roman" w:eastAsia="Times New Roman"/>
                <w:b w:val="0"/>
                <w:sz w:val="17"/>
              </w:rPr>
              <w:t>Condition ingestion</w:t>
            </w:r>
          </w:p>
        </w:tc>
        <w:tc>
          <w:tcPr>
            <w:tcW w:type="dxa" w:w="4759"/>
            <w:vAlign w:val="center"/>
          </w:tcPr>
          <w:p>
            <w:pPr>
              <w:jc w:val="left"/>
            </w:pPr>
            <w:r/>
            <w:r>
              <w:rPr>
                <w:rFonts w:ascii="Times New Roman" w:hAnsi="Times New Roman" w:eastAsia="Times New Roman"/>
                <w:b w:val="0"/>
                <w:sz w:val="17"/>
              </w:rPr>
              <w:t>Database and API evidence exist, but no importer is included in the supplied source extract.</w:t>
            </w:r>
          </w:p>
        </w:tc>
      </w:tr>
      <w:tr>
        <w:trPr>
          <w:cantSplit/>
        </w:trPr>
        <w:tc>
          <w:tcPr>
            <w:tcW w:type="dxa" w:w="4759"/>
            <w:vAlign w:val="center"/>
          </w:tcPr>
          <w:p>
            <w:pPr>
              <w:jc w:val="left"/>
            </w:pPr>
            <w:r/>
            <w:r>
              <w:rPr>
                <w:rFonts w:ascii="Times New Roman" w:hAnsi="Times New Roman" w:eastAsia="Times New Roman"/>
                <w:b w:val="0"/>
                <w:sz w:val="17"/>
              </w:rPr>
              <w:t>Patient/$everything</w:t>
            </w:r>
          </w:p>
        </w:tc>
        <w:tc>
          <w:tcPr>
            <w:tcW w:type="dxa" w:w="4759"/>
            <w:vAlign w:val="center"/>
          </w:tcPr>
          <w:p>
            <w:pPr>
              <w:jc w:val="left"/>
            </w:pPr>
            <w:r/>
            <w:r>
              <w:rPr>
                <w:rFonts w:ascii="Times New Roman" w:hAnsi="Times New Roman" w:eastAsia="Times New Roman"/>
                <w:b w:val="0"/>
                <w:sz w:val="17"/>
              </w:rPr>
              <w:t>Includes patient, encounters, observations and prescriptions only.</w:t>
            </w:r>
          </w:p>
        </w:tc>
      </w:tr>
      <w:tr>
        <w:trPr>
          <w:cantSplit/>
        </w:trPr>
        <w:tc>
          <w:tcPr>
            <w:tcW w:type="dxa" w:w="4759"/>
            <w:vAlign w:val="center"/>
          </w:tcPr>
          <w:p>
            <w:pPr>
              <w:jc w:val="left"/>
            </w:pPr>
            <w:r/>
            <w:r>
              <w:rPr>
                <w:rFonts w:ascii="Times New Roman" w:hAnsi="Times New Roman" w:eastAsia="Times New Roman"/>
                <w:b w:val="0"/>
                <w:sz w:val="17"/>
              </w:rPr>
              <w:t>Bundle total inconsistency</w:t>
            </w:r>
          </w:p>
        </w:tc>
        <w:tc>
          <w:tcPr>
            <w:tcW w:type="dxa" w:w="4759"/>
            <w:vAlign w:val="center"/>
          </w:tcPr>
          <w:p>
            <w:pPr>
              <w:jc w:val="left"/>
            </w:pPr>
            <w:r/>
            <w:r>
              <w:rPr>
                <w:rFonts w:ascii="Times New Roman" w:hAnsi="Times New Roman" w:eastAsia="Times New Roman"/>
                <w:b w:val="0"/>
                <w:sz w:val="17"/>
              </w:rPr>
              <w:t>Condition search counts all matches; Patient and Observation searches count only returned rows.</w:t>
            </w:r>
          </w:p>
        </w:tc>
      </w:tr>
      <w:tr>
        <w:trPr>
          <w:cantSplit/>
        </w:trPr>
        <w:tc>
          <w:tcPr>
            <w:tcW w:type="dxa" w:w="4759"/>
            <w:vAlign w:val="center"/>
          </w:tcPr>
          <w:p>
            <w:pPr>
              <w:jc w:val="left"/>
            </w:pPr>
            <w:r/>
            <w:r>
              <w:rPr>
                <w:rFonts w:ascii="Times New Roman" w:hAnsi="Times New Roman" w:eastAsia="Times New Roman"/>
                <w:b w:val="0"/>
                <w:sz w:val="17"/>
              </w:rPr>
              <w:t>Migration hygiene</w:t>
            </w:r>
          </w:p>
        </w:tc>
        <w:tc>
          <w:tcPr>
            <w:tcW w:type="dxa" w:w="4759"/>
            <w:vAlign w:val="center"/>
          </w:tcPr>
          <w:p>
            <w:pPr>
              <w:jc w:val="left"/>
            </w:pPr>
            <w:r/>
            <w:r>
              <w:rPr>
                <w:rFonts w:ascii="Times New Roman" w:hAnsi="Times New Roman" w:eastAsia="Times New Roman"/>
                <w:b w:val="0"/>
                <w:sz w:val="17"/>
              </w:rPr>
              <w:t>Encounter downgrade and base_imports organization require review.</w:t>
            </w:r>
          </w:p>
        </w:tc>
      </w:tr>
      <w:tr>
        <w:trPr>
          <w:cantSplit/>
        </w:trPr>
        <w:tc>
          <w:tcPr>
            <w:tcW w:type="dxa" w:w="4759"/>
            <w:vAlign w:val="center"/>
          </w:tcPr>
          <w:p>
            <w:pPr>
              <w:jc w:val="left"/>
            </w:pPr>
            <w:r/>
            <w:r>
              <w:rPr>
                <w:rFonts w:ascii="Times New Roman" w:hAnsi="Times New Roman" w:eastAsia="Times New Roman"/>
                <w:b w:val="0"/>
                <w:sz w:val="17"/>
              </w:rPr>
              <w:t>Hybrid file integrity</w:t>
            </w:r>
          </w:p>
        </w:tc>
        <w:tc>
          <w:tcPr>
            <w:tcW w:type="dxa" w:w="4759"/>
            <w:vAlign w:val="center"/>
          </w:tcPr>
          <w:p>
            <w:pPr>
              <w:jc w:val="left"/>
            </w:pPr>
            <w:r/>
            <w:r>
              <w:rPr>
                <w:rFonts w:ascii="Times New Roman" w:hAnsi="Times New Roman" w:eastAsia="Times New Roman"/>
                <w:b w:val="0"/>
                <w:sz w:val="17"/>
              </w:rPr>
              <w:t>Diagnostic-report download recomputes SHA-256 before returning stored bytes.</w:t>
            </w:r>
          </w:p>
        </w:tc>
      </w:tr>
    </w:tbl>
    <w:p/>
    <w:sectPr w:rsidR="00FC693F" w:rsidRPr="0006063C" w:rsidSect="00034616">
      <w:headerReference w:type="default" r:id="rId9"/>
      <w:footerReference w:type="default" r:id="rId10"/>
      <w:pgSz w:w="12240" w:h="15840"/>
      <w:pgMar w:top="1247"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Data Model, FHIR Interoperability and Synthea Ingestion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jc w:val="left"/>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20" w:after="100"/>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pPr>
      <w:spacing w:after="140"/>
      <w:jc w:val="center"/>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