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Times New Roman" w:hAnsi="Times New Roman"/>
          <w:b/>
          <w:sz w:val="46"/>
        </w:rPr>
        <w:t>UESTC VM PLANNED VALIDATION PROTOCOL</w:t>
      </w:r>
    </w:p>
    <w:p>
      <w:pPr>
        <w:spacing w:before="360"/>
        <w:jc w:val="center"/>
      </w:pPr>
      <w:r>
        <w:rPr>
          <w:rFonts w:ascii="Times New Roman" w:hAnsi="Times New Roman"/>
          <w:b/>
          <w:sz w:val="28"/>
        </w:rPr>
        <w:t>Phase II of the thesis:</w:t>
        <w:br/>
        <w:t>Design and Implementation of a Secure, Scalable, and Cost Efficient</w:t>
        <w:br/>
        <w:t>Cloud-Based Platform for Healthcare Data Management</w:t>
        <w:br/>
        <w:t>in Resource-Constrained Environments</w:t>
      </w:r>
    </w:p>
    <w:p>
      <w:pPr>
        <w:spacing w:before="1100"/>
        <w:jc w:val="center"/>
      </w:pPr>
      <w:r>
        <w:rPr>
          <w:rFonts w:ascii="Times New Roman" w:hAnsi="Times New Roman"/>
          <w:i/>
          <w:sz w:val="24"/>
        </w:rPr>
        <w:t>Status: planned experimental phase, pending institutional VM access</w:t>
      </w:r>
    </w:p>
    <w:p>
      <w:r>
        <w:br w:type="page"/>
      </w:r>
    </w:p>
    <w:p>
      <w:pPr>
        <w:pStyle w:val="Heading1"/>
      </w:pPr>
      <w:r>
        <w:t>1. Purpose and Methodological Status</w:t>
      </w:r>
    </w:p>
    <w:p>
      <w:r>
        <w:t>This protocol defines the second experimental phase of the thesis. The local Docker validation is Phase I and has already been completed. Phase II is not optional future work. It is a planned validation phase that will deploy the same tagged release on the institutional UESTC virtual machine and evaluate the platform under the actual remote, resource-constrained infrastructure.</w:t>
      </w:r>
    </w:p>
    <w:p>
      <w:r>
        <w:t>Execution remains pending only because the university has not yet provided the VM credentials and confirmed infrastructure allocation. No result shall be invented before the remote environment is available.</w:t>
      </w:r>
    </w:p>
    <w:p>
      <w:pPr>
        <w:pStyle w:val="Heading1"/>
      </w:pPr>
      <w:r>
        <w:t>2. Phase II Research Questions</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6"/>
              </w:rPr>
              <w:t>ID</w:t>
            </w:r>
          </w:p>
        </w:tc>
        <w:tc>
          <w:tcPr>
            <w:tcW w:type="dxa" w:w="4759"/>
            <w:vAlign w:val="center"/>
            <w:shd w:fill="D9E1F2"/>
          </w:tcPr>
          <w:p>
            <w:pPr>
              <w:jc w:val="left"/>
            </w:pPr>
            <w:r/>
            <w:r>
              <w:rPr>
                <w:rFonts w:ascii="Times New Roman" w:hAnsi="Times New Roman" w:eastAsia="Times New Roman"/>
                <w:b/>
                <w:sz w:val="16"/>
              </w:rPr>
              <w:t>Planned research question</w:t>
            </w:r>
          </w:p>
        </w:tc>
      </w:tr>
      <w:tr>
        <w:trPr>
          <w:cantSplit/>
        </w:trPr>
        <w:tc>
          <w:tcPr>
            <w:tcW w:type="dxa" w:w="4759"/>
            <w:vAlign w:val="center"/>
          </w:tcPr>
          <w:p>
            <w:pPr>
              <w:jc w:val="left"/>
            </w:pPr>
            <w:r/>
            <w:r>
              <w:rPr>
                <w:rFonts w:ascii="Times New Roman" w:hAnsi="Times New Roman" w:eastAsia="Times New Roman"/>
                <w:b w:val="0"/>
                <w:sz w:val="16"/>
              </w:rPr>
              <w:t>RQ-II-1</w:t>
            </w:r>
          </w:p>
        </w:tc>
        <w:tc>
          <w:tcPr>
            <w:tcW w:type="dxa" w:w="4759"/>
            <w:vAlign w:val="center"/>
          </w:tcPr>
          <w:p>
            <w:pPr>
              <w:jc w:val="left"/>
            </w:pPr>
            <w:r/>
            <w:r>
              <w:rPr>
                <w:rFonts w:ascii="Times New Roman" w:hAnsi="Times New Roman" w:eastAsia="Times New Roman"/>
                <w:b w:val="0"/>
                <w:sz w:val="16"/>
              </w:rPr>
              <w:t>Can the tagged production release be deployed reproducibly on the UESTC VM without changing the validated application architecture?</w:t>
            </w:r>
          </w:p>
        </w:tc>
      </w:tr>
      <w:tr>
        <w:trPr>
          <w:cantSplit/>
        </w:trPr>
        <w:tc>
          <w:tcPr>
            <w:tcW w:type="dxa" w:w="4759"/>
            <w:vAlign w:val="center"/>
          </w:tcPr>
          <w:p>
            <w:pPr>
              <w:jc w:val="left"/>
            </w:pPr>
            <w:r/>
            <w:r>
              <w:rPr>
                <w:rFonts w:ascii="Times New Roman" w:hAnsi="Times New Roman" w:eastAsia="Times New Roman"/>
                <w:b w:val="0"/>
                <w:sz w:val="16"/>
              </w:rPr>
              <w:t>RQ-II-2</w:t>
            </w:r>
          </w:p>
        </w:tc>
        <w:tc>
          <w:tcPr>
            <w:tcW w:type="dxa" w:w="4759"/>
            <w:vAlign w:val="center"/>
          </w:tcPr>
          <w:p>
            <w:pPr>
              <w:jc w:val="left"/>
            </w:pPr>
            <w:r/>
            <w:r>
              <w:rPr>
                <w:rFonts w:ascii="Times New Roman" w:hAnsi="Times New Roman" w:eastAsia="Times New Roman"/>
                <w:b w:val="0"/>
                <w:sz w:val="16"/>
              </w:rPr>
              <w:t>How do latency, throughput, and failure rate change across controlled CPU and memory allocations?</w:t>
            </w:r>
          </w:p>
        </w:tc>
      </w:tr>
      <w:tr>
        <w:trPr>
          <w:cantSplit/>
        </w:trPr>
        <w:tc>
          <w:tcPr>
            <w:tcW w:type="dxa" w:w="4759"/>
            <w:vAlign w:val="center"/>
          </w:tcPr>
          <w:p>
            <w:pPr>
              <w:jc w:val="left"/>
            </w:pPr>
            <w:r/>
            <w:r>
              <w:rPr>
                <w:rFonts w:ascii="Times New Roman" w:hAnsi="Times New Roman" w:eastAsia="Times New Roman"/>
                <w:b w:val="0"/>
                <w:sz w:val="16"/>
              </w:rPr>
              <w:t>RQ-II-3</w:t>
            </w:r>
          </w:p>
        </w:tc>
        <w:tc>
          <w:tcPr>
            <w:tcW w:type="dxa" w:w="4759"/>
            <w:vAlign w:val="center"/>
          </w:tcPr>
          <w:p>
            <w:pPr>
              <w:jc w:val="left"/>
            </w:pPr>
            <w:r/>
            <w:r>
              <w:rPr>
                <w:rFonts w:ascii="Times New Roman" w:hAnsi="Times New Roman" w:eastAsia="Times New Roman"/>
                <w:b w:val="0"/>
                <w:sz w:val="16"/>
              </w:rPr>
              <w:t>Can the platform sustain mixed and endurance workloads without service instability or data-integrity loss?</w:t>
            </w:r>
          </w:p>
        </w:tc>
      </w:tr>
      <w:tr>
        <w:trPr>
          <w:cantSplit/>
        </w:trPr>
        <w:tc>
          <w:tcPr>
            <w:tcW w:type="dxa" w:w="4759"/>
            <w:vAlign w:val="center"/>
          </w:tcPr>
          <w:p>
            <w:pPr>
              <w:jc w:val="left"/>
            </w:pPr>
            <w:r/>
            <w:r>
              <w:rPr>
                <w:rFonts w:ascii="Times New Roman" w:hAnsi="Times New Roman" w:eastAsia="Times New Roman"/>
                <w:b w:val="0"/>
                <w:sz w:val="16"/>
              </w:rPr>
              <w:t>RQ-II-4</w:t>
            </w:r>
          </w:p>
        </w:tc>
        <w:tc>
          <w:tcPr>
            <w:tcW w:type="dxa" w:w="4759"/>
            <w:vAlign w:val="center"/>
          </w:tcPr>
          <w:p>
            <w:pPr>
              <w:jc w:val="left"/>
            </w:pPr>
            <w:r/>
            <w:r>
              <w:rPr>
                <w:rFonts w:ascii="Times New Roman" w:hAnsi="Times New Roman" w:eastAsia="Times New Roman"/>
                <w:b w:val="0"/>
                <w:sz w:val="16"/>
              </w:rPr>
              <w:t>What CPU, memory, disk, and network resources are consumed during each load scenario?</w:t>
            </w:r>
          </w:p>
        </w:tc>
      </w:tr>
      <w:tr>
        <w:trPr>
          <w:cantSplit/>
        </w:trPr>
        <w:tc>
          <w:tcPr>
            <w:tcW w:type="dxa" w:w="4759"/>
            <w:vAlign w:val="center"/>
          </w:tcPr>
          <w:p>
            <w:pPr>
              <w:jc w:val="left"/>
            </w:pPr>
            <w:r/>
            <w:r>
              <w:rPr>
                <w:rFonts w:ascii="Times New Roman" w:hAnsi="Times New Roman" w:eastAsia="Times New Roman"/>
                <w:b w:val="0"/>
                <w:sz w:val="16"/>
              </w:rPr>
              <w:t>RQ-II-5</w:t>
            </w:r>
          </w:p>
        </w:tc>
        <w:tc>
          <w:tcPr>
            <w:tcW w:type="dxa" w:w="4759"/>
            <w:vAlign w:val="center"/>
          </w:tcPr>
          <w:p>
            <w:pPr>
              <w:jc w:val="left"/>
            </w:pPr>
            <w:r/>
            <w:r>
              <w:rPr>
                <w:rFonts w:ascii="Times New Roman" w:hAnsi="Times New Roman" w:eastAsia="Times New Roman"/>
                <w:b w:val="0"/>
                <w:sz w:val="16"/>
              </w:rPr>
              <w:t>What are the measured RPO and RTO for PostgreSQL and MinIO recovery on the remote infrastructure?</w:t>
            </w:r>
          </w:p>
        </w:tc>
      </w:tr>
      <w:tr>
        <w:trPr>
          <w:cantSplit/>
        </w:trPr>
        <w:tc>
          <w:tcPr>
            <w:tcW w:type="dxa" w:w="4759"/>
            <w:vAlign w:val="center"/>
          </w:tcPr>
          <w:p>
            <w:pPr>
              <w:jc w:val="left"/>
            </w:pPr>
            <w:r/>
            <w:r>
              <w:rPr>
                <w:rFonts w:ascii="Times New Roman" w:hAnsi="Times New Roman" w:eastAsia="Times New Roman"/>
                <w:b w:val="0"/>
                <w:sz w:val="16"/>
              </w:rPr>
              <w:t>RQ-II-6</w:t>
            </w:r>
          </w:p>
        </w:tc>
        <w:tc>
          <w:tcPr>
            <w:tcW w:type="dxa" w:w="4759"/>
            <w:vAlign w:val="center"/>
          </w:tcPr>
          <w:p>
            <w:pPr>
              <w:jc w:val="left"/>
            </w:pPr>
            <w:r/>
            <w:r>
              <w:rPr>
                <w:rFonts w:ascii="Times New Roman" w:hAnsi="Times New Roman" w:eastAsia="Times New Roman"/>
                <w:b w:val="0"/>
                <w:sz w:val="16"/>
              </w:rPr>
              <w:t>What is the verified monthly deployment cost and cost per million successful requests?</w:t>
            </w:r>
          </w:p>
        </w:tc>
      </w:tr>
    </w:tbl>
    <w:p/>
    <w:p>
      <w:pPr>
        <w:pStyle w:val="Heading1"/>
      </w:pPr>
      <w:r>
        <w:t>3. Required VM Information</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6"/>
              </w:rPr>
              <w:t>Item</w:t>
            </w:r>
          </w:p>
        </w:tc>
        <w:tc>
          <w:tcPr>
            <w:tcW w:type="dxa" w:w="3173"/>
            <w:vAlign w:val="center"/>
            <w:shd w:fill="D9E1F2"/>
          </w:tcPr>
          <w:p>
            <w:pPr>
              <w:jc w:val="left"/>
            </w:pPr>
            <w:r/>
            <w:r>
              <w:rPr>
                <w:rFonts w:ascii="Times New Roman" w:hAnsi="Times New Roman" w:eastAsia="Times New Roman"/>
                <w:b/>
                <w:sz w:val="16"/>
              </w:rPr>
              <w:t>Required information</w:t>
            </w:r>
          </w:p>
        </w:tc>
        <w:tc>
          <w:tcPr>
            <w:tcW w:type="dxa" w:w="3173"/>
            <w:vAlign w:val="center"/>
            <w:shd w:fill="D9E1F2"/>
          </w:tcPr>
          <w:p>
            <w:pPr>
              <w:jc w:val="left"/>
            </w:pPr>
            <w:r/>
            <w:r>
              <w:rPr>
                <w:rFonts w:ascii="Times New Roman" w:hAnsi="Times New Roman" w:eastAsia="Times New Roman"/>
                <w:b/>
                <w:sz w:val="16"/>
              </w:rPr>
              <w:t>Status</w:t>
            </w:r>
          </w:p>
        </w:tc>
      </w:tr>
      <w:tr>
        <w:trPr>
          <w:cantSplit/>
        </w:trPr>
        <w:tc>
          <w:tcPr>
            <w:tcW w:type="dxa" w:w="3173"/>
            <w:vAlign w:val="center"/>
          </w:tcPr>
          <w:p>
            <w:pPr>
              <w:jc w:val="left"/>
            </w:pPr>
            <w:r/>
            <w:r>
              <w:rPr>
                <w:rFonts w:ascii="Times New Roman" w:hAnsi="Times New Roman" w:eastAsia="Times New Roman"/>
                <w:b w:val="0"/>
                <w:sz w:val="16"/>
              </w:rPr>
              <w:t>Operating system</w:t>
            </w:r>
          </w:p>
        </w:tc>
        <w:tc>
          <w:tcPr>
            <w:tcW w:type="dxa" w:w="3173"/>
            <w:vAlign w:val="center"/>
          </w:tcPr>
          <w:p>
            <w:pPr>
              <w:jc w:val="left"/>
            </w:pPr>
            <w:r/>
            <w:r>
              <w:rPr>
                <w:rFonts w:ascii="Times New Roman" w:hAnsi="Times New Roman" w:eastAsia="Times New Roman"/>
                <w:b w:val="0"/>
                <w:sz w:val="16"/>
              </w:rPr>
              <w:t>Ubuntu version and kernel</w:t>
            </w:r>
          </w:p>
        </w:tc>
        <w:tc>
          <w:tcPr>
            <w:tcW w:type="dxa" w:w="3173"/>
            <w:vAlign w:val="center"/>
          </w:tcPr>
          <w:p>
            <w:pPr>
              <w:jc w:val="left"/>
            </w:pPr>
            <w:r/>
            <w:r>
              <w:rPr>
                <w:rFonts w:ascii="Times New Roman" w:hAnsi="Times New Roman" w:eastAsia="Times New Roman"/>
                <w:b w:val="0"/>
                <w:sz w:val="16"/>
              </w:rPr>
              <w:t>Pending</w:t>
            </w:r>
          </w:p>
        </w:tc>
      </w:tr>
      <w:tr>
        <w:trPr>
          <w:cantSplit/>
        </w:trPr>
        <w:tc>
          <w:tcPr>
            <w:tcW w:type="dxa" w:w="3173"/>
            <w:vAlign w:val="center"/>
          </w:tcPr>
          <w:p>
            <w:pPr>
              <w:jc w:val="left"/>
            </w:pPr>
            <w:r/>
            <w:r>
              <w:rPr>
                <w:rFonts w:ascii="Times New Roman" w:hAnsi="Times New Roman" w:eastAsia="Times New Roman"/>
                <w:b w:val="0"/>
                <w:sz w:val="16"/>
              </w:rPr>
              <w:t>CPU</w:t>
            </w:r>
          </w:p>
        </w:tc>
        <w:tc>
          <w:tcPr>
            <w:tcW w:type="dxa" w:w="3173"/>
            <w:vAlign w:val="center"/>
          </w:tcPr>
          <w:p>
            <w:pPr>
              <w:jc w:val="left"/>
            </w:pPr>
            <w:r/>
            <w:r>
              <w:rPr>
                <w:rFonts w:ascii="Times New Roman" w:hAnsi="Times New Roman" w:eastAsia="Times New Roman"/>
                <w:b w:val="0"/>
                <w:sz w:val="16"/>
              </w:rPr>
              <w:t>vCPU count, CPU model and allocation policy</w:t>
            </w:r>
          </w:p>
        </w:tc>
        <w:tc>
          <w:tcPr>
            <w:tcW w:type="dxa" w:w="3173"/>
            <w:vAlign w:val="center"/>
          </w:tcPr>
          <w:p>
            <w:pPr>
              <w:jc w:val="left"/>
            </w:pPr>
            <w:r/>
            <w:r>
              <w:rPr>
                <w:rFonts w:ascii="Times New Roman" w:hAnsi="Times New Roman" w:eastAsia="Times New Roman"/>
                <w:b w:val="0"/>
                <w:sz w:val="16"/>
              </w:rPr>
              <w:t>Pending</w:t>
            </w:r>
          </w:p>
        </w:tc>
      </w:tr>
      <w:tr>
        <w:trPr>
          <w:cantSplit/>
        </w:trPr>
        <w:tc>
          <w:tcPr>
            <w:tcW w:type="dxa" w:w="3173"/>
            <w:vAlign w:val="center"/>
          </w:tcPr>
          <w:p>
            <w:pPr>
              <w:jc w:val="left"/>
            </w:pPr>
            <w:r/>
            <w:r>
              <w:rPr>
                <w:rFonts w:ascii="Times New Roman" w:hAnsi="Times New Roman" w:eastAsia="Times New Roman"/>
                <w:b w:val="0"/>
                <w:sz w:val="16"/>
              </w:rPr>
              <w:t>Memory</w:t>
            </w:r>
          </w:p>
        </w:tc>
        <w:tc>
          <w:tcPr>
            <w:tcW w:type="dxa" w:w="3173"/>
            <w:vAlign w:val="center"/>
          </w:tcPr>
          <w:p>
            <w:pPr>
              <w:jc w:val="left"/>
            </w:pPr>
            <w:r/>
            <w:r>
              <w:rPr>
                <w:rFonts w:ascii="Times New Roman" w:hAnsi="Times New Roman" w:eastAsia="Times New Roman"/>
                <w:b w:val="0"/>
                <w:sz w:val="16"/>
              </w:rPr>
              <w:t>Total RAM and swap</w:t>
            </w:r>
          </w:p>
        </w:tc>
        <w:tc>
          <w:tcPr>
            <w:tcW w:type="dxa" w:w="3173"/>
            <w:vAlign w:val="center"/>
          </w:tcPr>
          <w:p>
            <w:pPr>
              <w:jc w:val="left"/>
            </w:pPr>
            <w:r/>
            <w:r>
              <w:rPr>
                <w:rFonts w:ascii="Times New Roman" w:hAnsi="Times New Roman" w:eastAsia="Times New Roman"/>
                <w:b w:val="0"/>
                <w:sz w:val="16"/>
              </w:rPr>
              <w:t>Pending</w:t>
            </w:r>
          </w:p>
        </w:tc>
      </w:tr>
      <w:tr>
        <w:trPr>
          <w:cantSplit/>
        </w:trPr>
        <w:tc>
          <w:tcPr>
            <w:tcW w:type="dxa" w:w="3173"/>
            <w:vAlign w:val="center"/>
          </w:tcPr>
          <w:p>
            <w:pPr>
              <w:jc w:val="left"/>
            </w:pPr>
            <w:r/>
            <w:r>
              <w:rPr>
                <w:rFonts w:ascii="Times New Roman" w:hAnsi="Times New Roman" w:eastAsia="Times New Roman"/>
                <w:b w:val="0"/>
                <w:sz w:val="16"/>
              </w:rPr>
              <w:t>Storage</w:t>
            </w:r>
          </w:p>
        </w:tc>
        <w:tc>
          <w:tcPr>
            <w:tcW w:type="dxa" w:w="3173"/>
            <w:vAlign w:val="center"/>
          </w:tcPr>
          <w:p>
            <w:pPr>
              <w:jc w:val="left"/>
            </w:pPr>
            <w:r/>
            <w:r>
              <w:rPr>
                <w:rFonts w:ascii="Times New Roman" w:hAnsi="Times New Roman" w:eastAsia="Times New Roman"/>
                <w:b w:val="0"/>
                <w:sz w:val="16"/>
              </w:rPr>
              <w:t>Disk type, capacity and available space</w:t>
            </w:r>
          </w:p>
        </w:tc>
        <w:tc>
          <w:tcPr>
            <w:tcW w:type="dxa" w:w="3173"/>
            <w:vAlign w:val="center"/>
          </w:tcPr>
          <w:p>
            <w:pPr>
              <w:jc w:val="left"/>
            </w:pPr>
            <w:r/>
            <w:r>
              <w:rPr>
                <w:rFonts w:ascii="Times New Roman" w:hAnsi="Times New Roman" w:eastAsia="Times New Roman"/>
                <w:b w:val="0"/>
                <w:sz w:val="16"/>
              </w:rPr>
              <w:t>Pending</w:t>
            </w:r>
          </w:p>
        </w:tc>
      </w:tr>
      <w:tr>
        <w:trPr>
          <w:cantSplit/>
        </w:trPr>
        <w:tc>
          <w:tcPr>
            <w:tcW w:type="dxa" w:w="3173"/>
            <w:vAlign w:val="center"/>
          </w:tcPr>
          <w:p>
            <w:pPr>
              <w:jc w:val="left"/>
            </w:pPr>
            <w:r/>
            <w:r>
              <w:rPr>
                <w:rFonts w:ascii="Times New Roman" w:hAnsi="Times New Roman" w:eastAsia="Times New Roman"/>
                <w:b w:val="0"/>
                <w:sz w:val="16"/>
              </w:rPr>
              <w:t>Network</w:t>
            </w:r>
          </w:p>
        </w:tc>
        <w:tc>
          <w:tcPr>
            <w:tcW w:type="dxa" w:w="3173"/>
            <w:vAlign w:val="center"/>
          </w:tcPr>
          <w:p>
            <w:pPr>
              <w:jc w:val="left"/>
            </w:pPr>
            <w:r/>
            <w:r>
              <w:rPr>
                <w:rFonts w:ascii="Times New Roman" w:hAnsi="Times New Roman" w:eastAsia="Times New Roman"/>
                <w:b w:val="0"/>
                <w:sz w:val="16"/>
              </w:rPr>
              <w:t>Public or institutional IP, bandwidth and firewall restrictions</w:t>
            </w:r>
          </w:p>
        </w:tc>
        <w:tc>
          <w:tcPr>
            <w:tcW w:type="dxa" w:w="3173"/>
            <w:vAlign w:val="center"/>
          </w:tcPr>
          <w:p>
            <w:pPr>
              <w:jc w:val="left"/>
            </w:pPr>
            <w:r/>
            <w:r>
              <w:rPr>
                <w:rFonts w:ascii="Times New Roman" w:hAnsi="Times New Roman" w:eastAsia="Times New Roman"/>
                <w:b w:val="0"/>
                <w:sz w:val="16"/>
              </w:rPr>
              <w:t>Pending</w:t>
            </w:r>
          </w:p>
        </w:tc>
      </w:tr>
      <w:tr>
        <w:trPr>
          <w:cantSplit/>
        </w:trPr>
        <w:tc>
          <w:tcPr>
            <w:tcW w:type="dxa" w:w="3173"/>
            <w:vAlign w:val="center"/>
          </w:tcPr>
          <w:p>
            <w:pPr>
              <w:jc w:val="left"/>
            </w:pPr>
            <w:r/>
            <w:r>
              <w:rPr>
                <w:rFonts w:ascii="Times New Roman" w:hAnsi="Times New Roman" w:eastAsia="Times New Roman"/>
                <w:b w:val="0"/>
                <w:sz w:val="16"/>
              </w:rPr>
              <w:t>Access</w:t>
            </w:r>
          </w:p>
        </w:tc>
        <w:tc>
          <w:tcPr>
            <w:tcW w:type="dxa" w:w="3173"/>
            <w:vAlign w:val="center"/>
          </w:tcPr>
          <w:p>
            <w:pPr>
              <w:jc w:val="left"/>
            </w:pPr>
            <w:r/>
            <w:r>
              <w:rPr>
                <w:rFonts w:ascii="Times New Roman" w:hAnsi="Times New Roman" w:eastAsia="Times New Roman"/>
                <w:b w:val="0"/>
                <w:sz w:val="16"/>
              </w:rPr>
              <w:t>SSH username, key or approved authentication mechanism</w:t>
            </w:r>
          </w:p>
        </w:tc>
        <w:tc>
          <w:tcPr>
            <w:tcW w:type="dxa" w:w="3173"/>
            <w:vAlign w:val="center"/>
          </w:tcPr>
          <w:p>
            <w:pPr>
              <w:jc w:val="left"/>
            </w:pPr>
            <w:r/>
            <w:r>
              <w:rPr>
                <w:rFonts w:ascii="Times New Roman" w:hAnsi="Times New Roman" w:eastAsia="Times New Roman"/>
                <w:b w:val="0"/>
                <w:sz w:val="16"/>
              </w:rPr>
              <w:t>Pending</w:t>
            </w:r>
          </w:p>
        </w:tc>
      </w:tr>
      <w:tr>
        <w:trPr>
          <w:cantSplit/>
        </w:trPr>
        <w:tc>
          <w:tcPr>
            <w:tcW w:type="dxa" w:w="3173"/>
            <w:vAlign w:val="center"/>
          </w:tcPr>
          <w:p>
            <w:pPr>
              <w:jc w:val="left"/>
            </w:pPr>
            <w:r/>
            <w:r>
              <w:rPr>
                <w:rFonts w:ascii="Times New Roman" w:hAnsi="Times New Roman" w:eastAsia="Times New Roman"/>
                <w:b w:val="0"/>
                <w:sz w:val="16"/>
              </w:rPr>
              <w:t>Ports</w:t>
            </w:r>
          </w:p>
        </w:tc>
        <w:tc>
          <w:tcPr>
            <w:tcW w:type="dxa" w:w="3173"/>
            <w:vAlign w:val="center"/>
          </w:tcPr>
          <w:p>
            <w:pPr>
              <w:jc w:val="left"/>
            </w:pPr>
            <w:r/>
            <w:r>
              <w:rPr>
                <w:rFonts w:ascii="Times New Roman" w:hAnsi="Times New Roman" w:eastAsia="Times New Roman"/>
                <w:b w:val="0"/>
                <w:sz w:val="16"/>
              </w:rPr>
              <w:t>22, 80 and 443, subject to institutional policy</w:t>
            </w:r>
          </w:p>
        </w:tc>
        <w:tc>
          <w:tcPr>
            <w:tcW w:type="dxa" w:w="3173"/>
            <w:vAlign w:val="center"/>
          </w:tcPr>
          <w:p>
            <w:pPr>
              <w:jc w:val="left"/>
            </w:pPr>
            <w:r/>
            <w:r>
              <w:rPr>
                <w:rFonts w:ascii="Times New Roman" w:hAnsi="Times New Roman" w:eastAsia="Times New Roman"/>
                <w:b w:val="0"/>
                <w:sz w:val="16"/>
              </w:rPr>
              <w:t>Pending</w:t>
            </w:r>
          </w:p>
        </w:tc>
      </w:tr>
      <w:tr>
        <w:trPr>
          <w:cantSplit/>
        </w:trPr>
        <w:tc>
          <w:tcPr>
            <w:tcW w:type="dxa" w:w="3173"/>
            <w:vAlign w:val="center"/>
          </w:tcPr>
          <w:p>
            <w:pPr>
              <w:jc w:val="left"/>
            </w:pPr>
            <w:r/>
            <w:r>
              <w:rPr>
                <w:rFonts w:ascii="Times New Roman" w:hAnsi="Times New Roman" w:eastAsia="Times New Roman"/>
                <w:b w:val="0"/>
                <w:sz w:val="16"/>
              </w:rPr>
              <w:t>Cost</w:t>
            </w:r>
          </w:p>
        </w:tc>
        <w:tc>
          <w:tcPr>
            <w:tcW w:type="dxa" w:w="3173"/>
            <w:vAlign w:val="center"/>
          </w:tcPr>
          <w:p>
            <w:pPr>
              <w:jc w:val="left"/>
            </w:pPr>
            <w:r/>
            <w:r>
              <w:rPr>
                <w:rFonts w:ascii="Times New Roman" w:hAnsi="Times New Roman" w:eastAsia="Times New Roman"/>
                <w:b w:val="0"/>
                <w:sz w:val="16"/>
              </w:rPr>
              <w:t>Monthly or institutional-equivalent VM cost</w:t>
            </w:r>
          </w:p>
        </w:tc>
        <w:tc>
          <w:tcPr>
            <w:tcW w:type="dxa" w:w="3173"/>
            <w:vAlign w:val="center"/>
          </w:tcPr>
          <w:p>
            <w:pPr>
              <w:jc w:val="left"/>
            </w:pPr>
            <w:r/>
            <w:r>
              <w:rPr>
                <w:rFonts w:ascii="Times New Roman" w:hAnsi="Times New Roman" w:eastAsia="Times New Roman"/>
                <w:b w:val="0"/>
                <w:sz w:val="16"/>
              </w:rPr>
              <w:t>Pending</w:t>
            </w:r>
          </w:p>
        </w:tc>
      </w:tr>
    </w:tbl>
    <w:p/>
    <w:p>
      <w:pPr>
        <w:pStyle w:val="Heading1"/>
      </w:pPr>
      <w:r>
        <w:t>4. Release and Reproducibility Controls</w:t>
      </w:r>
    </w:p>
    <w:p>
      <w:pPr>
        <w:pStyle w:val="ListBullet"/>
      </w:pPr>
      <w:r>
        <w:t>Record the exact Git commit and release tag deployed on the VM.</w:t>
      </w:r>
    </w:p>
    <w:p>
      <w:pPr>
        <w:pStyle w:val="ListBullet"/>
      </w:pPr>
      <w:r>
        <w:t>Record Docker Engine and Docker Compose versions.</w:t>
      </w:r>
    </w:p>
    <w:p>
      <w:pPr>
        <w:pStyle w:val="ListBullet"/>
      </w:pPr>
      <w:r>
        <w:t>Use new VM-specific secrets and never reuse local development credentials.</w:t>
      </w:r>
    </w:p>
    <w:p>
      <w:pPr>
        <w:pStyle w:val="ListBullet"/>
      </w:pPr>
      <w:r>
        <w:t>Record the Alembic migration revision before and after deployment.</w:t>
      </w:r>
    </w:p>
    <w:p>
      <w:pPr>
        <w:pStyle w:val="ListBullet"/>
      </w:pPr>
      <w:r>
        <w:t>Record the production environment variables without exposing secret values.</w:t>
      </w:r>
    </w:p>
    <w:p>
      <w:pPr>
        <w:pStyle w:val="ListBullet"/>
      </w:pPr>
      <w:r>
        <w:t>Preserve the Docker Compose file, Nginx configuration and deployment log as evidence.</w:t>
      </w:r>
    </w:p>
    <w:p>
      <w:pPr>
        <w:pStyle w:val="ListBullet"/>
      </w:pPr>
      <w:r>
        <w:t>Do not modify application code during testing without creating a new commit and documenting the reason.</w:t>
      </w:r>
    </w:p>
    <w:p>
      <w:pPr>
        <w:pStyle w:val="Heading1"/>
      </w:pPr>
      <w:r>
        <w:t>5. Deployment Acceptance Tests</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6"/>
              </w:rPr>
              <w:t>ID</w:t>
            </w:r>
          </w:p>
        </w:tc>
        <w:tc>
          <w:tcPr>
            <w:tcW w:type="dxa" w:w="3173"/>
            <w:vAlign w:val="center"/>
            <w:shd w:fill="D9E1F2"/>
          </w:tcPr>
          <w:p>
            <w:pPr>
              <w:jc w:val="left"/>
            </w:pPr>
            <w:r/>
            <w:r>
              <w:rPr>
                <w:rFonts w:ascii="Times New Roman" w:hAnsi="Times New Roman" w:eastAsia="Times New Roman"/>
                <w:b/>
                <w:sz w:val="16"/>
              </w:rPr>
              <w:t>Control</w:t>
            </w:r>
          </w:p>
        </w:tc>
        <w:tc>
          <w:tcPr>
            <w:tcW w:type="dxa" w:w="3173"/>
            <w:vAlign w:val="center"/>
            <w:shd w:fill="D9E1F2"/>
          </w:tcPr>
          <w:p>
            <w:pPr>
              <w:jc w:val="left"/>
            </w:pPr>
            <w:r/>
            <w:r>
              <w:rPr>
                <w:rFonts w:ascii="Times New Roman" w:hAnsi="Times New Roman" w:eastAsia="Times New Roman"/>
                <w:b/>
                <w:sz w:val="16"/>
              </w:rPr>
              <w:t>Acceptance criterion</w:t>
            </w:r>
          </w:p>
        </w:tc>
      </w:tr>
      <w:tr>
        <w:trPr>
          <w:cantSplit/>
        </w:trPr>
        <w:tc>
          <w:tcPr>
            <w:tcW w:type="dxa" w:w="3173"/>
            <w:vAlign w:val="center"/>
          </w:tcPr>
          <w:p>
            <w:pPr>
              <w:jc w:val="left"/>
            </w:pPr>
            <w:r/>
            <w:r>
              <w:rPr>
                <w:rFonts w:ascii="Times New Roman" w:hAnsi="Times New Roman" w:eastAsia="Times New Roman"/>
                <w:b w:val="0"/>
                <w:sz w:val="16"/>
              </w:rPr>
              <w:t>D01</w:t>
            </w:r>
          </w:p>
        </w:tc>
        <w:tc>
          <w:tcPr>
            <w:tcW w:type="dxa" w:w="3173"/>
            <w:vAlign w:val="center"/>
          </w:tcPr>
          <w:p>
            <w:pPr>
              <w:jc w:val="left"/>
            </w:pPr>
            <w:r/>
            <w:r>
              <w:rPr>
                <w:rFonts w:ascii="Times New Roman" w:hAnsi="Times New Roman" w:eastAsia="Times New Roman"/>
                <w:b w:val="0"/>
                <w:sz w:val="16"/>
              </w:rPr>
              <w:t>SSH access</w:t>
            </w:r>
          </w:p>
        </w:tc>
        <w:tc>
          <w:tcPr>
            <w:tcW w:type="dxa" w:w="3173"/>
            <w:vAlign w:val="center"/>
          </w:tcPr>
          <w:p>
            <w:pPr>
              <w:jc w:val="left"/>
            </w:pPr>
            <w:r/>
            <w:r>
              <w:rPr>
                <w:rFonts w:ascii="Times New Roman" w:hAnsi="Times New Roman" w:eastAsia="Times New Roman"/>
                <w:b w:val="0"/>
                <w:sz w:val="16"/>
              </w:rPr>
              <w:t>Authorized key-based login succeeds</w:t>
            </w:r>
          </w:p>
        </w:tc>
      </w:tr>
      <w:tr>
        <w:trPr>
          <w:cantSplit/>
        </w:trPr>
        <w:tc>
          <w:tcPr>
            <w:tcW w:type="dxa" w:w="3173"/>
            <w:vAlign w:val="center"/>
          </w:tcPr>
          <w:p>
            <w:pPr>
              <w:jc w:val="left"/>
            </w:pPr>
            <w:r/>
            <w:r>
              <w:rPr>
                <w:rFonts w:ascii="Times New Roman" w:hAnsi="Times New Roman" w:eastAsia="Times New Roman"/>
                <w:b w:val="0"/>
                <w:sz w:val="16"/>
              </w:rPr>
              <w:t>D02</w:t>
            </w:r>
          </w:p>
        </w:tc>
        <w:tc>
          <w:tcPr>
            <w:tcW w:type="dxa" w:w="3173"/>
            <w:vAlign w:val="center"/>
          </w:tcPr>
          <w:p>
            <w:pPr>
              <w:jc w:val="left"/>
            </w:pPr>
            <w:r/>
            <w:r>
              <w:rPr>
                <w:rFonts w:ascii="Times New Roman" w:hAnsi="Times New Roman" w:eastAsia="Times New Roman"/>
                <w:b w:val="0"/>
                <w:sz w:val="16"/>
              </w:rPr>
              <w:t>Docker services</w:t>
            </w:r>
          </w:p>
        </w:tc>
        <w:tc>
          <w:tcPr>
            <w:tcW w:type="dxa" w:w="3173"/>
            <w:vAlign w:val="center"/>
          </w:tcPr>
          <w:p>
            <w:pPr>
              <w:jc w:val="left"/>
            </w:pPr>
            <w:r/>
            <w:r>
              <w:rPr>
                <w:rFonts w:ascii="Times New Roman" w:hAnsi="Times New Roman" w:eastAsia="Times New Roman"/>
                <w:b w:val="0"/>
                <w:sz w:val="16"/>
              </w:rPr>
              <w:t>Nginx, backend, PostgreSQL and MinIO are running</w:t>
            </w:r>
          </w:p>
        </w:tc>
      </w:tr>
      <w:tr>
        <w:trPr>
          <w:cantSplit/>
        </w:trPr>
        <w:tc>
          <w:tcPr>
            <w:tcW w:type="dxa" w:w="3173"/>
            <w:vAlign w:val="center"/>
          </w:tcPr>
          <w:p>
            <w:pPr>
              <w:jc w:val="left"/>
            </w:pPr>
            <w:r/>
            <w:r>
              <w:rPr>
                <w:rFonts w:ascii="Times New Roman" w:hAnsi="Times New Roman" w:eastAsia="Times New Roman"/>
                <w:b w:val="0"/>
                <w:sz w:val="16"/>
              </w:rPr>
              <w:t>D03</w:t>
            </w:r>
          </w:p>
        </w:tc>
        <w:tc>
          <w:tcPr>
            <w:tcW w:type="dxa" w:w="3173"/>
            <w:vAlign w:val="center"/>
          </w:tcPr>
          <w:p>
            <w:pPr>
              <w:jc w:val="left"/>
            </w:pPr>
            <w:r/>
            <w:r>
              <w:rPr>
                <w:rFonts w:ascii="Times New Roman" w:hAnsi="Times New Roman" w:eastAsia="Times New Roman"/>
                <w:b w:val="0"/>
                <w:sz w:val="16"/>
              </w:rPr>
              <w:t>Health checks</w:t>
            </w:r>
          </w:p>
        </w:tc>
        <w:tc>
          <w:tcPr>
            <w:tcW w:type="dxa" w:w="3173"/>
            <w:vAlign w:val="center"/>
          </w:tcPr>
          <w:p>
            <w:pPr>
              <w:jc w:val="left"/>
            </w:pPr>
            <w:r/>
            <w:r>
              <w:rPr>
                <w:rFonts w:ascii="Times New Roman" w:hAnsi="Times New Roman" w:eastAsia="Times New Roman"/>
                <w:b w:val="0"/>
                <w:sz w:val="16"/>
              </w:rPr>
              <w:t>Backend and PostgreSQL report healthy</w:t>
            </w:r>
          </w:p>
        </w:tc>
      </w:tr>
      <w:tr>
        <w:trPr>
          <w:cantSplit/>
        </w:trPr>
        <w:tc>
          <w:tcPr>
            <w:tcW w:type="dxa" w:w="3173"/>
            <w:vAlign w:val="center"/>
          </w:tcPr>
          <w:p>
            <w:pPr>
              <w:jc w:val="left"/>
            </w:pPr>
            <w:r/>
            <w:r>
              <w:rPr>
                <w:rFonts w:ascii="Times New Roman" w:hAnsi="Times New Roman" w:eastAsia="Times New Roman"/>
                <w:b w:val="0"/>
                <w:sz w:val="16"/>
              </w:rPr>
              <w:t>D04</w:t>
            </w:r>
          </w:p>
        </w:tc>
        <w:tc>
          <w:tcPr>
            <w:tcW w:type="dxa" w:w="3173"/>
            <w:vAlign w:val="center"/>
          </w:tcPr>
          <w:p>
            <w:pPr>
              <w:jc w:val="left"/>
            </w:pPr>
            <w:r/>
            <w:r>
              <w:rPr>
                <w:rFonts w:ascii="Times New Roman" w:hAnsi="Times New Roman" w:eastAsia="Times New Roman"/>
                <w:b w:val="0"/>
                <w:sz w:val="16"/>
              </w:rPr>
              <w:t>Network isolation</w:t>
            </w:r>
          </w:p>
        </w:tc>
        <w:tc>
          <w:tcPr>
            <w:tcW w:type="dxa" w:w="3173"/>
            <w:vAlign w:val="center"/>
          </w:tcPr>
          <w:p>
            <w:pPr>
              <w:jc w:val="left"/>
            </w:pPr>
            <w:r/>
            <w:r>
              <w:rPr>
                <w:rFonts w:ascii="Times New Roman" w:hAnsi="Times New Roman" w:eastAsia="Times New Roman"/>
                <w:b w:val="0"/>
                <w:sz w:val="16"/>
              </w:rPr>
              <w:t>PostgreSQL and MinIO are not exposed publicly</w:t>
            </w:r>
          </w:p>
        </w:tc>
      </w:tr>
      <w:tr>
        <w:trPr>
          <w:cantSplit/>
        </w:trPr>
        <w:tc>
          <w:tcPr>
            <w:tcW w:type="dxa" w:w="3173"/>
            <w:vAlign w:val="center"/>
          </w:tcPr>
          <w:p>
            <w:pPr>
              <w:jc w:val="left"/>
            </w:pPr>
            <w:r/>
            <w:r>
              <w:rPr>
                <w:rFonts w:ascii="Times New Roman" w:hAnsi="Times New Roman" w:eastAsia="Times New Roman"/>
                <w:b w:val="0"/>
                <w:sz w:val="16"/>
              </w:rPr>
              <w:t>D05</w:t>
            </w:r>
          </w:p>
        </w:tc>
        <w:tc>
          <w:tcPr>
            <w:tcW w:type="dxa" w:w="3173"/>
            <w:vAlign w:val="center"/>
          </w:tcPr>
          <w:p>
            <w:pPr>
              <w:jc w:val="left"/>
            </w:pPr>
            <w:r/>
            <w:r>
              <w:rPr>
                <w:rFonts w:ascii="Times New Roman" w:hAnsi="Times New Roman" w:eastAsia="Times New Roman"/>
                <w:b w:val="0"/>
                <w:sz w:val="16"/>
              </w:rPr>
              <w:t>Database migration</w:t>
            </w:r>
          </w:p>
        </w:tc>
        <w:tc>
          <w:tcPr>
            <w:tcW w:type="dxa" w:w="3173"/>
            <w:vAlign w:val="center"/>
          </w:tcPr>
          <w:p>
            <w:pPr>
              <w:jc w:val="left"/>
            </w:pPr>
            <w:r/>
            <w:r>
              <w:rPr>
                <w:rFonts w:ascii="Times New Roman" w:hAnsi="Times New Roman" w:eastAsia="Times New Roman"/>
                <w:b w:val="0"/>
                <w:sz w:val="16"/>
              </w:rPr>
              <w:t>Alembic reports the expected head revision</w:t>
            </w:r>
          </w:p>
        </w:tc>
      </w:tr>
      <w:tr>
        <w:trPr>
          <w:cantSplit/>
        </w:trPr>
        <w:tc>
          <w:tcPr>
            <w:tcW w:type="dxa" w:w="3173"/>
            <w:vAlign w:val="center"/>
          </w:tcPr>
          <w:p>
            <w:pPr>
              <w:jc w:val="left"/>
            </w:pPr>
            <w:r/>
            <w:r>
              <w:rPr>
                <w:rFonts w:ascii="Times New Roman" w:hAnsi="Times New Roman" w:eastAsia="Times New Roman"/>
                <w:b w:val="0"/>
                <w:sz w:val="16"/>
              </w:rPr>
              <w:t>D06</w:t>
            </w:r>
          </w:p>
        </w:tc>
        <w:tc>
          <w:tcPr>
            <w:tcW w:type="dxa" w:w="3173"/>
            <w:vAlign w:val="center"/>
          </w:tcPr>
          <w:p>
            <w:pPr>
              <w:jc w:val="left"/>
            </w:pPr>
            <w:r/>
            <w:r>
              <w:rPr>
                <w:rFonts w:ascii="Times New Roman" w:hAnsi="Times New Roman" w:eastAsia="Times New Roman"/>
                <w:b w:val="0"/>
                <w:sz w:val="16"/>
              </w:rPr>
              <w:t>HTTPS</w:t>
            </w:r>
          </w:p>
        </w:tc>
        <w:tc>
          <w:tcPr>
            <w:tcW w:type="dxa" w:w="3173"/>
            <w:vAlign w:val="center"/>
          </w:tcPr>
          <w:p>
            <w:pPr>
              <w:jc w:val="left"/>
            </w:pPr>
            <w:r/>
            <w:r>
              <w:rPr>
                <w:rFonts w:ascii="Times New Roman" w:hAnsi="Times New Roman" w:eastAsia="Times New Roman"/>
                <w:b w:val="0"/>
                <w:sz w:val="16"/>
              </w:rPr>
              <w:t>Valid certificate and HTTP-to-HTTPS redirect</w:t>
            </w:r>
          </w:p>
        </w:tc>
      </w:tr>
      <w:tr>
        <w:trPr>
          <w:cantSplit/>
        </w:trPr>
        <w:tc>
          <w:tcPr>
            <w:tcW w:type="dxa" w:w="3173"/>
            <w:vAlign w:val="center"/>
          </w:tcPr>
          <w:p>
            <w:pPr>
              <w:jc w:val="left"/>
            </w:pPr>
            <w:r/>
            <w:r>
              <w:rPr>
                <w:rFonts w:ascii="Times New Roman" w:hAnsi="Times New Roman" w:eastAsia="Times New Roman"/>
                <w:b w:val="0"/>
                <w:sz w:val="16"/>
              </w:rPr>
              <w:t>D07</w:t>
            </w:r>
          </w:p>
        </w:tc>
        <w:tc>
          <w:tcPr>
            <w:tcW w:type="dxa" w:w="3173"/>
            <w:vAlign w:val="center"/>
          </w:tcPr>
          <w:p>
            <w:pPr>
              <w:jc w:val="left"/>
            </w:pPr>
            <w:r/>
            <w:r>
              <w:rPr>
                <w:rFonts w:ascii="Times New Roman" w:hAnsi="Times New Roman" w:eastAsia="Times New Roman"/>
                <w:b w:val="0"/>
                <w:sz w:val="16"/>
              </w:rPr>
              <w:t>Trusted host</w:t>
            </w:r>
          </w:p>
        </w:tc>
        <w:tc>
          <w:tcPr>
            <w:tcW w:type="dxa" w:w="3173"/>
            <w:vAlign w:val="center"/>
          </w:tcPr>
          <w:p>
            <w:pPr>
              <w:jc w:val="left"/>
            </w:pPr>
            <w:r/>
            <w:r>
              <w:rPr>
                <w:rFonts w:ascii="Times New Roman" w:hAnsi="Times New Roman" w:eastAsia="Times New Roman"/>
                <w:b w:val="0"/>
                <w:sz w:val="16"/>
              </w:rPr>
              <w:t>Authorized domain accepted; untrusted host rejected</w:t>
            </w:r>
          </w:p>
        </w:tc>
      </w:tr>
      <w:tr>
        <w:trPr>
          <w:cantSplit/>
        </w:trPr>
        <w:tc>
          <w:tcPr>
            <w:tcW w:type="dxa" w:w="3173"/>
            <w:vAlign w:val="center"/>
          </w:tcPr>
          <w:p>
            <w:pPr>
              <w:jc w:val="left"/>
            </w:pPr>
            <w:r/>
            <w:r>
              <w:rPr>
                <w:rFonts w:ascii="Times New Roman" w:hAnsi="Times New Roman" w:eastAsia="Times New Roman"/>
                <w:b w:val="0"/>
                <w:sz w:val="16"/>
              </w:rPr>
              <w:t>D08</w:t>
            </w:r>
          </w:p>
        </w:tc>
        <w:tc>
          <w:tcPr>
            <w:tcW w:type="dxa" w:w="3173"/>
            <w:vAlign w:val="center"/>
          </w:tcPr>
          <w:p>
            <w:pPr>
              <w:jc w:val="left"/>
            </w:pPr>
            <w:r/>
            <w:r>
              <w:rPr>
                <w:rFonts w:ascii="Times New Roman" w:hAnsi="Times New Roman" w:eastAsia="Times New Roman"/>
                <w:b w:val="0"/>
                <w:sz w:val="16"/>
              </w:rPr>
              <w:t>Secrets</w:t>
            </w:r>
          </w:p>
        </w:tc>
        <w:tc>
          <w:tcPr>
            <w:tcW w:type="dxa" w:w="3173"/>
            <w:vAlign w:val="center"/>
          </w:tcPr>
          <w:p>
            <w:pPr>
              <w:jc w:val="left"/>
            </w:pPr>
            <w:r/>
            <w:r>
              <w:rPr>
                <w:rFonts w:ascii="Times New Roman" w:hAnsi="Times New Roman" w:eastAsia="Times New Roman"/>
                <w:b w:val="0"/>
                <w:sz w:val="16"/>
              </w:rPr>
              <w:t>VM-specific high-entropy secrets confirmed</w:t>
            </w:r>
          </w:p>
        </w:tc>
      </w:tr>
      <w:tr>
        <w:trPr>
          <w:cantSplit/>
        </w:trPr>
        <w:tc>
          <w:tcPr>
            <w:tcW w:type="dxa" w:w="3173"/>
            <w:vAlign w:val="center"/>
          </w:tcPr>
          <w:p>
            <w:pPr>
              <w:jc w:val="left"/>
            </w:pPr>
            <w:r/>
            <w:r>
              <w:rPr>
                <w:rFonts w:ascii="Times New Roman" w:hAnsi="Times New Roman" w:eastAsia="Times New Roman"/>
                <w:b w:val="0"/>
                <w:sz w:val="16"/>
              </w:rPr>
              <w:t>D09</w:t>
            </w:r>
          </w:p>
        </w:tc>
        <w:tc>
          <w:tcPr>
            <w:tcW w:type="dxa" w:w="3173"/>
            <w:vAlign w:val="center"/>
          </w:tcPr>
          <w:p>
            <w:pPr>
              <w:jc w:val="left"/>
            </w:pPr>
            <w:r/>
            <w:r>
              <w:rPr>
                <w:rFonts w:ascii="Times New Roman" w:hAnsi="Times New Roman" w:eastAsia="Times New Roman"/>
                <w:b w:val="0"/>
                <w:sz w:val="16"/>
              </w:rPr>
              <w:t>Backup destination</w:t>
            </w:r>
          </w:p>
        </w:tc>
        <w:tc>
          <w:tcPr>
            <w:tcW w:type="dxa" w:w="3173"/>
            <w:vAlign w:val="center"/>
          </w:tcPr>
          <w:p>
            <w:pPr>
              <w:jc w:val="left"/>
            </w:pPr>
            <w:r/>
            <w:r>
              <w:rPr>
                <w:rFonts w:ascii="Times New Roman" w:hAnsi="Times New Roman" w:eastAsia="Times New Roman"/>
                <w:b w:val="0"/>
                <w:sz w:val="16"/>
              </w:rPr>
              <w:t>Off-host or independent backup path available</w:t>
            </w:r>
          </w:p>
        </w:tc>
      </w:tr>
      <w:tr>
        <w:trPr>
          <w:cantSplit/>
        </w:trPr>
        <w:tc>
          <w:tcPr>
            <w:tcW w:type="dxa" w:w="3173"/>
            <w:vAlign w:val="center"/>
          </w:tcPr>
          <w:p>
            <w:pPr>
              <w:jc w:val="left"/>
            </w:pPr>
            <w:r/>
            <w:r>
              <w:rPr>
                <w:rFonts w:ascii="Times New Roman" w:hAnsi="Times New Roman" w:eastAsia="Times New Roman"/>
                <w:b w:val="0"/>
                <w:sz w:val="16"/>
              </w:rPr>
              <w:t>D10</w:t>
            </w:r>
          </w:p>
        </w:tc>
        <w:tc>
          <w:tcPr>
            <w:tcW w:type="dxa" w:w="3173"/>
            <w:vAlign w:val="center"/>
          </w:tcPr>
          <w:p>
            <w:pPr>
              <w:jc w:val="left"/>
            </w:pPr>
            <w:r/>
            <w:r>
              <w:rPr>
                <w:rFonts w:ascii="Times New Roman" w:hAnsi="Times New Roman" w:eastAsia="Times New Roman"/>
                <w:b w:val="0"/>
                <w:sz w:val="16"/>
              </w:rPr>
              <w:t>Monitoring</w:t>
            </w:r>
          </w:p>
        </w:tc>
        <w:tc>
          <w:tcPr>
            <w:tcW w:type="dxa" w:w="3173"/>
            <w:vAlign w:val="center"/>
          </w:tcPr>
          <w:p>
            <w:pPr>
              <w:jc w:val="left"/>
            </w:pPr>
            <w:r/>
            <w:r>
              <w:rPr>
                <w:rFonts w:ascii="Times New Roman" w:hAnsi="Times New Roman" w:eastAsia="Times New Roman"/>
                <w:b w:val="0"/>
                <w:sz w:val="16"/>
              </w:rPr>
              <w:t>CPU, memory, disk and network collection active</w:t>
            </w:r>
          </w:p>
        </w:tc>
      </w:tr>
    </w:tbl>
    <w:p/>
    <w:p>
      <w:pPr>
        <w:pStyle w:val="Heading1"/>
      </w:pPr>
      <w:r>
        <w:t>6. Controlled Resource Configurations</w:t>
      </w:r>
    </w:p>
    <w:p>
      <w:r>
        <w:t>The final allocations must be adapted to the VM provided by UESTC. At least three documented configurations should be tested where technically possible. CPU and memory limits must be applied consistently through Docker or the approved VM mechanism.</w:t>
      </w:r>
    </w:p>
    <w:tbl>
      <w:tblPr>
        <w:tblStyle w:val="TableGrid"/>
        <w:tblW w:type="auto" w:w="0"/>
        <w:jc w:val="center"/>
        <w:tblLook w:firstColumn="1" w:firstRow="1" w:lastColumn="0" w:lastRow="0" w:noHBand="0" w:noVBand="1" w:val="04A0"/>
      </w:tblPr>
      <w:tblGrid>
        <w:gridCol w:w="1904"/>
        <w:gridCol w:w="1904"/>
        <w:gridCol w:w="1904"/>
        <w:gridCol w:w="1904"/>
        <w:gridCol w:w="1904"/>
      </w:tblGrid>
      <w:tr>
        <w:trPr>
          <w:tblHeader w:val="true"/>
          <w:cantSplit/>
        </w:trPr>
        <w:tc>
          <w:tcPr>
            <w:tcW w:type="dxa" w:w="1904"/>
            <w:vAlign w:val="center"/>
            <w:shd w:fill="D9E1F2"/>
          </w:tcPr>
          <w:p>
            <w:pPr>
              <w:jc w:val="left"/>
            </w:pPr>
            <w:r/>
            <w:r>
              <w:rPr>
                <w:rFonts w:ascii="Times New Roman" w:hAnsi="Times New Roman" w:eastAsia="Times New Roman"/>
                <w:b/>
                <w:sz w:val="16"/>
              </w:rPr>
              <w:t>Configuration</w:t>
            </w:r>
          </w:p>
        </w:tc>
        <w:tc>
          <w:tcPr>
            <w:tcW w:type="dxa" w:w="1904"/>
            <w:vAlign w:val="center"/>
            <w:shd w:fill="D9E1F2"/>
          </w:tcPr>
          <w:p>
            <w:pPr>
              <w:jc w:val="left"/>
            </w:pPr>
            <w:r/>
            <w:r>
              <w:rPr>
                <w:rFonts w:ascii="Times New Roman" w:hAnsi="Times New Roman" w:eastAsia="Times New Roman"/>
                <w:b/>
                <w:sz w:val="16"/>
              </w:rPr>
              <w:t>Profile</w:t>
            </w:r>
          </w:p>
        </w:tc>
        <w:tc>
          <w:tcPr>
            <w:tcW w:type="dxa" w:w="1904"/>
            <w:vAlign w:val="center"/>
            <w:shd w:fill="D9E1F2"/>
          </w:tcPr>
          <w:p>
            <w:pPr>
              <w:jc w:val="left"/>
            </w:pPr>
            <w:r/>
            <w:r>
              <w:rPr>
                <w:rFonts w:ascii="Times New Roman" w:hAnsi="Times New Roman" w:eastAsia="Times New Roman"/>
                <w:b/>
                <w:sz w:val="16"/>
              </w:rPr>
              <w:t>CPU</w:t>
            </w:r>
          </w:p>
        </w:tc>
        <w:tc>
          <w:tcPr>
            <w:tcW w:type="dxa" w:w="1904"/>
            <w:vAlign w:val="center"/>
            <w:shd w:fill="D9E1F2"/>
          </w:tcPr>
          <w:p>
            <w:pPr>
              <w:jc w:val="left"/>
            </w:pPr>
            <w:r/>
            <w:r>
              <w:rPr>
                <w:rFonts w:ascii="Times New Roman" w:hAnsi="Times New Roman" w:eastAsia="Times New Roman"/>
                <w:b/>
                <w:sz w:val="16"/>
              </w:rPr>
              <w:t>Memory</w:t>
            </w:r>
          </w:p>
        </w:tc>
        <w:tc>
          <w:tcPr>
            <w:tcW w:type="dxa" w:w="1904"/>
            <w:vAlign w:val="center"/>
            <w:shd w:fill="D9E1F2"/>
          </w:tcPr>
          <w:p>
            <w:pPr>
              <w:jc w:val="left"/>
            </w:pPr>
            <w:r/>
            <w:r>
              <w:rPr>
                <w:rFonts w:ascii="Times New Roman" w:hAnsi="Times New Roman" w:eastAsia="Times New Roman"/>
                <w:b/>
                <w:sz w:val="16"/>
              </w:rPr>
              <w:t>Purpose</w:t>
            </w:r>
          </w:p>
        </w:tc>
      </w:tr>
      <w:tr>
        <w:trPr>
          <w:cantSplit/>
        </w:trPr>
        <w:tc>
          <w:tcPr>
            <w:tcW w:type="dxa" w:w="1904"/>
            <w:vAlign w:val="center"/>
          </w:tcPr>
          <w:p>
            <w:pPr>
              <w:jc w:val="left"/>
            </w:pPr>
            <w:r/>
            <w:r>
              <w:rPr>
                <w:rFonts w:ascii="Times New Roman" w:hAnsi="Times New Roman" w:eastAsia="Times New Roman"/>
                <w:b w:val="0"/>
                <w:sz w:val="16"/>
              </w:rPr>
              <w:t>RC-1</w:t>
            </w:r>
          </w:p>
        </w:tc>
        <w:tc>
          <w:tcPr>
            <w:tcW w:type="dxa" w:w="1904"/>
            <w:vAlign w:val="center"/>
          </w:tcPr>
          <w:p>
            <w:pPr>
              <w:jc w:val="left"/>
            </w:pPr>
            <w:r/>
            <w:r>
              <w:rPr>
                <w:rFonts w:ascii="Times New Roman" w:hAnsi="Times New Roman" w:eastAsia="Times New Roman"/>
                <w:b w:val="0"/>
                <w:sz w:val="16"/>
              </w:rPr>
              <w:t>Minimum</w:t>
            </w:r>
          </w:p>
        </w:tc>
        <w:tc>
          <w:tcPr>
            <w:tcW w:type="dxa" w:w="1904"/>
            <w:vAlign w:val="center"/>
          </w:tcPr>
          <w:p>
            <w:pPr>
              <w:jc w:val="left"/>
            </w:pPr>
            <w:r/>
            <w:r>
              <w:rPr>
                <w:rFonts w:ascii="Times New Roman" w:hAnsi="Times New Roman" w:eastAsia="Times New Roman"/>
                <w:b w:val="0"/>
                <w:sz w:val="16"/>
              </w:rPr>
              <w:t>1 vCPU</w:t>
            </w:r>
          </w:p>
        </w:tc>
        <w:tc>
          <w:tcPr>
            <w:tcW w:type="dxa" w:w="1904"/>
            <w:vAlign w:val="center"/>
          </w:tcPr>
          <w:p>
            <w:pPr>
              <w:jc w:val="left"/>
            </w:pPr>
            <w:r/>
            <w:r>
              <w:rPr>
                <w:rFonts w:ascii="Times New Roman" w:hAnsi="Times New Roman" w:eastAsia="Times New Roman"/>
                <w:b w:val="0"/>
                <w:sz w:val="16"/>
              </w:rPr>
              <w:t>2 GiB</w:t>
            </w:r>
          </w:p>
        </w:tc>
        <w:tc>
          <w:tcPr>
            <w:tcW w:type="dxa" w:w="1904"/>
            <w:vAlign w:val="center"/>
          </w:tcPr>
          <w:p>
            <w:pPr>
              <w:jc w:val="left"/>
            </w:pPr>
            <w:r/>
            <w:r>
              <w:rPr>
                <w:rFonts w:ascii="Times New Roman" w:hAnsi="Times New Roman" w:eastAsia="Times New Roman"/>
                <w:b w:val="0"/>
                <w:sz w:val="16"/>
              </w:rPr>
              <w:t>Determine lower operational boundary</w:t>
            </w:r>
          </w:p>
        </w:tc>
      </w:tr>
      <w:tr>
        <w:trPr>
          <w:cantSplit/>
        </w:trPr>
        <w:tc>
          <w:tcPr>
            <w:tcW w:type="dxa" w:w="1904"/>
            <w:vAlign w:val="center"/>
          </w:tcPr>
          <w:p>
            <w:pPr>
              <w:jc w:val="left"/>
            </w:pPr>
            <w:r/>
            <w:r>
              <w:rPr>
                <w:rFonts w:ascii="Times New Roman" w:hAnsi="Times New Roman" w:eastAsia="Times New Roman"/>
                <w:b w:val="0"/>
                <w:sz w:val="16"/>
              </w:rPr>
              <w:t>RC-2</w:t>
            </w:r>
          </w:p>
        </w:tc>
        <w:tc>
          <w:tcPr>
            <w:tcW w:type="dxa" w:w="1904"/>
            <w:vAlign w:val="center"/>
          </w:tcPr>
          <w:p>
            <w:pPr>
              <w:jc w:val="left"/>
            </w:pPr>
            <w:r/>
            <w:r>
              <w:rPr>
                <w:rFonts w:ascii="Times New Roman" w:hAnsi="Times New Roman" w:eastAsia="Times New Roman"/>
                <w:b w:val="0"/>
                <w:sz w:val="16"/>
              </w:rPr>
              <w:t>Moderate</w:t>
            </w:r>
          </w:p>
        </w:tc>
        <w:tc>
          <w:tcPr>
            <w:tcW w:type="dxa" w:w="1904"/>
            <w:vAlign w:val="center"/>
          </w:tcPr>
          <w:p>
            <w:pPr>
              <w:jc w:val="left"/>
            </w:pPr>
            <w:r/>
            <w:r>
              <w:rPr>
                <w:rFonts w:ascii="Times New Roman" w:hAnsi="Times New Roman" w:eastAsia="Times New Roman"/>
                <w:b w:val="0"/>
                <w:sz w:val="16"/>
              </w:rPr>
              <w:t>2 vCPU</w:t>
            </w:r>
          </w:p>
        </w:tc>
        <w:tc>
          <w:tcPr>
            <w:tcW w:type="dxa" w:w="1904"/>
            <w:vAlign w:val="center"/>
          </w:tcPr>
          <w:p>
            <w:pPr>
              <w:jc w:val="left"/>
            </w:pPr>
            <w:r/>
            <w:r>
              <w:rPr>
                <w:rFonts w:ascii="Times New Roman" w:hAnsi="Times New Roman" w:eastAsia="Times New Roman"/>
                <w:b w:val="0"/>
                <w:sz w:val="16"/>
              </w:rPr>
              <w:t>4 GiB</w:t>
            </w:r>
          </w:p>
        </w:tc>
        <w:tc>
          <w:tcPr>
            <w:tcW w:type="dxa" w:w="1904"/>
            <w:vAlign w:val="center"/>
          </w:tcPr>
          <w:p>
            <w:pPr>
              <w:jc w:val="left"/>
            </w:pPr>
            <w:r/>
            <w:r>
              <w:rPr>
                <w:rFonts w:ascii="Times New Roman" w:hAnsi="Times New Roman" w:eastAsia="Times New Roman"/>
                <w:b w:val="0"/>
                <w:sz w:val="16"/>
              </w:rPr>
              <w:t>Primary resource-constrained configuration</w:t>
            </w:r>
          </w:p>
        </w:tc>
      </w:tr>
      <w:tr>
        <w:trPr>
          <w:cantSplit/>
        </w:trPr>
        <w:tc>
          <w:tcPr>
            <w:tcW w:type="dxa" w:w="1904"/>
            <w:vAlign w:val="center"/>
          </w:tcPr>
          <w:p>
            <w:pPr>
              <w:jc w:val="left"/>
            </w:pPr>
            <w:r/>
            <w:r>
              <w:rPr>
                <w:rFonts w:ascii="Times New Roman" w:hAnsi="Times New Roman" w:eastAsia="Times New Roman"/>
                <w:b w:val="0"/>
                <w:sz w:val="16"/>
              </w:rPr>
              <w:t>RC-3</w:t>
            </w:r>
          </w:p>
        </w:tc>
        <w:tc>
          <w:tcPr>
            <w:tcW w:type="dxa" w:w="1904"/>
            <w:vAlign w:val="center"/>
          </w:tcPr>
          <w:p>
            <w:pPr>
              <w:jc w:val="left"/>
            </w:pPr>
            <w:r/>
            <w:r>
              <w:rPr>
                <w:rFonts w:ascii="Times New Roman" w:hAnsi="Times New Roman" w:eastAsia="Times New Roman"/>
                <w:b w:val="0"/>
                <w:sz w:val="16"/>
              </w:rPr>
              <w:t>Recommended</w:t>
            </w:r>
          </w:p>
        </w:tc>
        <w:tc>
          <w:tcPr>
            <w:tcW w:type="dxa" w:w="1904"/>
            <w:vAlign w:val="center"/>
          </w:tcPr>
          <w:p>
            <w:pPr>
              <w:jc w:val="left"/>
            </w:pPr>
            <w:r/>
            <w:r>
              <w:rPr>
                <w:rFonts w:ascii="Times New Roman" w:hAnsi="Times New Roman" w:eastAsia="Times New Roman"/>
                <w:b w:val="0"/>
                <w:sz w:val="16"/>
              </w:rPr>
              <w:t>4 vCPU</w:t>
            </w:r>
          </w:p>
        </w:tc>
        <w:tc>
          <w:tcPr>
            <w:tcW w:type="dxa" w:w="1904"/>
            <w:vAlign w:val="center"/>
          </w:tcPr>
          <w:p>
            <w:pPr>
              <w:jc w:val="left"/>
            </w:pPr>
            <w:r/>
            <w:r>
              <w:rPr>
                <w:rFonts w:ascii="Times New Roman" w:hAnsi="Times New Roman" w:eastAsia="Times New Roman"/>
                <w:b w:val="0"/>
                <w:sz w:val="16"/>
              </w:rPr>
              <w:t>8 GiB</w:t>
            </w:r>
          </w:p>
        </w:tc>
        <w:tc>
          <w:tcPr>
            <w:tcW w:type="dxa" w:w="1904"/>
            <w:vAlign w:val="center"/>
          </w:tcPr>
          <w:p>
            <w:pPr>
              <w:jc w:val="left"/>
            </w:pPr>
            <w:r/>
            <w:r>
              <w:rPr>
                <w:rFonts w:ascii="Times New Roman" w:hAnsi="Times New Roman" w:eastAsia="Times New Roman"/>
                <w:b w:val="0"/>
                <w:sz w:val="16"/>
              </w:rPr>
              <w:t>Reference configuration</w:t>
            </w:r>
          </w:p>
        </w:tc>
      </w:tr>
    </w:tbl>
    <w:p/>
    <w:p>
      <w:r>
        <w:t>The values above are planned test profiles, not confirmed UESTC allocations. Profiles that exceed the provided VM capacity must not be reported as executed.</w:t>
      </w:r>
    </w:p>
    <w:p>
      <w:pPr>
        <w:pStyle w:val="Heading1"/>
      </w:pPr>
      <w:r>
        <w:t>7. Performance and Scalability Test Matrix</w:t>
      </w:r>
    </w:p>
    <w:tbl>
      <w:tblPr>
        <w:tblStyle w:val="TableGrid"/>
        <w:tblW w:type="auto" w:w="0"/>
        <w:jc w:val="center"/>
        <w:tblLook w:firstColumn="1" w:firstRow="1" w:lastColumn="0" w:lastRow="0" w:noHBand="0" w:noVBand="1" w:val="04A0"/>
      </w:tblPr>
      <w:tblGrid>
        <w:gridCol w:w="1904"/>
        <w:gridCol w:w="1904"/>
        <w:gridCol w:w="1904"/>
        <w:gridCol w:w="1904"/>
        <w:gridCol w:w="1904"/>
      </w:tblGrid>
      <w:tr>
        <w:trPr>
          <w:tblHeader w:val="true"/>
          <w:cantSplit/>
        </w:trPr>
        <w:tc>
          <w:tcPr>
            <w:tcW w:type="dxa" w:w="1904"/>
            <w:vAlign w:val="center"/>
            <w:shd w:fill="D9E1F2"/>
          </w:tcPr>
          <w:p>
            <w:pPr>
              <w:jc w:val="left"/>
            </w:pPr>
            <w:r/>
            <w:r>
              <w:rPr>
                <w:rFonts w:ascii="Times New Roman" w:hAnsi="Times New Roman" w:eastAsia="Times New Roman"/>
                <w:b/>
                <w:sz w:val="16"/>
              </w:rPr>
              <w:t>Scenario</w:t>
            </w:r>
          </w:p>
        </w:tc>
        <w:tc>
          <w:tcPr>
            <w:tcW w:type="dxa" w:w="1904"/>
            <w:vAlign w:val="center"/>
            <w:shd w:fill="D9E1F2"/>
          </w:tcPr>
          <w:p>
            <w:pPr>
              <w:jc w:val="left"/>
            </w:pPr>
            <w:r/>
            <w:r>
              <w:rPr>
                <w:rFonts w:ascii="Times New Roman" w:hAnsi="Times New Roman" w:eastAsia="Times New Roman"/>
                <w:b/>
                <w:sz w:val="16"/>
              </w:rPr>
              <w:t>Users</w:t>
            </w:r>
          </w:p>
        </w:tc>
        <w:tc>
          <w:tcPr>
            <w:tcW w:type="dxa" w:w="1904"/>
            <w:vAlign w:val="center"/>
            <w:shd w:fill="D9E1F2"/>
          </w:tcPr>
          <w:p>
            <w:pPr>
              <w:jc w:val="left"/>
            </w:pPr>
            <w:r/>
            <w:r>
              <w:rPr>
                <w:rFonts w:ascii="Times New Roman" w:hAnsi="Times New Roman" w:eastAsia="Times New Roman"/>
                <w:b/>
                <w:sz w:val="16"/>
              </w:rPr>
              <w:t>Duration</w:t>
            </w:r>
          </w:p>
        </w:tc>
        <w:tc>
          <w:tcPr>
            <w:tcW w:type="dxa" w:w="1904"/>
            <w:vAlign w:val="center"/>
            <w:shd w:fill="D9E1F2"/>
          </w:tcPr>
          <w:p>
            <w:pPr>
              <w:jc w:val="left"/>
            </w:pPr>
            <w:r/>
            <w:r>
              <w:rPr>
                <w:rFonts w:ascii="Times New Roman" w:hAnsi="Times New Roman" w:eastAsia="Times New Roman"/>
                <w:b/>
                <w:sz w:val="16"/>
              </w:rPr>
              <w:t>Workload</w:t>
            </w:r>
          </w:p>
        </w:tc>
        <w:tc>
          <w:tcPr>
            <w:tcW w:type="dxa" w:w="1904"/>
            <w:vAlign w:val="center"/>
            <w:shd w:fill="D9E1F2"/>
          </w:tcPr>
          <w:p>
            <w:pPr>
              <w:jc w:val="left"/>
            </w:pPr>
            <w:r/>
            <w:r>
              <w:rPr>
                <w:rFonts w:ascii="Times New Roman" w:hAnsi="Times New Roman" w:eastAsia="Times New Roman"/>
                <w:b/>
                <w:sz w:val="16"/>
              </w:rPr>
              <w:t>Primary criterion</w:t>
            </w:r>
          </w:p>
        </w:tc>
      </w:tr>
      <w:tr>
        <w:trPr>
          <w:cantSplit/>
        </w:trPr>
        <w:tc>
          <w:tcPr>
            <w:tcW w:type="dxa" w:w="1904"/>
            <w:vAlign w:val="center"/>
          </w:tcPr>
          <w:p>
            <w:pPr>
              <w:jc w:val="left"/>
            </w:pPr>
            <w:r/>
            <w:r>
              <w:rPr>
                <w:rFonts w:ascii="Times New Roman" w:hAnsi="Times New Roman" w:eastAsia="Times New Roman"/>
                <w:b w:val="0"/>
                <w:sz w:val="16"/>
              </w:rPr>
              <w:t>L10</w:t>
            </w:r>
          </w:p>
        </w:tc>
        <w:tc>
          <w:tcPr>
            <w:tcW w:type="dxa" w:w="1904"/>
            <w:vAlign w:val="center"/>
          </w:tcPr>
          <w:p>
            <w:pPr>
              <w:jc w:val="left"/>
            </w:pPr>
            <w:r/>
            <w:r>
              <w:rPr>
                <w:rFonts w:ascii="Times New Roman" w:hAnsi="Times New Roman" w:eastAsia="Times New Roman"/>
                <w:b w:val="0"/>
                <w:sz w:val="16"/>
              </w:rPr>
              <w:t>10</w:t>
            </w:r>
          </w:p>
        </w:tc>
        <w:tc>
          <w:tcPr>
            <w:tcW w:type="dxa" w:w="1904"/>
            <w:vAlign w:val="center"/>
          </w:tcPr>
          <w:p>
            <w:pPr>
              <w:jc w:val="left"/>
            </w:pPr>
            <w:r/>
            <w:r>
              <w:rPr>
                <w:rFonts w:ascii="Times New Roman" w:hAnsi="Times New Roman" w:eastAsia="Times New Roman"/>
                <w:b w:val="0"/>
                <w:sz w:val="16"/>
              </w:rPr>
              <w:t>5 min</w:t>
            </w:r>
          </w:p>
        </w:tc>
        <w:tc>
          <w:tcPr>
            <w:tcW w:type="dxa" w:w="1904"/>
            <w:vAlign w:val="center"/>
          </w:tcPr>
          <w:p>
            <w:pPr>
              <w:jc w:val="left"/>
            </w:pPr>
            <w:r/>
            <w:r>
              <w:rPr>
                <w:rFonts w:ascii="Times New Roman" w:hAnsi="Times New Roman" w:eastAsia="Times New Roman"/>
                <w:b w:val="0"/>
                <w:sz w:val="16"/>
              </w:rPr>
              <w:t>Authenticated read-dominant baseline</w:t>
            </w:r>
          </w:p>
        </w:tc>
        <w:tc>
          <w:tcPr>
            <w:tcW w:type="dxa" w:w="1904"/>
            <w:vAlign w:val="center"/>
          </w:tcPr>
          <w:p>
            <w:pPr>
              <w:jc w:val="left"/>
            </w:pPr>
            <w:r/>
            <w:r>
              <w:rPr>
                <w:rFonts w:ascii="Times New Roman" w:hAnsi="Times New Roman" w:eastAsia="Times New Roman"/>
                <w:b w:val="0"/>
                <w:sz w:val="16"/>
              </w:rPr>
              <w:t>0 failures targeted</w:t>
            </w:r>
          </w:p>
        </w:tc>
      </w:tr>
      <w:tr>
        <w:trPr>
          <w:cantSplit/>
        </w:trPr>
        <w:tc>
          <w:tcPr>
            <w:tcW w:type="dxa" w:w="1904"/>
            <w:vAlign w:val="center"/>
          </w:tcPr>
          <w:p>
            <w:pPr>
              <w:jc w:val="left"/>
            </w:pPr>
            <w:r/>
            <w:r>
              <w:rPr>
                <w:rFonts w:ascii="Times New Roman" w:hAnsi="Times New Roman" w:eastAsia="Times New Roman"/>
                <w:b w:val="0"/>
                <w:sz w:val="16"/>
              </w:rPr>
              <w:t>L50</w:t>
            </w:r>
          </w:p>
        </w:tc>
        <w:tc>
          <w:tcPr>
            <w:tcW w:type="dxa" w:w="1904"/>
            <w:vAlign w:val="center"/>
          </w:tcPr>
          <w:p>
            <w:pPr>
              <w:jc w:val="left"/>
            </w:pPr>
            <w:r/>
            <w:r>
              <w:rPr>
                <w:rFonts w:ascii="Times New Roman" w:hAnsi="Times New Roman" w:eastAsia="Times New Roman"/>
                <w:b w:val="0"/>
                <w:sz w:val="16"/>
              </w:rPr>
              <w:t>50</w:t>
            </w:r>
          </w:p>
        </w:tc>
        <w:tc>
          <w:tcPr>
            <w:tcW w:type="dxa" w:w="1904"/>
            <w:vAlign w:val="center"/>
          </w:tcPr>
          <w:p>
            <w:pPr>
              <w:jc w:val="left"/>
            </w:pPr>
            <w:r/>
            <w:r>
              <w:rPr>
                <w:rFonts w:ascii="Times New Roman" w:hAnsi="Times New Roman" w:eastAsia="Times New Roman"/>
                <w:b w:val="0"/>
                <w:sz w:val="16"/>
              </w:rPr>
              <w:t>5 min</w:t>
            </w:r>
          </w:p>
        </w:tc>
        <w:tc>
          <w:tcPr>
            <w:tcW w:type="dxa" w:w="1904"/>
            <w:vAlign w:val="center"/>
          </w:tcPr>
          <w:p>
            <w:pPr>
              <w:jc w:val="left"/>
            </w:pPr>
            <w:r/>
            <w:r>
              <w:rPr>
                <w:rFonts w:ascii="Times New Roman" w:hAnsi="Times New Roman" w:eastAsia="Times New Roman"/>
                <w:b w:val="0"/>
                <w:sz w:val="16"/>
              </w:rPr>
              <w:t>Moderate concurrency</w:t>
            </w:r>
          </w:p>
        </w:tc>
        <w:tc>
          <w:tcPr>
            <w:tcW w:type="dxa" w:w="1904"/>
            <w:vAlign w:val="center"/>
          </w:tcPr>
          <w:p>
            <w:pPr>
              <w:jc w:val="left"/>
            </w:pPr>
            <w:r/>
            <w:r>
              <w:rPr>
                <w:rFonts w:ascii="Times New Roman" w:hAnsi="Times New Roman" w:eastAsia="Times New Roman"/>
                <w:b w:val="0"/>
                <w:sz w:val="16"/>
              </w:rPr>
              <w:t>0 failures targeted</w:t>
            </w:r>
          </w:p>
        </w:tc>
      </w:tr>
      <w:tr>
        <w:trPr>
          <w:cantSplit/>
        </w:trPr>
        <w:tc>
          <w:tcPr>
            <w:tcW w:type="dxa" w:w="1904"/>
            <w:vAlign w:val="center"/>
          </w:tcPr>
          <w:p>
            <w:pPr>
              <w:jc w:val="left"/>
            </w:pPr>
            <w:r/>
            <w:r>
              <w:rPr>
                <w:rFonts w:ascii="Times New Roman" w:hAnsi="Times New Roman" w:eastAsia="Times New Roman"/>
                <w:b w:val="0"/>
                <w:sz w:val="16"/>
              </w:rPr>
              <w:t>L100</w:t>
            </w:r>
          </w:p>
        </w:tc>
        <w:tc>
          <w:tcPr>
            <w:tcW w:type="dxa" w:w="1904"/>
            <w:vAlign w:val="center"/>
          </w:tcPr>
          <w:p>
            <w:pPr>
              <w:jc w:val="left"/>
            </w:pPr>
            <w:r/>
            <w:r>
              <w:rPr>
                <w:rFonts w:ascii="Times New Roman" w:hAnsi="Times New Roman" w:eastAsia="Times New Roman"/>
                <w:b w:val="0"/>
                <w:sz w:val="16"/>
              </w:rPr>
              <w:t>100</w:t>
            </w:r>
          </w:p>
        </w:tc>
        <w:tc>
          <w:tcPr>
            <w:tcW w:type="dxa" w:w="1904"/>
            <w:vAlign w:val="center"/>
          </w:tcPr>
          <w:p>
            <w:pPr>
              <w:jc w:val="left"/>
            </w:pPr>
            <w:r/>
            <w:r>
              <w:rPr>
                <w:rFonts w:ascii="Times New Roman" w:hAnsi="Times New Roman" w:eastAsia="Times New Roman"/>
                <w:b w:val="0"/>
                <w:sz w:val="16"/>
              </w:rPr>
              <w:t>10 min</w:t>
            </w:r>
          </w:p>
        </w:tc>
        <w:tc>
          <w:tcPr>
            <w:tcW w:type="dxa" w:w="1904"/>
            <w:vAlign w:val="center"/>
          </w:tcPr>
          <w:p>
            <w:pPr>
              <w:jc w:val="left"/>
            </w:pPr>
            <w:r/>
            <w:r>
              <w:rPr>
                <w:rFonts w:ascii="Times New Roman" w:hAnsi="Times New Roman" w:eastAsia="Times New Roman"/>
                <w:b w:val="0"/>
                <w:sz w:val="16"/>
              </w:rPr>
              <w:t>High concurrency</w:t>
            </w:r>
          </w:p>
        </w:tc>
        <w:tc>
          <w:tcPr>
            <w:tcW w:type="dxa" w:w="1904"/>
            <w:vAlign w:val="center"/>
          </w:tcPr>
          <w:p>
            <w:pPr>
              <w:jc w:val="left"/>
            </w:pPr>
            <w:r/>
            <w:r>
              <w:rPr>
                <w:rFonts w:ascii="Times New Roman" w:hAnsi="Times New Roman" w:eastAsia="Times New Roman"/>
                <w:b w:val="0"/>
                <w:sz w:val="16"/>
              </w:rPr>
              <w:t>0 failures targeted</w:t>
            </w:r>
          </w:p>
        </w:tc>
      </w:tr>
      <w:tr>
        <w:trPr>
          <w:cantSplit/>
        </w:trPr>
        <w:tc>
          <w:tcPr>
            <w:tcW w:type="dxa" w:w="1904"/>
            <w:vAlign w:val="center"/>
          </w:tcPr>
          <w:p>
            <w:pPr>
              <w:jc w:val="left"/>
            </w:pPr>
            <w:r/>
            <w:r>
              <w:rPr>
                <w:rFonts w:ascii="Times New Roman" w:hAnsi="Times New Roman" w:eastAsia="Times New Roman"/>
                <w:b w:val="0"/>
                <w:sz w:val="16"/>
              </w:rPr>
              <w:t>L200</w:t>
            </w:r>
          </w:p>
        </w:tc>
        <w:tc>
          <w:tcPr>
            <w:tcW w:type="dxa" w:w="1904"/>
            <w:vAlign w:val="center"/>
          </w:tcPr>
          <w:p>
            <w:pPr>
              <w:jc w:val="left"/>
            </w:pPr>
            <w:r/>
            <w:r>
              <w:rPr>
                <w:rFonts w:ascii="Times New Roman" w:hAnsi="Times New Roman" w:eastAsia="Times New Roman"/>
                <w:b w:val="0"/>
                <w:sz w:val="16"/>
              </w:rPr>
              <w:t>200</w:t>
            </w:r>
          </w:p>
        </w:tc>
        <w:tc>
          <w:tcPr>
            <w:tcW w:type="dxa" w:w="1904"/>
            <w:vAlign w:val="center"/>
          </w:tcPr>
          <w:p>
            <w:pPr>
              <w:jc w:val="left"/>
            </w:pPr>
            <w:r/>
            <w:r>
              <w:rPr>
                <w:rFonts w:ascii="Times New Roman" w:hAnsi="Times New Roman" w:eastAsia="Times New Roman"/>
                <w:b w:val="0"/>
                <w:sz w:val="16"/>
              </w:rPr>
              <w:t>10 min</w:t>
            </w:r>
          </w:p>
        </w:tc>
        <w:tc>
          <w:tcPr>
            <w:tcW w:type="dxa" w:w="1904"/>
            <w:vAlign w:val="center"/>
          </w:tcPr>
          <w:p>
            <w:pPr>
              <w:jc w:val="left"/>
            </w:pPr>
            <w:r/>
            <w:r>
              <w:rPr>
                <w:rFonts w:ascii="Times New Roman" w:hAnsi="Times New Roman" w:eastAsia="Times New Roman"/>
                <w:b w:val="0"/>
                <w:sz w:val="16"/>
              </w:rPr>
              <w:t>Maximum locally validated load</w:t>
            </w:r>
          </w:p>
        </w:tc>
        <w:tc>
          <w:tcPr>
            <w:tcW w:type="dxa" w:w="1904"/>
            <w:vAlign w:val="center"/>
          </w:tcPr>
          <w:p>
            <w:pPr>
              <w:jc w:val="left"/>
            </w:pPr>
            <w:r/>
            <w:r>
              <w:rPr>
                <w:rFonts w:ascii="Times New Roman" w:hAnsi="Times New Roman" w:eastAsia="Times New Roman"/>
                <w:b w:val="0"/>
                <w:sz w:val="16"/>
              </w:rPr>
              <w:t>0 failures targeted</w:t>
            </w:r>
          </w:p>
        </w:tc>
      </w:tr>
      <w:tr>
        <w:trPr>
          <w:cantSplit/>
        </w:trPr>
        <w:tc>
          <w:tcPr>
            <w:tcW w:type="dxa" w:w="1904"/>
            <w:vAlign w:val="center"/>
          </w:tcPr>
          <w:p>
            <w:pPr>
              <w:jc w:val="left"/>
            </w:pPr>
            <w:r/>
            <w:r>
              <w:rPr>
                <w:rFonts w:ascii="Times New Roman" w:hAnsi="Times New Roman" w:eastAsia="Times New Roman"/>
                <w:b w:val="0"/>
                <w:sz w:val="16"/>
              </w:rPr>
              <w:t>MIX100</w:t>
            </w:r>
          </w:p>
        </w:tc>
        <w:tc>
          <w:tcPr>
            <w:tcW w:type="dxa" w:w="1904"/>
            <w:vAlign w:val="center"/>
          </w:tcPr>
          <w:p>
            <w:pPr>
              <w:jc w:val="left"/>
            </w:pPr>
            <w:r/>
            <w:r>
              <w:rPr>
                <w:rFonts w:ascii="Times New Roman" w:hAnsi="Times New Roman" w:eastAsia="Times New Roman"/>
                <w:b w:val="0"/>
                <w:sz w:val="16"/>
              </w:rPr>
              <w:t>100</w:t>
            </w:r>
          </w:p>
        </w:tc>
        <w:tc>
          <w:tcPr>
            <w:tcW w:type="dxa" w:w="1904"/>
            <w:vAlign w:val="center"/>
          </w:tcPr>
          <w:p>
            <w:pPr>
              <w:jc w:val="left"/>
            </w:pPr>
            <w:r/>
            <w:r>
              <w:rPr>
                <w:rFonts w:ascii="Times New Roman" w:hAnsi="Times New Roman" w:eastAsia="Times New Roman"/>
                <w:b w:val="0"/>
                <w:sz w:val="16"/>
              </w:rPr>
              <w:t>15 min</w:t>
            </w:r>
          </w:p>
        </w:tc>
        <w:tc>
          <w:tcPr>
            <w:tcW w:type="dxa" w:w="1904"/>
            <w:vAlign w:val="center"/>
          </w:tcPr>
          <w:p>
            <w:pPr>
              <w:jc w:val="left"/>
            </w:pPr>
            <w:r/>
            <w:r>
              <w:rPr>
                <w:rFonts w:ascii="Times New Roman" w:hAnsi="Times New Roman" w:eastAsia="Times New Roman"/>
                <w:b w:val="0"/>
                <w:sz w:val="16"/>
              </w:rPr>
              <w:t>Mixed read, write and report access</w:t>
            </w:r>
          </w:p>
        </w:tc>
        <w:tc>
          <w:tcPr>
            <w:tcW w:type="dxa" w:w="1904"/>
            <w:vAlign w:val="center"/>
          </w:tcPr>
          <w:p>
            <w:pPr>
              <w:jc w:val="left"/>
            </w:pPr>
            <w:r/>
            <w:r>
              <w:rPr>
                <w:rFonts w:ascii="Times New Roman" w:hAnsi="Times New Roman" w:eastAsia="Times New Roman"/>
                <w:b w:val="0"/>
                <w:sz w:val="16"/>
              </w:rPr>
              <w:t>Failure rate and integrity recorded</w:t>
            </w:r>
          </w:p>
        </w:tc>
      </w:tr>
      <w:tr>
        <w:trPr>
          <w:cantSplit/>
        </w:trPr>
        <w:tc>
          <w:tcPr>
            <w:tcW w:type="dxa" w:w="1904"/>
            <w:vAlign w:val="center"/>
          </w:tcPr>
          <w:p>
            <w:pPr>
              <w:jc w:val="left"/>
            </w:pPr>
            <w:r/>
            <w:r>
              <w:rPr>
                <w:rFonts w:ascii="Times New Roman" w:hAnsi="Times New Roman" w:eastAsia="Times New Roman"/>
                <w:b w:val="0"/>
                <w:sz w:val="16"/>
              </w:rPr>
              <w:t>END100</w:t>
            </w:r>
          </w:p>
        </w:tc>
        <w:tc>
          <w:tcPr>
            <w:tcW w:type="dxa" w:w="1904"/>
            <w:vAlign w:val="center"/>
          </w:tcPr>
          <w:p>
            <w:pPr>
              <w:jc w:val="left"/>
            </w:pPr>
            <w:r/>
            <w:r>
              <w:rPr>
                <w:rFonts w:ascii="Times New Roman" w:hAnsi="Times New Roman" w:eastAsia="Times New Roman"/>
                <w:b w:val="0"/>
                <w:sz w:val="16"/>
              </w:rPr>
              <w:t>100</w:t>
            </w:r>
          </w:p>
        </w:tc>
        <w:tc>
          <w:tcPr>
            <w:tcW w:type="dxa" w:w="1904"/>
            <w:vAlign w:val="center"/>
          </w:tcPr>
          <w:p>
            <w:pPr>
              <w:jc w:val="left"/>
            </w:pPr>
            <w:r/>
            <w:r>
              <w:rPr>
                <w:rFonts w:ascii="Times New Roman" w:hAnsi="Times New Roman" w:eastAsia="Times New Roman"/>
                <w:b w:val="0"/>
                <w:sz w:val="16"/>
              </w:rPr>
              <w:t>60 min minimum</w:t>
            </w:r>
          </w:p>
        </w:tc>
        <w:tc>
          <w:tcPr>
            <w:tcW w:type="dxa" w:w="1904"/>
            <w:vAlign w:val="center"/>
          </w:tcPr>
          <w:p>
            <w:pPr>
              <w:jc w:val="left"/>
            </w:pPr>
            <w:r/>
            <w:r>
              <w:rPr>
                <w:rFonts w:ascii="Times New Roman" w:hAnsi="Times New Roman" w:eastAsia="Times New Roman"/>
                <w:b w:val="0"/>
                <w:sz w:val="16"/>
              </w:rPr>
              <w:t>Endurance workload</w:t>
            </w:r>
          </w:p>
        </w:tc>
        <w:tc>
          <w:tcPr>
            <w:tcW w:type="dxa" w:w="1904"/>
            <w:vAlign w:val="center"/>
          </w:tcPr>
          <w:p>
            <w:pPr>
              <w:jc w:val="left"/>
            </w:pPr>
            <w:r/>
            <w:r>
              <w:rPr>
                <w:rFonts w:ascii="Times New Roman" w:hAnsi="Times New Roman" w:eastAsia="Times New Roman"/>
                <w:b w:val="0"/>
                <w:sz w:val="16"/>
              </w:rPr>
              <w:t>No progressive degradation or service restart</w:t>
            </w:r>
          </w:p>
        </w:tc>
      </w:tr>
    </w:tbl>
    <w:p/>
    <w:p>
      <w:pPr>
        <w:pStyle w:val="Heading1"/>
      </w:pPr>
      <w:r>
        <w:t>8. Required Performance Measurements</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6"/>
              </w:rPr>
              <w:t>Measurement</w:t>
            </w:r>
          </w:p>
        </w:tc>
        <w:tc>
          <w:tcPr>
            <w:tcW w:type="dxa" w:w="4759"/>
            <w:vAlign w:val="center"/>
            <w:shd w:fill="D9E1F2"/>
          </w:tcPr>
          <w:p>
            <w:pPr>
              <w:jc w:val="left"/>
            </w:pPr>
            <w:r/>
            <w:r>
              <w:rPr>
                <w:rFonts w:ascii="Times New Roman" w:hAnsi="Times New Roman" w:eastAsia="Times New Roman"/>
                <w:b/>
                <w:sz w:val="16"/>
              </w:rPr>
              <w:t>Required output</w:t>
            </w:r>
          </w:p>
        </w:tc>
      </w:tr>
      <w:tr>
        <w:trPr>
          <w:cantSplit/>
        </w:trPr>
        <w:tc>
          <w:tcPr>
            <w:tcW w:type="dxa" w:w="4759"/>
            <w:vAlign w:val="center"/>
          </w:tcPr>
          <w:p>
            <w:pPr>
              <w:jc w:val="left"/>
            </w:pPr>
            <w:r/>
            <w:r>
              <w:rPr>
                <w:rFonts w:ascii="Times New Roman" w:hAnsi="Times New Roman" w:eastAsia="Times New Roman"/>
                <w:b w:val="0"/>
                <w:sz w:val="16"/>
              </w:rPr>
              <w:t>Request volume</w:t>
            </w:r>
          </w:p>
        </w:tc>
        <w:tc>
          <w:tcPr>
            <w:tcW w:type="dxa" w:w="4759"/>
            <w:vAlign w:val="center"/>
          </w:tcPr>
          <w:p>
            <w:pPr>
              <w:jc w:val="left"/>
            </w:pPr>
            <w:r/>
            <w:r>
              <w:rPr>
                <w:rFonts w:ascii="Times New Roman" w:hAnsi="Times New Roman" w:eastAsia="Times New Roman"/>
                <w:b w:val="0"/>
                <w:sz w:val="16"/>
              </w:rPr>
              <w:t>Total requests and successful requests</w:t>
            </w:r>
          </w:p>
        </w:tc>
      </w:tr>
      <w:tr>
        <w:trPr>
          <w:cantSplit/>
        </w:trPr>
        <w:tc>
          <w:tcPr>
            <w:tcW w:type="dxa" w:w="4759"/>
            <w:vAlign w:val="center"/>
          </w:tcPr>
          <w:p>
            <w:pPr>
              <w:jc w:val="left"/>
            </w:pPr>
            <w:r/>
            <w:r>
              <w:rPr>
                <w:rFonts w:ascii="Times New Roman" w:hAnsi="Times New Roman" w:eastAsia="Times New Roman"/>
                <w:b w:val="0"/>
                <w:sz w:val="16"/>
              </w:rPr>
              <w:t>Reliability</w:t>
            </w:r>
          </w:p>
        </w:tc>
        <w:tc>
          <w:tcPr>
            <w:tcW w:type="dxa" w:w="4759"/>
            <w:vAlign w:val="center"/>
          </w:tcPr>
          <w:p>
            <w:pPr>
              <w:jc w:val="left"/>
            </w:pPr>
            <w:r/>
            <w:r>
              <w:rPr>
                <w:rFonts w:ascii="Times New Roman" w:hAnsi="Times New Roman" w:eastAsia="Times New Roman"/>
                <w:b w:val="0"/>
                <w:sz w:val="16"/>
              </w:rPr>
              <w:t>Failure count and failure rate</w:t>
            </w:r>
          </w:p>
        </w:tc>
      </w:tr>
      <w:tr>
        <w:trPr>
          <w:cantSplit/>
        </w:trPr>
        <w:tc>
          <w:tcPr>
            <w:tcW w:type="dxa" w:w="4759"/>
            <w:vAlign w:val="center"/>
          </w:tcPr>
          <w:p>
            <w:pPr>
              <w:jc w:val="left"/>
            </w:pPr>
            <w:r/>
            <w:r>
              <w:rPr>
                <w:rFonts w:ascii="Times New Roman" w:hAnsi="Times New Roman" w:eastAsia="Times New Roman"/>
                <w:b w:val="0"/>
                <w:sz w:val="16"/>
              </w:rPr>
              <w:t>Throughput</w:t>
            </w:r>
          </w:p>
        </w:tc>
        <w:tc>
          <w:tcPr>
            <w:tcW w:type="dxa" w:w="4759"/>
            <w:vAlign w:val="center"/>
          </w:tcPr>
          <w:p>
            <w:pPr>
              <w:jc w:val="left"/>
            </w:pPr>
            <w:r/>
            <w:r>
              <w:rPr>
                <w:rFonts w:ascii="Times New Roman" w:hAnsi="Times New Roman" w:eastAsia="Times New Roman"/>
                <w:b w:val="0"/>
                <w:sz w:val="16"/>
              </w:rPr>
              <w:t>Raw and successful requests per second</w:t>
            </w:r>
          </w:p>
        </w:tc>
      </w:tr>
      <w:tr>
        <w:trPr>
          <w:cantSplit/>
        </w:trPr>
        <w:tc>
          <w:tcPr>
            <w:tcW w:type="dxa" w:w="4759"/>
            <w:vAlign w:val="center"/>
          </w:tcPr>
          <w:p>
            <w:pPr>
              <w:jc w:val="left"/>
            </w:pPr>
            <w:r/>
            <w:r>
              <w:rPr>
                <w:rFonts w:ascii="Times New Roman" w:hAnsi="Times New Roman" w:eastAsia="Times New Roman"/>
                <w:b w:val="0"/>
                <w:sz w:val="16"/>
              </w:rPr>
              <w:t>Latency</w:t>
            </w:r>
          </w:p>
        </w:tc>
        <w:tc>
          <w:tcPr>
            <w:tcW w:type="dxa" w:w="4759"/>
            <w:vAlign w:val="center"/>
          </w:tcPr>
          <w:p>
            <w:pPr>
              <w:jc w:val="left"/>
            </w:pPr>
            <w:r/>
            <w:r>
              <w:rPr>
                <w:rFonts w:ascii="Times New Roman" w:hAnsi="Times New Roman" w:eastAsia="Times New Roman"/>
                <w:b w:val="0"/>
                <w:sz w:val="16"/>
              </w:rPr>
              <w:t>Mean, median, P95 and P99 response time</w:t>
            </w:r>
          </w:p>
        </w:tc>
      </w:tr>
      <w:tr>
        <w:trPr>
          <w:cantSplit/>
        </w:trPr>
        <w:tc>
          <w:tcPr>
            <w:tcW w:type="dxa" w:w="4759"/>
            <w:vAlign w:val="center"/>
          </w:tcPr>
          <w:p>
            <w:pPr>
              <w:jc w:val="left"/>
            </w:pPr>
            <w:r/>
            <w:r>
              <w:rPr>
                <w:rFonts w:ascii="Times New Roman" w:hAnsi="Times New Roman" w:eastAsia="Times New Roman"/>
                <w:b w:val="0"/>
                <w:sz w:val="16"/>
              </w:rPr>
              <w:t>CPU</w:t>
            </w:r>
          </w:p>
        </w:tc>
        <w:tc>
          <w:tcPr>
            <w:tcW w:type="dxa" w:w="4759"/>
            <w:vAlign w:val="center"/>
          </w:tcPr>
          <w:p>
            <w:pPr>
              <w:jc w:val="left"/>
            </w:pPr>
            <w:r/>
            <w:r>
              <w:rPr>
                <w:rFonts w:ascii="Times New Roman" w:hAnsi="Times New Roman" w:eastAsia="Times New Roman"/>
                <w:b w:val="0"/>
                <w:sz w:val="16"/>
              </w:rPr>
              <w:t>Backend, PostgreSQL, MinIO and Nginx time series</w:t>
            </w:r>
          </w:p>
        </w:tc>
      </w:tr>
      <w:tr>
        <w:trPr>
          <w:cantSplit/>
        </w:trPr>
        <w:tc>
          <w:tcPr>
            <w:tcW w:type="dxa" w:w="4759"/>
            <w:vAlign w:val="center"/>
          </w:tcPr>
          <w:p>
            <w:pPr>
              <w:jc w:val="left"/>
            </w:pPr>
            <w:r/>
            <w:r>
              <w:rPr>
                <w:rFonts w:ascii="Times New Roman" w:hAnsi="Times New Roman" w:eastAsia="Times New Roman"/>
                <w:b w:val="0"/>
                <w:sz w:val="16"/>
              </w:rPr>
              <w:t>Memory</w:t>
            </w:r>
          </w:p>
        </w:tc>
        <w:tc>
          <w:tcPr>
            <w:tcW w:type="dxa" w:w="4759"/>
            <w:vAlign w:val="center"/>
          </w:tcPr>
          <w:p>
            <w:pPr>
              <w:jc w:val="left"/>
            </w:pPr>
            <w:r/>
            <w:r>
              <w:rPr>
                <w:rFonts w:ascii="Times New Roman" w:hAnsi="Times New Roman" w:eastAsia="Times New Roman"/>
                <w:b w:val="0"/>
                <w:sz w:val="16"/>
              </w:rPr>
              <w:t>Per-container and host memory time series</w:t>
            </w:r>
          </w:p>
        </w:tc>
      </w:tr>
      <w:tr>
        <w:trPr>
          <w:cantSplit/>
        </w:trPr>
        <w:tc>
          <w:tcPr>
            <w:tcW w:type="dxa" w:w="4759"/>
            <w:vAlign w:val="center"/>
          </w:tcPr>
          <w:p>
            <w:pPr>
              <w:jc w:val="left"/>
            </w:pPr>
            <w:r/>
            <w:r>
              <w:rPr>
                <w:rFonts w:ascii="Times New Roman" w:hAnsi="Times New Roman" w:eastAsia="Times New Roman"/>
                <w:b w:val="0"/>
                <w:sz w:val="16"/>
              </w:rPr>
              <w:t>Storage</w:t>
            </w:r>
          </w:p>
        </w:tc>
        <w:tc>
          <w:tcPr>
            <w:tcW w:type="dxa" w:w="4759"/>
            <w:vAlign w:val="center"/>
          </w:tcPr>
          <w:p>
            <w:pPr>
              <w:jc w:val="left"/>
            </w:pPr>
            <w:r/>
            <w:r>
              <w:rPr>
                <w:rFonts w:ascii="Times New Roman" w:hAnsi="Times New Roman" w:eastAsia="Times New Roman"/>
                <w:b w:val="0"/>
                <w:sz w:val="16"/>
              </w:rPr>
              <w:t>Disk use, database size and I/O where available</w:t>
            </w:r>
          </w:p>
        </w:tc>
      </w:tr>
      <w:tr>
        <w:trPr>
          <w:cantSplit/>
        </w:trPr>
        <w:tc>
          <w:tcPr>
            <w:tcW w:type="dxa" w:w="4759"/>
            <w:vAlign w:val="center"/>
          </w:tcPr>
          <w:p>
            <w:pPr>
              <w:jc w:val="left"/>
            </w:pPr>
            <w:r/>
            <w:r>
              <w:rPr>
                <w:rFonts w:ascii="Times New Roman" w:hAnsi="Times New Roman" w:eastAsia="Times New Roman"/>
                <w:b w:val="0"/>
                <w:sz w:val="16"/>
              </w:rPr>
              <w:t>Network</w:t>
            </w:r>
          </w:p>
        </w:tc>
        <w:tc>
          <w:tcPr>
            <w:tcW w:type="dxa" w:w="4759"/>
            <w:vAlign w:val="center"/>
          </w:tcPr>
          <w:p>
            <w:pPr>
              <w:jc w:val="left"/>
            </w:pPr>
            <w:r/>
            <w:r>
              <w:rPr>
                <w:rFonts w:ascii="Times New Roman" w:hAnsi="Times New Roman" w:eastAsia="Times New Roman"/>
                <w:b w:val="0"/>
                <w:sz w:val="16"/>
              </w:rPr>
              <w:t>Inbound and outbound traffic where available</w:t>
            </w:r>
          </w:p>
        </w:tc>
      </w:tr>
      <w:tr>
        <w:trPr>
          <w:cantSplit/>
        </w:trPr>
        <w:tc>
          <w:tcPr>
            <w:tcW w:type="dxa" w:w="4759"/>
            <w:vAlign w:val="center"/>
          </w:tcPr>
          <w:p>
            <w:pPr>
              <w:jc w:val="left"/>
            </w:pPr>
            <w:r/>
            <w:r>
              <w:rPr>
                <w:rFonts w:ascii="Times New Roman" w:hAnsi="Times New Roman" w:eastAsia="Times New Roman"/>
                <w:b w:val="0"/>
                <w:sz w:val="16"/>
              </w:rPr>
              <w:t>Pool behavior</w:t>
            </w:r>
          </w:p>
        </w:tc>
        <w:tc>
          <w:tcPr>
            <w:tcW w:type="dxa" w:w="4759"/>
            <w:vAlign w:val="center"/>
          </w:tcPr>
          <w:p>
            <w:pPr>
              <w:jc w:val="left"/>
            </w:pPr>
            <w:r/>
            <w:r>
              <w:rPr>
                <w:rFonts w:ascii="Times New Roman" w:hAnsi="Times New Roman" w:eastAsia="Times New Roman"/>
                <w:b w:val="0"/>
                <w:sz w:val="16"/>
              </w:rPr>
              <w:t>Database connection-pool utilization and errors</w:t>
            </w:r>
          </w:p>
        </w:tc>
      </w:tr>
      <w:tr>
        <w:trPr>
          <w:cantSplit/>
        </w:trPr>
        <w:tc>
          <w:tcPr>
            <w:tcW w:type="dxa" w:w="4759"/>
            <w:vAlign w:val="center"/>
          </w:tcPr>
          <w:p>
            <w:pPr>
              <w:jc w:val="left"/>
            </w:pPr>
            <w:r/>
            <w:r>
              <w:rPr>
                <w:rFonts w:ascii="Times New Roman" w:hAnsi="Times New Roman" w:eastAsia="Times New Roman"/>
                <w:b w:val="0"/>
                <w:sz w:val="16"/>
              </w:rPr>
              <w:t>Service stability</w:t>
            </w:r>
          </w:p>
        </w:tc>
        <w:tc>
          <w:tcPr>
            <w:tcW w:type="dxa" w:w="4759"/>
            <w:vAlign w:val="center"/>
          </w:tcPr>
          <w:p>
            <w:pPr>
              <w:jc w:val="left"/>
            </w:pPr>
            <w:r/>
            <w:r>
              <w:rPr>
                <w:rFonts w:ascii="Times New Roman" w:hAnsi="Times New Roman" w:eastAsia="Times New Roman"/>
                <w:b w:val="0"/>
                <w:sz w:val="16"/>
              </w:rPr>
              <w:t>Container restarts, health failures and application errors</w:t>
            </w:r>
          </w:p>
        </w:tc>
      </w:tr>
    </w:tbl>
    <w:p/>
    <w:p>
      <w:pPr>
        <w:pStyle w:val="Heading1"/>
      </w:pPr>
      <w:r>
        <w:t>9. Security Revalidation</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6"/>
              </w:rPr>
              <w:t>ID</w:t>
            </w:r>
          </w:p>
        </w:tc>
        <w:tc>
          <w:tcPr>
            <w:tcW w:type="dxa" w:w="4759"/>
            <w:vAlign w:val="center"/>
            <w:shd w:fill="D9E1F2"/>
          </w:tcPr>
          <w:p>
            <w:pPr>
              <w:jc w:val="left"/>
            </w:pPr>
            <w:r/>
            <w:r>
              <w:rPr>
                <w:rFonts w:ascii="Times New Roman" w:hAnsi="Times New Roman" w:eastAsia="Times New Roman"/>
                <w:b/>
                <w:sz w:val="16"/>
              </w:rPr>
              <w:t>Remote security control</w:t>
            </w:r>
          </w:p>
        </w:tc>
      </w:tr>
      <w:tr>
        <w:trPr>
          <w:cantSplit/>
        </w:trPr>
        <w:tc>
          <w:tcPr>
            <w:tcW w:type="dxa" w:w="4759"/>
            <w:vAlign w:val="center"/>
          </w:tcPr>
          <w:p>
            <w:pPr>
              <w:jc w:val="left"/>
            </w:pPr>
            <w:r/>
            <w:r>
              <w:rPr>
                <w:rFonts w:ascii="Times New Roman" w:hAnsi="Times New Roman" w:eastAsia="Times New Roman"/>
                <w:b w:val="0"/>
                <w:sz w:val="16"/>
              </w:rPr>
              <w:t>S01</w:t>
            </w:r>
          </w:p>
        </w:tc>
        <w:tc>
          <w:tcPr>
            <w:tcW w:type="dxa" w:w="4759"/>
            <w:vAlign w:val="center"/>
          </w:tcPr>
          <w:p>
            <w:pPr>
              <w:jc w:val="left"/>
            </w:pPr>
            <w:r/>
            <w:r>
              <w:rPr>
                <w:rFonts w:ascii="Times New Roman" w:hAnsi="Times New Roman" w:eastAsia="Times New Roman"/>
                <w:b w:val="0"/>
                <w:sz w:val="16"/>
              </w:rPr>
              <w:t>Health endpoint returns HTTP 200 over HTTPS</w:t>
            </w:r>
          </w:p>
        </w:tc>
      </w:tr>
      <w:tr>
        <w:trPr>
          <w:cantSplit/>
        </w:trPr>
        <w:tc>
          <w:tcPr>
            <w:tcW w:type="dxa" w:w="4759"/>
            <w:vAlign w:val="center"/>
          </w:tcPr>
          <w:p>
            <w:pPr>
              <w:jc w:val="left"/>
            </w:pPr>
            <w:r/>
            <w:r>
              <w:rPr>
                <w:rFonts w:ascii="Times New Roman" w:hAnsi="Times New Roman" w:eastAsia="Times New Roman"/>
                <w:b w:val="0"/>
                <w:sz w:val="16"/>
              </w:rPr>
              <w:t>S02</w:t>
            </w:r>
          </w:p>
        </w:tc>
        <w:tc>
          <w:tcPr>
            <w:tcW w:type="dxa" w:w="4759"/>
            <w:vAlign w:val="center"/>
          </w:tcPr>
          <w:p>
            <w:pPr>
              <w:jc w:val="left"/>
            </w:pPr>
            <w:r/>
            <w:r>
              <w:rPr>
                <w:rFonts w:ascii="Times New Roman" w:hAnsi="Times New Roman" w:eastAsia="Times New Roman"/>
                <w:b w:val="0"/>
                <w:sz w:val="16"/>
              </w:rPr>
              <w:t>Security headers are present on the remote domain</w:t>
            </w:r>
          </w:p>
        </w:tc>
      </w:tr>
      <w:tr>
        <w:trPr>
          <w:cantSplit/>
        </w:trPr>
        <w:tc>
          <w:tcPr>
            <w:tcW w:type="dxa" w:w="4759"/>
            <w:vAlign w:val="center"/>
          </w:tcPr>
          <w:p>
            <w:pPr>
              <w:jc w:val="left"/>
            </w:pPr>
            <w:r/>
            <w:r>
              <w:rPr>
                <w:rFonts w:ascii="Times New Roman" w:hAnsi="Times New Roman" w:eastAsia="Times New Roman"/>
                <w:b w:val="0"/>
                <w:sz w:val="16"/>
              </w:rPr>
              <w:t>S03</w:t>
            </w:r>
          </w:p>
        </w:tc>
        <w:tc>
          <w:tcPr>
            <w:tcW w:type="dxa" w:w="4759"/>
            <w:vAlign w:val="center"/>
          </w:tcPr>
          <w:p>
            <w:pPr>
              <w:jc w:val="left"/>
            </w:pPr>
            <w:r/>
            <w:r>
              <w:rPr>
                <w:rFonts w:ascii="Times New Roman" w:hAnsi="Times New Roman" w:eastAsia="Times New Roman"/>
                <w:b w:val="0"/>
                <w:sz w:val="16"/>
              </w:rPr>
              <w:t>HSTS is tested through HTTPS, not HTTP</w:t>
            </w:r>
          </w:p>
        </w:tc>
      </w:tr>
      <w:tr>
        <w:trPr>
          <w:cantSplit/>
        </w:trPr>
        <w:tc>
          <w:tcPr>
            <w:tcW w:type="dxa" w:w="4759"/>
            <w:vAlign w:val="center"/>
          </w:tcPr>
          <w:p>
            <w:pPr>
              <w:jc w:val="left"/>
            </w:pPr>
            <w:r/>
            <w:r>
              <w:rPr>
                <w:rFonts w:ascii="Times New Roman" w:hAnsi="Times New Roman" w:eastAsia="Times New Roman"/>
                <w:b w:val="0"/>
                <w:sz w:val="16"/>
              </w:rPr>
              <w:t>S04</w:t>
            </w:r>
          </w:p>
        </w:tc>
        <w:tc>
          <w:tcPr>
            <w:tcW w:type="dxa" w:w="4759"/>
            <w:vAlign w:val="center"/>
          </w:tcPr>
          <w:p>
            <w:pPr>
              <w:jc w:val="left"/>
            </w:pPr>
            <w:r/>
            <w:r>
              <w:rPr>
                <w:rFonts w:ascii="Times New Roman" w:hAnsi="Times New Roman" w:eastAsia="Times New Roman"/>
                <w:b w:val="0"/>
                <w:sz w:val="16"/>
              </w:rPr>
              <w:t>Production documentation routes return HTTP 404</w:t>
            </w:r>
          </w:p>
        </w:tc>
      </w:tr>
      <w:tr>
        <w:trPr>
          <w:cantSplit/>
        </w:trPr>
        <w:tc>
          <w:tcPr>
            <w:tcW w:type="dxa" w:w="4759"/>
            <w:vAlign w:val="center"/>
          </w:tcPr>
          <w:p>
            <w:pPr>
              <w:jc w:val="left"/>
            </w:pPr>
            <w:r/>
            <w:r>
              <w:rPr>
                <w:rFonts w:ascii="Times New Roman" w:hAnsi="Times New Roman" w:eastAsia="Times New Roman"/>
                <w:b w:val="0"/>
                <w:sz w:val="16"/>
              </w:rPr>
              <w:t>S05</w:t>
            </w:r>
          </w:p>
        </w:tc>
        <w:tc>
          <w:tcPr>
            <w:tcW w:type="dxa" w:w="4759"/>
            <w:vAlign w:val="center"/>
          </w:tcPr>
          <w:p>
            <w:pPr>
              <w:jc w:val="left"/>
            </w:pPr>
            <w:r/>
            <w:r>
              <w:rPr>
                <w:rFonts w:ascii="Times New Roman" w:hAnsi="Times New Roman" w:eastAsia="Times New Roman"/>
                <w:b w:val="0"/>
                <w:sz w:val="16"/>
              </w:rPr>
              <w:t>Trusted CORS origin is accepted</w:t>
            </w:r>
          </w:p>
        </w:tc>
      </w:tr>
      <w:tr>
        <w:trPr>
          <w:cantSplit/>
        </w:trPr>
        <w:tc>
          <w:tcPr>
            <w:tcW w:type="dxa" w:w="4759"/>
            <w:vAlign w:val="center"/>
          </w:tcPr>
          <w:p>
            <w:pPr>
              <w:jc w:val="left"/>
            </w:pPr>
            <w:r/>
            <w:r>
              <w:rPr>
                <w:rFonts w:ascii="Times New Roman" w:hAnsi="Times New Roman" w:eastAsia="Times New Roman"/>
                <w:b w:val="0"/>
                <w:sz w:val="16"/>
              </w:rPr>
              <w:t>S06</w:t>
            </w:r>
          </w:p>
        </w:tc>
        <w:tc>
          <w:tcPr>
            <w:tcW w:type="dxa" w:w="4759"/>
            <w:vAlign w:val="center"/>
          </w:tcPr>
          <w:p>
            <w:pPr>
              <w:jc w:val="left"/>
            </w:pPr>
            <w:r/>
            <w:r>
              <w:rPr>
                <w:rFonts w:ascii="Times New Roman" w:hAnsi="Times New Roman" w:eastAsia="Times New Roman"/>
                <w:b w:val="0"/>
                <w:sz w:val="16"/>
              </w:rPr>
              <w:t>Untrusted CORS origin is rejected</w:t>
            </w:r>
          </w:p>
        </w:tc>
      </w:tr>
      <w:tr>
        <w:trPr>
          <w:cantSplit/>
        </w:trPr>
        <w:tc>
          <w:tcPr>
            <w:tcW w:type="dxa" w:w="4759"/>
            <w:vAlign w:val="center"/>
          </w:tcPr>
          <w:p>
            <w:pPr>
              <w:jc w:val="left"/>
            </w:pPr>
            <w:r/>
            <w:r>
              <w:rPr>
                <w:rFonts w:ascii="Times New Roman" w:hAnsi="Times New Roman" w:eastAsia="Times New Roman"/>
                <w:b w:val="0"/>
                <w:sz w:val="16"/>
              </w:rPr>
              <w:t>S07</w:t>
            </w:r>
          </w:p>
        </w:tc>
        <w:tc>
          <w:tcPr>
            <w:tcW w:type="dxa" w:w="4759"/>
            <w:vAlign w:val="center"/>
          </w:tcPr>
          <w:p>
            <w:pPr>
              <w:jc w:val="left"/>
            </w:pPr>
            <w:r/>
            <w:r>
              <w:rPr>
                <w:rFonts w:ascii="Times New Roman" w:hAnsi="Times New Roman" w:eastAsia="Times New Roman"/>
                <w:b w:val="0"/>
                <w:sz w:val="16"/>
              </w:rPr>
              <w:t>Trusted host is accepted</w:t>
            </w:r>
          </w:p>
        </w:tc>
      </w:tr>
      <w:tr>
        <w:trPr>
          <w:cantSplit/>
        </w:trPr>
        <w:tc>
          <w:tcPr>
            <w:tcW w:type="dxa" w:w="4759"/>
            <w:vAlign w:val="center"/>
          </w:tcPr>
          <w:p>
            <w:pPr>
              <w:jc w:val="left"/>
            </w:pPr>
            <w:r/>
            <w:r>
              <w:rPr>
                <w:rFonts w:ascii="Times New Roman" w:hAnsi="Times New Roman" w:eastAsia="Times New Roman"/>
                <w:b w:val="0"/>
                <w:sz w:val="16"/>
              </w:rPr>
              <w:t>S08</w:t>
            </w:r>
          </w:p>
        </w:tc>
        <w:tc>
          <w:tcPr>
            <w:tcW w:type="dxa" w:w="4759"/>
            <w:vAlign w:val="center"/>
          </w:tcPr>
          <w:p>
            <w:pPr>
              <w:jc w:val="left"/>
            </w:pPr>
            <w:r/>
            <w:r>
              <w:rPr>
                <w:rFonts w:ascii="Times New Roman" w:hAnsi="Times New Roman" w:eastAsia="Times New Roman"/>
                <w:b w:val="0"/>
                <w:sz w:val="16"/>
              </w:rPr>
              <w:t>Untrusted host is rejected</w:t>
            </w:r>
          </w:p>
        </w:tc>
      </w:tr>
      <w:tr>
        <w:trPr>
          <w:cantSplit/>
        </w:trPr>
        <w:tc>
          <w:tcPr>
            <w:tcW w:type="dxa" w:w="4759"/>
            <w:vAlign w:val="center"/>
          </w:tcPr>
          <w:p>
            <w:pPr>
              <w:jc w:val="left"/>
            </w:pPr>
            <w:r/>
            <w:r>
              <w:rPr>
                <w:rFonts w:ascii="Times New Roman" w:hAnsi="Times New Roman" w:eastAsia="Times New Roman"/>
                <w:b w:val="0"/>
                <w:sz w:val="16"/>
              </w:rPr>
              <w:t>S09</w:t>
            </w:r>
          </w:p>
        </w:tc>
        <w:tc>
          <w:tcPr>
            <w:tcW w:type="dxa" w:w="4759"/>
            <w:vAlign w:val="center"/>
          </w:tcPr>
          <w:p>
            <w:pPr>
              <w:jc w:val="left"/>
            </w:pPr>
            <w:r/>
            <w:r>
              <w:rPr>
                <w:rFonts w:ascii="Times New Roman" w:hAnsi="Times New Roman" w:eastAsia="Times New Roman"/>
                <w:b w:val="0"/>
                <w:sz w:val="16"/>
              </w:rPr>
              <w:t>Unauthenticated protected access returns HTTP 401</w:t>
            </w:r>
          </w:p>
        </w:tc>
      </w:tr>
      <w:tr>
        <w:trPr>
          <w:cantSplit/>
        </w:trPr>
        <w:tc>
          <w:tcPr>
            <w:tcW w:type="dxa" w:w="4759"/>
            <w:vAlign w:val="center"/>
          </w:tcPr>
          <w:p>
            <w:pPr>
              <w:jc w:val="left"/>
            </w:pPr>
            <w:r/>
            <w:r>
              <w:rPr>
                <w:rFonts w:ascii="Times New Roman" w:hAnsi="Times New Roman" w:eastAsia="Times New Roman"/>
                <w:b w:val="0"/>
                <w:sz w:val="16"/>
              </w:rPr>
              <w:t>S10</w:t>
            </w:r>
          </w:p>
        </w:tc>
        <w:tc>
          <w:tcPr>
            <w:tcW w:type="dxa" w:w="4759"/>
            <w:vAlign w:val="center"/>
          </w:tcPr>
          <w:p>
            <w:pPr>
              <w:jc w:val="left"/>
            </w:pPr>
            <w:r/>
            <w:r>
              <w:rPr>
                <w:rFonts w:ascii="Times New Roman" w:hAnsi="Times New Roman" w:eastAsia="Times New Roman"/>
                <w:b w:val="0"/>
                <w:sz w:val="16"/>
              </w:rPr>
              <w:t>Unauthorized role access returns HTTP 403</w:t>
            </w:r>
          </w:p>
        </w:tc>
      </w:tr>
      <w:tr>
        <w:trPr>
          <w:cantSplit/>
        </w:trPr>
        <w:tc>
          <w:tcPr>
            <w:tcW w:type="dxa" w:w="4759"/>
            <w:vAlign w:val="center"/>
          </w:tcPr>
          <w:p>
            <w:pPr>
              <w:jc w:val="left"/>
            </w:pPr>
            <w:r/>
            <w:r>
              <w:rPr>
                <w:rFonts w:ascii="Times New Roman" w:hAnsi="Times New Roman" w:eastAsia="Times New Roman"/>
                <w:b w:val="0"/>
                <w:sz w:val="16"/>
              </w:rPr>
              <w:t>S11</w:t>
            </w:r>
          </w:p>
        </w:tc>
        <w:tc>
          <w:tcPr>
            <w:tcW w:type="dxa" w:w="4759"/>
            <w:vAlign w:val="center"/>
          </w:tcPr>
          <w:p>
            <w:pPr>
              <w:jc w:val="left"/>
            </w:pPr>
            <w:r/>
            <w:r>
              <w:rPr>
                <w:rFonts w:ascii="Times New Roman" w:hAnsi="Times New Roman" w:eastAsia="Times New Roman"/>
                <w:b w:val="0"/>
                <w:sz w:val="16"/>
              </w:rPr>
              <w:t>Diagnostic-report upload and download audit events are recorded</w:t>
            </w:r>
          </w:p>
        </w:tc>
      </w:tr>
      <w:tr>
        <w:trPr>
          <w:cantSplit/>
        </w:trPr>
        <w:tc>
          <w:tcPr>
            <w:tcW w:type="dxa" w:w="4759"/>
            <w:vAlign w:val="center"/>
          </w:tcPr>
          <w:p>
            <w:pPr>
              <w:jc w:val="left"/>
            </w:pPr>
            <w:r/>
            <w:r>
              <w:rPr>
                <w:rFonts w:ascii="Times New Roman" w:hAnsi="Times New Roman" w:eastAsia="Times New Roman"/>
                <w:b w:val="0"/>
                <w:sz w:val="16"/>
              </w:rPr>
              <w:t>S12</w:t>
            </w:r>
          </w:p>
        </w:tc>
        <w:tc>
          <w:tcPr>
            <w:tcW w:type="dxa" w:w="4759"/>
            <w:vAlign w:val="center"/>
          </w:tcPr>
          <w:p>
            <w:pPr>
              <w:jc w:val="left"/>
            </w:pPr>
            <w:r/>
            <w:r>
              <w:rPr>
                <w:rFonts w:ascii="Times New Roman" w:hAnsi="Times New Roman" w:eastAsia="Times New Roman"/>
                <w:b w:val="0"/>
                <w:sz w:val="16"/>
              </w:rPr>
              <w:t>No PostgreSQL or MinIO administrative port is publicly exposed</w:t>
            </w:r>
          </w:p>
        </w:tc>
      </w:tr>
    </w:tbl>
    <w:p/>
    <w:p>
      <w:pPr>
        <w:pStyle w:val="Heading1"/>
      </w:pPr>
      <w:r>
        <w:t>10. Storage and Data-Integrity Revalidation</w:t>
      </w:r>
    </w:p>
    <w:p>
      <w:pPr>
        <w:pStyle w:val="ListBullet"/>
      </w:pPr>
      <w:r>
        <w:t>Upload an authorized diagnostic report and verify HTTP status.</w:t>
      </w:r>
    </w:p>
    <w:p>
      <w:pPr>
        <w:pStyle w:val="ListBullet"/>
      </w:pPr>
      <w:r>
        <w:t>Verify PostgreSQL metadata row, file size and SHA-256 value.</w:t>
      </w:r>
    </w:p>
    <w:p>
      <w:pPr>
        <w:pStyle w:val="ListBullet"/>
      </w:pPr>
      <w:r>
        <w:t>Verify the MinIO object SHA-256 value.</w:t>
      </w:r>
    </w:p>
    <w:p>
      <w:pPr>
        <w:pStyle w:val="ListBullet"/>
      </w:pPr>
      <w:r>
        <w:t>Download through the backend and compare the returned bytes.</w:t>
      </w:r>
    </w:p>
    <w:p>
      <w:pPr>
        <w:pStyle w:val="ListBullet"/>
      </w:pPr>
      <w:r>
        <w:t>Confirm unauthenticated download rejection.</w:t>
      </w:r>
    </w:p>
    <w:p>
      <w:pPr>
        <w:pStyle w:val="ListBullet"/>
      </w:pPr>
      <w:r>
        <w:t>Confirm role-based download denial.</w:t>
      </w:r>
    </w:p>
    <w:p>
      <w:pPr>
        <w:pStyle w:val="ListBullet"/>
      </w:pPr>
      <w:r>
        <w:t>Verify cleanup behavior and preservation of pre-existing records.</w:t>
      </w:r>
    </w:p>
    <w:p>
      <w:pPr>
        <w:pStyle w:val="ListBullet"/>
      </w:pPr>
      <w:r>
        <w:t>Repeat the object lifecycle test through the remote deployment.</w:t>
      </w:r>
    </w:p>
    <w:p>
      <w:pPr>
        <w:pStyle w:val="Heading1"/>
      </w:pPr>
      <w:r>
        <w:t>11. Backup, Recovery, RPO and RTO</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6"/>
              </w:rPr>
              <w:t>Recovery activity</w:t>
            </w:r>
          </w:p>
        </w:tc>
        <w:tc>
          <w:tcPr>
            <w:tcW w:type="dxa" w:w="4759"/>
            <w:vAlign w:val="center"/>
            <w:shd w:fill="D9E1F2"/>
          </w:tcPr>
          <w:p>
            <w:pPr>
              <w:jc w:val="left"/>
            </w:pPr>
            <w:r/>
            <w:r>
              <w:rPr>
                <w:rFonts w:ascii="Times New Roman" w:hAnsi="Times New Roman" w:eastAsia="Times New Roman"/>
                <w:b/>
                <w:sz w:val="16"/>
              </w:rPr>
              <w:t>Required evidence</w:t>
            </w:r>
          </w:p>
        </w:tc>
      </w:tr>
      <w:tr>
        <w:trPr>
          <w:cantSplit/>
        </w:trPr>
        <w:tc>
          <w:tcPr>
            <w:tcW w:type="dxa" w:w="4759"/>
            <w:vAlign w:val="center"/>
          </w:tcPr>
          <w:p>
            <w:pPr>
              <w:jc w:val="left"/>
            </w:pPr>
            <w:r/>
            <w:r>
              <w:rPr>
                <w:rFonts w:ascii="Times New Roman" w:hAnsi="Times New Roman" w:eastAsia="Times New Roman"/>
                <w:b w:val="0"/>
                <w:sz w:val="16"/>
              </w:rPr>
              <w:t>PostgreSQL backup</w:t>
            </w:r>
          </w:p>
        </w:tc>
        <w:tc>
          <w:tcPr>
            <w:tcW w:type="dxa" w:w="4759"/>
            <w:vAlign w:val="center"/>
          </w:tcPr>
          <w:p>
            <w:pPr>
              <w:jc w:val="left"/>
            </w:pPr>
            <w:r/>
            <w:r>
              <w:rPr>
                <w:rFonts w:ascii="Times New Roman" w:hAnsi="Times New Roman" w:eastAsia="Times New Roman"/>
                <w:b w:val="0"/>
                <w:sz w:val="16"/>
              </w:rPr>
              <w:t>Create custom archive, record size and SHA-256</w:t>
            </w:r>
          </w:p>
        </w:tc>
      </w:tr>
      <w:tr>
        <w:trPr>
          <w:cantSplit/>
        </w:trPr>
        <w:tc>
          <w:tcPr>
            <w:tcW w:type="dxa" w:w="4759"/>
            <w:vAlign w:val="center"/>
          </w:tcPr>
          <w:p>
            <w:pPr>
              <w:jc w:val="left"/>
            </w:pPr>
            <w:r/>
            <w:r>
              <w:rPr>
                <w:rFonts w:ascii="Times New Roman" w:hAnsi="Times New Roman" w:eastAsia="Times New Roman"/>
                <w:b w:val="0"/>
                <w:sz w:val="16"/>
              </w:rPr>
              <w:t>PostgreSQL restore</w:t>
            </w:r>
          </w:p>
        </w:tc>
        <w:tc>
          <w:tcPr>
            <w:tcW w:type="dxa" w:w="4759"/>
            <w:vAlign w:val="center"/>
          </w:tcPr>
          <w:p>
            <w:pPr>
              <w:jc w:val="left"/>
            </w:pPr>
            <w:r/>
            <w:r>
              <w:rPr>
                <w:rFonts w:ascii="Times New Roman" w:hAnsi="Times New Roman" w:eastAsia="Times New Roman"/>
                <w:b w:val="0"/>
                <w:sz w:val="16"/>
              </w:rPr>
              <w:t>Restore to isolated database and compare tables, constraints, indexes and row counts</w:t>
            </w:r>
          </w:p>
        </w:tc>
      </w:tr>
      <w:tr>
        <w:trPr>
          <w:cantSplit/>
        </w:trPr>
        <w:tc>
          <w:tcPr>
            <w:tcW w:type="dxa" w:w="4759"/>
            <w:vAlign w:val="center"/>
          </w:tcPr>
          <w:p>
            <w:pPr>
              <w:jc w:val="left"/>
            </w:pPr>
            <w:r/>
            <w:r>
              <w:rPr>
                <w:rFonts w:ascii="Times New Roman" w:hAnsi="Times New Roman" w:eastAsia="Times New Roman"/>
                <w:b w:val="0"/>
                <w:sz w:val="16"/>
              </w:rPr>
              <w:t>MinIO backup</w:t>
            </w:r>
          </w:p>
        </w:tc>
        <w:tc>
          <w:tcPr>
            <w:tcW w:type="dxa" w:w="4759"/>
            <w:vAlign w:val="center"/>
          </w:tcPr>
          <w:p>
            <w:pPr>
              <w:jc w:val="left"/>
            </w:pPr>
            <w:r/>
            <w:r>
              <w:rPr>
                <w:rFonts w:ascii="Times New Roman" w:hAnsi="Times New Roman" w:eastAsia="Times New Roman"/>
                <w:b w:val="0"/>
                <w:sz w:val="16"/>
              </w:rPr>
              <w:t>Export objects and record per-object checksums</w:t>
            </w:r>
          </w:p>
        </w:tc>
      </w:tr>
      <w:tr>
        <w:trPr>
          <w:cantSplit/>
        </w:trPr>
        <w:tc>
          <w:tcPr>
            <w:tcW w:type="dxa" w:w="4759"/>
            <w:vAlign w:val="center"/>
          </w:tcPr>
          <w:p>
            <w:pPr>
              <w:jc w:val="left"/>
            </w:pPr>
            <w:r/>
            <w:r>
              <w:rPr>
                <w:rFonts w:ascii="Times New Roman" w:hAnsi="Times New Roman" w:eastAsia="Times New Roman"/>
                <w:b w:val="0"/>
                <w:sz w:val="16"/>
              </w:rPr>
              <w:t>MinIO restore</w:t>
            </w:r>
          </w:p>
        </w:tc>
        <w:tc>
          <w:tcPr>
            <w:tcW w:type="dxa" w:w="4759"/>
            <w:vAlign w:val="center"/>
          </w:tcPr>
          <w:p>
            <w:pPr>
              <w:jc w:val="left"/>
            </w:pPr>
            <w:r/>
            <w:r>
              <w:rPr>
                <w:rFonts w:ascii="Times New Roman" w:hAnsi="Times New Roman" w:eastAsia="Times New Roman"/>
                <w:b w:val="0"/>
                <w:sz w:val="16"/>
              </w:rPr>
              <w:t>Restore to temporary bucket and compare object count, size and SHA-256</w:t>
            </w:r>
          </w:p>
        </w:tc>
      </w:tr>
      <w:tr>
        <w:trPr>
          <w:cantSplit/>
        </w:trPr>
        <w:tc>
          <w:tcPr>
            <w:tcW w:type="dxa" w:w="4759"/>
            <w:vAlign w:val="center"/>
          </w:tcPr>
          <w:p>
            <w:pPr>
              <w:jc w:val="left"/>
            </w:pPr>
            <w:r/>
            <w:r>
              <w:rPr>
                <w:rFonts w:ascii="Times New Roman" w:hAnsi="Times New Roman" w:eastAsia="Times New Roman"/>
                <w:b w:val="0"/>
                <w:sz w:val="16"/>
              </w:rPr>
              <w:t>RPO</w:t>
            </w:r>
          </w:p>
        </w:tc>
        <w:tc>
          <w:tcPr>
            <w:tcW w:type="dxa" w:w="4759"/>
            <w:vAlign w:val="center"/>
          </w:tcPr>
          <w:p>
            <w:pPr>
              <w:jc w:val="left"/>
            </w:pPr>
            <w:r/>
            <w:r>
              <w:rPr>
                <w:rFonts w:ascii="Times New Roman" w:hAnsi="Times New Roman" w:eastAsia="Times New Roman"/>
                <w:b w:val="0"/>
                <w:sz w:val="16"/>
              </w:rPr>
              <w:t>Measure the maximum confirmed data-loss interval under the selected backup schedule</w:t>
            </w:r>
          </w:p>
        </w:tc>
      </w:tr>
      <w:tr>
        <w:trPr>
          <w:cantSplit/>
        </w:trPr>
        <w:tc>
          <w:tcPr>
            <w:tcW w:type="dxa" w:w="4759"/>
            <w:vAlign w:val="center"/>
          </w:tcPr>
          <w:p>
            <w:pPr>
              <w:jc w:val="left"/>
            </w:pPr>
            <w:r/>
            <w:r>
              <w:rPr>
                <w:rFonts w:ascii="Times New Roman" w:hAnsi="Times New Roman" w:eastAsia="Times New Roman"/>
                <w:b w:val="0"/>
                <w:sz w:val="16"/>
              </w:rPr>
              <w:t>RTO</w:t>
            </w:r>
          </w:p>
        </w:tc>
        <w:tc>
          <w:tcPr>
            <w:tcW w:type="dxa" w:w="4759"/>
            <w:vAlign w:val="center"/>
          </w:tcPr>
          <w:p>
            <w:pPr>
              <w:jc w:val="left"/>
            </w:pPr>
            <w:r/>
            <w:r>
              <w:rPr>
                <w:rFonts w:ascii="Times New Roman" w:hAnsi="Times New Roman" w:eastAsia="Times New Roman"/>
                <w:b w:val="0"/>
                <w:sz w:val="16"/>
              </w:rPr>
              <w:t>Measure time from recovery start to validated service availability</w:t>
            </w:r>
          </w:p>
        </w:tc>
      </w:tr>
      <w:tr>
        <w:trPr>
          <w:cantSplit/>
        </w:trPr>
        <w:tc>
          <w:tcPr>
            <w:tcW w:type="dxa" w:w="4759"/>
            <w:vAlign w:val="center"/>
          </w:tcPr>
          <w:p>
            <w:pPr>
              <w:jc w:val="left"/>
            </w:pPr>
            <w:r/>
            <w:r>
              <w:rPr>
                <w:rFonts w:ascii="Times New Roman" w:hAnsi="Times New Roman" w:eastAsia="Times New Roman"/>
                <w:b w:val="0"/>
                <w:sz w:val="16"/>
              </w:rPr>
              <w:t>Clean-host test</w:t>
            </w:r>
          </w:p>
        </w:tc>
        <w:tc>
          <w:tcPr>
            <w:tcW w:type="dxa" w:w="4759"/>
            <w:vAlign w:val="center"/>
          </w:tcPr>
          <w:p>
            <w:pPr>
              <w:jc w:val="left"/>
            </w:pPr>
            <w:r/>
            <w:r>
              <w:rPr>
                <w:rFonts w:ascii="Times New Roman" w:hAnsi="Times New Roman" w:eastAsia="Times New Roman"/>
                <w:b w:val="0"/>
                <w:sz w:val="16"/>
              </w:rPr>
              <w:t>Where permitted, restore on a clean second host or isolated VM</w:t>
            </w:r>
          </w:p>
        </w:tc>
      </w:tr>
    </w:tbl>
    <w:p/>
    <w:p>
      <w:pPr>
        <w:pStyle w:val="Heading1"/>
      </w:pPr>
      <w:r>
        <w:t>12. Monetary Cost-Efficiency Evaluation</w:t>
      </w:r>
    </w:p>
    <w:p>
      <w:r>
        <w:t>The final financial analysis must use verified prices. Maximum Locust throughput must not be treated as continuous monthly production traffic. A realistic utilization factor and expected workload profile must be applied.</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6"/>
              </w:rPr>
              <w:t>Cost input</w:t>
            </w:r>
          </w:p>
        </w:tc>
        <w:tc>
          <w:tcPr>
            <w:tcW w:type="dxa" w:w="4759"/>
            <w:vAlign w:val="center"/>
            <w:shd w:fill="D9E1F2"/>
          </w:tcPr>
          <w:p>
            <w:pPr>
              <w:jc w:val="left"/>
            </w:pPr>
            <w:r/>
            <w:r>
              <w:rPr>
                <w:rFonts w:ascii="Times New Roman" w:hAnsi="Times New Roman" w:eastAsia="Times New Roman"/>
                <w:b/>
                <w:sz w:val="16"/>
              </w:rPr>
              <w:t>Required value</w:t>
            </w:r>
          </w:p>
        </w:tc>
      </w:tr>
      <w:tr>
        <w:trPr>
          <w:cantSplit/>
        </w:trPr>
        <w:tc>
          <w:tcPr>
            <w:tcW w:type="dxa" w:w="4759"/>
            <w:vAlign w:val="center"/>
          </w:tcPr>
          <w:p>
            <w:pPr>
              <w:jc w:val="left"/>
            </w:pPr>
            <w:r/>
            <w:r>
              <w:rPr>
                <w:rFonts w:ascii="Times New Roman" w:hAnsi="Times New Roman" w:eastAsia="Times New Roman"/>
                <w:b w:val="0"/>
                <w:sz w:val="16"/>
              </w:rPr>
              <w:t>VM compute</w:t>
            </w:r>
          </w:p>
        </w:tc>
        <w:tc>
          <w:tcPr>
            <w:tcW w:type="dxa" w:w="4759"/>
            <w:vAlign w:val="center"/>
          </w:tcPr>
          <w:p>
            <w:pPr>
              <w:jc w:val="left"/>
            </w:pPr>
            <w:r/>
            <w:r>
              <w:rPr>
                <w:rFonts w:ascii="Times New Roman" w:hAnsi="Times New Roman" w:eastAsia="Times New Roman"/>
                <w:b w:val="0"/>
                <w:sz w:val="16"/>
              </w:rPr>
              <w:t>Verified monthly or institutional-equivalent price</w:t>
            </w:r>
          </w:p>
        </w:tc>
      </w:tr>
      <w:tr>
        <w:trPr>
          <w:cantSplit/>
        </w:trPr>
        <w:tc>
          <w:tcPr>
            <w:tcW w:type="dxa" w:w="4759"/>
            <w:vAlign w:val="center"/>
          </w:tcPr>
          <w:p>
            <w:pPr>
              <w:jc w:val="left"/>
            </w:pPr>
            <w:r/>
            <w:r>
              <w:rPr>
                <w:rFonts w:ascii="Times New Roman" w:hAnsi="Times New Roman" w:eastAsia="Times New Roman"/>
                <w:b w:val="0"/>
                <w:sz w:val="16"/>
              </w:rPr>
              <w:t>Storage</w:t>
            </w:r>
          </w:p>
        </w:tc>
        <w:tc>
          <w:tcPr>
            <w:tcW w:type="dxa" w:w="4759"/>
            <w:vAlign w:val="center"/>
          </w:tcPr>
          <w:p>
            <w:pPr>
              <w:jc w:val="left"/>
            </w:pPr>
            <w:r/>
            <w:r>
              <w:rPr>
                <w:rFonts w:ascii="Times New Roman" w:hAnsi="Times New Roman" w:eastAsia="Times New Roman"/>
                <w:b w:val="0"/>
                <w:sz w:val="16"/>
              </w:rPr>
              <w:t>Persistent disk and backup storage price</w:t>
            </w:r>
          </w:p>
        </w:tc>
      </w:tr>
      <w:tr>
        <w:trPr>
          <w:cantSplit/>
        </w:trPr>
        <w:tc>
          <w:tcPr>
            <w:tcW w:type="dxa" w:w="4759"/>
            <w:vAlign w:val="center"/>
          </w:tcPr>
          <w:p>
            <w:pPr>
              <w:jc w:val="left"/>
            </w:pPr>
            <w:r/>
            <w:r>
              <w:rPr>
                <w:rFonts w:ascii="Times New Roman" w:hAnsi="Times New Roman" w:eastAsia="Times New Roman"/>
                <w:b w:val="0"/>
                <w:sz w:val="16"/>
              </w:rPr>
              <w:t>Network</w:t>
            </w:r>
          </w:p>
        </w:tc>
        <w:tc>
          <w:tcPr>
            <w:tcW w:type="dxa" w:w="4759"/>
            <w:vAlign w:val="center"/>
          </w:tcPr>
          <w:p>
            <w:pPr>
              <w:jc w:val="left"/>
            </w:pPr>
            <w:r/>
            <w:r>
              <w:rPr>
                <w:rFonts w:ascii="Times New Roman" w:hAnsi="Times New Roman" w:eastAsia="Times New Roman"/>
                <w:b w:val="0"/>
                <w:sz w:val="16"/>
              </w:rPr>
              <w:t>Data-transfer or bandwidth charges where applicable</w:t>
            </w:r>
          </w:p>
        </w:tc>
      </w:tr>
      <w:tr>
        <w:trPr>
          <w:cantSplit/>
        </w:trPr>
        <w:tc>
          <w:tcPr>
            <w:tcW w:type="dxa" w:w="4759"/>
            <w:vAlign w:val="center"/>
          </w:tcPr>
          <w:p>
            <w:pPr>
              <w:jc w:val="left"/>
            </w:pPr>
            <w:r/>
            <w:r>
              <w:rPr>
                <w:rFonts w:ascii="Times New Roman" w:hAnsi="Times New Roman" w:eastAsia="Times New Roman"/>
                <w:b w:val="0"/>
                <w:sz w:val="16"/>
              </w:rPr>
              <w:t>Domain and certificate</w:t>
            </w:r>
          </w:p>
        </w:tc>
        <w:tc>
          <w:tcPr>
            <w:tcW w:type="dxa" w:w="4759"/>
            <w:vAlign w:val="center"/>
          </w:tcPr>
          <w:p>
            <w:pPr>
              <w:jc w:val="left"/>
            </w:pPr>
            <w:r/>
            <w:r>
              <w:rPr>
                <w:rFonts w:ascii="Times New Roman" w:hAnsi="Times New Roman" w:eastAsia="Times New Roman"/>
                <w:b w:val="0"/>
                <w:sz w:val="16"/>
              </w:rPr>
              <w:t>Actual recurring cost; zero where institutionally provided</w:t>
            </w:r>
          </w:p>
        </w:tc>
      </w:tr>
      <w:tr>
        <w:trPr>
          <w:cantSplit/>
        </w:trPr>
        <w:tc>
          <w:tcPr>
            <w:tcW w:type="dxa" w:w="4759"/>
            <w:vAlign w:val="center"/>
          </w:tcPr>
          <w:p>
            <w:pPr>
              <w:jc w:val="left"/>
            </w:pPr>
            <w:r/>
            <w:r>
              <w:rPr>
                <w:rFonts w:ascii="Times New Roman" w:hAnsi="Times New Roman" w:eastAsia="Times New Roman"/>
                <w:b w:val="0"/>
                <w:sz w:val="16"/>
              </w:rPr>
              <w:t>Operations</w:t>
            </w:r>
          </w:p>
        </w:tc>
        <w:tc>
          <w:tcPr>
            <w:tcW w:type="dxa" w:w="4759"/>
            <w:vAlign w:val="center"/>
          </w:tcPr>
          <w:p>
            <w:pPr>
              <w:jc w:val="left"/>
            </w:pPr>
            <w:r/>
            <w:r>
              <w:rPr>
                <w:rFonts w:ascii="Times New Roman" w:hAnsi="Times New Roman" w:eastAsia="Times New Roman"/>
                <w:b w:val="0"/>
                <w:sz w:val="16"/>
              </w:rPr>
              <w:t>Documented administration or maintenance assumptions</w:t>
            </w:r>
          </w:p>
        </w:tc>
      </w:tr>
      <w:tr>
        <w:trPr>
          <w:cantSplit/>
        </w:trPr>
        <w:tc>
          <w:tcPr>
            <w:tcW w:type="dxa" w:w="4759"/>
            <w:vAlign w:val="center"/>
          </w:tcPr>
          <w:p>
            <w:pPr>
              <w:jc w:val="left"/>
            </w:pPr>
            <w:r/>
            <w:r>
              <w:rPr>
                <w:rFonts w:ascii="Times New Roman" w:hAnsi="Times New Roman" w:eastAsia="Times New Roman"/>
                <w:b w:val="0"/>
                <w:sz w:val="16"/>
              </w:rPr>
              <w:t>Successful workload</w:t>
            </w:r>
          </w:p>
        </w:tc>
        <w:tc>
          <w:tcPr>
            <w:tcW w:type="dxa" w:w="4759"/>
            <w:vAlign w:val="center"/>
          </w:tcPr>
          <w:p>
            <w:pPr>
              <w:jc w:val="left"/>
            </w:pPr>
            <w:r/>
            <w:r>
              <w:rPr>
                <w:rFonts w:ascii="Times New Roman" w:hAnsi="Times New Roman" w:eastAsia="Times New Roman"/>
                <w:b w:val="0"/>
                <w:sz w:val="16"/>
              </w:rPr>
              <w:t>Measured successful RPS adjusted by realistic utilization</w:t>
            </w:r>
          </w:p>
        </w:tc>
      </w:tr>
    </w:tbl>
    <w:p/>
    <w:p>
      <w:r>
        <w:t>Cost per million successful requests = monthly total cost / (estimated successful monthly requests / 1,000,000).</w:t>
      </w:r>
    </w:p>
    <w:p>
      <w:pPr>
        <w:pStyle w:val="Heading1"/>
      </w:pPr>
      <w:r>
        <w:t>13. Comparison with the Local Baseline</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6"/>
              </w:rPr>
              <w:t>Domain</w:t>
            </w:r>
          </w:p>
        </w:tc>
        <w:tc>
          <w:tcPr>
            <w:tcW w:type="dxa" w:w="3173"/>
            <w:vAlign w:val="center"/>
            <w:shd w:fill="D9E1F2"/>
          </w:tcPr>
          <w:p>
            <w:pPr>
              <w:jc w:val="left"/>
            </w:pPr>
            <w:r/>
            <w:r>
              <w:rPr>
                <w:rFonts w:ascii="Times New Roman" w:hAnsi="Times New Roman" w:eastAsia="Times New Roman"/>
                <w:b/>
                <w:sz w:val="16"/>
              </w:rPr>
              <w:t>Phase I baseline</w:t>
            </w:r>
          </w:p>
        </w:tc>
        <w:tc>
          <w:tcPr>
            <w:tcW w:type="dxa" w:w="3173"/>
            <w:vAlign w:val="center"/>
            <w:shd w:fill="D9E1F2"/>
          </w:tcPr>
          <w:p>
            <w:pPr>
              <w:jc w:val="left"/>
            </w:pPr>
            <w:r/>
            <w:r>
              <w:rPr>
                <w:rFonts w:ascii="Times New Roman" w:hAnsi="Times New Roman" w:eastAsia="Times New Roman"/>
                <w:b/>
                <w:sz w:val="16"/>
              </w:rPr>
              <w:t>Phase II result</w:t>
            </w:r>
          </w:p>
        </w:tc>
      </w:tr>
      <w:tr>
        <w:trPr>
          <w:cantSplit/>
        </w:trPr>
        <w:tc>
          <w:tcPr>
            <w:tcW w:type="dxa" w:w="3173"/>
            <w:vAlign w:val="center"/>
          </w:tcPr>
          <w:p>
            <w:pPr>
              <w:jc w:val="left"/>
            </w:pPr>
            <w:r/>
            <w:r>
              <w:rPr>
                <w:rFonts w:ascii="Times New Roman" w:hAnsi="Times New Roman" w:eastAsia="Times New Roman"/>
                <w:b w:val="0"/>
                <w:sz w:val="16"/>
              </w:rPr>
              <w:t>Throughput</w:t>
            </w:r>
          </w:p>
        </w:tc>
        <w:tc>
          <w:tcPr>
            <w:tcW w:type="dxa" w:w="3173"/>
            <w:vAlign w:val="center"/>
          </w:tcPr>
          <w:p>
            <w:pPr>
              <w:jc w:val="left"/>
            </w:pPr>
            <w:r/>
            <w:r>
              <w:rPr>
                <w:rFonts w:ascii="Times New Roman" w:hAnsi="Times New Roman" w:eastAsia="Times New Roman"/>
                <w:b w:val="0"/>
                <w:sz w:val="16"/>
              </w:rPr>
              <w:t>Local 10/50/100/200-user RPS</w:t>
            </w:r>
          </w:p>
        </w:tc>
        <w:tc>
          <w:tcPr>
            <w:tcW w:type="dxa" w:w="3173"/>
            <w:vAlign w:val="center"/>
          </w:tcPr>
          <w:p>
            <w:pPr>
              <w:jc w:val="left"/>
            </w:pPr>
            <w:r/>
            <w:r>
              <w:rPr>
                <w:rFonts w:ascii="Times New Roman" w:hAnsi="Times New Roman" w:eastAsia="Times New Roman"/>
                <w:b w:val="0"/>
                <w:sz w:val="16"/>
              </w:rPr>
              <w:t>Remote values under each resource profile</w:t>
            </w:r>
          </w:p>
        </w:tc>
      </w:tr>
      <w:tr>
        <w:trPr>
          <w:cantSplit/>
        </w:trPr>
        <w:tc>
          <w:tcPr>
            <w:tcW w:type="dxa" w:w="3173"/>
            <w:vAlign w:val="center"/>
          </w:tcPr>
          <w:p>
            <w:pPr>
              <w:jc w:val="left"/>
            </w:pPr>
            <w:r/>
            <w:r>
              <w:rPr>
                <w:rFonts w:ascii="Times New Roman" w:hAnsi="Times New Roman" w:eastAsia="Times New Roman"/>
                <w:b w:val="0"/>
                <w:sz w:val="16"/>
              </w:rPr>
              <w:t>Reliability</w:t>
            </w:r>
          </w:p>
        </w:tc>
        <w:tc>
          <w:tcPr>
            <w:tcW w:type="dxa" w:w="3173"/>
            <w:vAlign w:val="center"/>
          </w:tcPr>
          <w:p>
            <w:pPr>
              <w:jc w:val="left"/>
            </w:pPr>
            <w:r/>
            <w:r>
              <w:rPr>
                <w:rFonts w:ascii="Times New Roman" w:hAnsi="Times New Roman" w:eastAsia="Times New Roman"/>
                <w:b w:val="0"/>
                <w:sz w:val="16"/>
              </w:rPr>
              <w:t>Local failure rate</w:t>
            </w:r>
          </w:p>
        </w:tc>
        <w:tc>
          <w:tcPr>
            <w:tcW w:type="dxa" w:w="3173"/>
            <w:vAlign w:val="center"/>
          </w:tcPr>
          <w:p>
            <w:pPr>
              <w:jc w:val="left"/>
            </w:pPr>
            <w:r/>
            <w:r>
              <w:rPr>
                <w:rFonts w:ascii="Times New Roman" w:hAnsi="Times New Roman" w:eastAsia="Times New Roman"/>
                <w:b w:val="0"/>
                <w:sz w:val="16"/>
              </w:rPr>
              <w:t>Remote failure rate</w:t>
            </w:r>
          </w:p>
        </w:tc>
      </w:tr>
      <w:tr>
        <w:trPr>
          <w:cantSplit/>
        </w:trPr>
        <w:tc>
          <w:tcPr>
            <w:tcW w:type="dxa" w:w="3173"/>
            <w:vAlign w:val="center"/>
          </w:tcPr>
          <w:p>
            <w:pPr>
              <w:jc w:val="left"/>
            </w:pPr>
            <w:r/>
            <w:r>
              <w:rPr>
                <w:rFonts w:ascii="Times New Roman" w:hAnsi="Times New Roman" w:eastAsia="Times New Roman"/>
                <w:b w:val="0"/>
                <w:sz w:val="16"/>
              </w:rPr>
              <w:t>Latency</w:t>
            </w:r>
          </w:p>
        </w:tc>
        <w:tc>
          <w:tcPr>
            <w:tcW w:type="dxa" w:w="3173"/>
            <w:vAlign w:val="center"/>
          </w:tcPr>
          <w:p>
            <w:pPr>
              <w:jc w:val="left"/>
            </w:pPr>
            <w:r/>
            <w:r>
              <w:rPr>
                <w:rFonts w:ascii="Times New Roman" w:hAnsi="Times New Roman" w:eastAsia="Times New Roman"/>
                <w:b w:val="0"/>
                <w:sz w:val="16"/>
              </w:rPr>
              <w:t>Local mean, P95 and P99</w:t>
            </w:r>
          </w:p>
        </w:tc>
        <w:tc>
          <w:tcPr>
            <w:tcW w:type="dxa" w:w="3173"/>
            <w:vAlign w:val="center"/>
          </w:tcPr>
          <w:p>
            <w:pPr>
              <w:jc w:val="left"/>
            </w:pPr>
            <w:r/>
            <w:r>
              <w:rPr>
                <w:rFonts w:ascii="Times New Roman" w:hAnsi="Times New Roman" w:eastAsia="Times New Roman"/>
                <w:b w:val="0"/>
                <w:sz w:val="16"/>
              </w:rPr>
              <w:t>Remote mean, P95 and P99</w:t>
            </w:r>
          </w:p>
        </w:tc>
      </w:tr>
      <w:tr>
        <w:trPr>
          <w:cantSplit/>
        </w:trPr>
        <w:tc>
          <w:tcPr>
            <w:tcW w:type="dxa" w:w="3173"/>
            <w:vAlign w:val="center"/>
          </w:tcPr>
          <w:p>
            <w:pPr>
              <w:jc w:val="left"/>
            </w:pPr>
            <w:r/>
            <w:r>
              <w:rPr>
                <w:rFonts w:ascii="Times New Roman" w:hAnsi="Times New Roman" w:eastAsia="Times New Roman"/>
                <w:b w:val="0"/>
                <w:sz w:val="16"/>
              </w:rPr>
              <w:t>Resources</w:t>
            </w:r>
          </w:p>
        </w:tc>
        <w:tc>
          <w:tcPr>
            <w:tcW w:type="dxa" w:w="3173"/>
            <w:vAlign w:val="center"/>
          </w:tcPr>
          <w:p>
            <w:pPr>
              <w:jc w:val="left"/>
            </w:pPr>
            <w:r/>
            <w:r>
              <w:rPr>
                <w:rFonts w:ascii="Times New Roman" w:hAnsi="Times New Roman" w:eastAsia="Times New Roman"/>
                <w:b w:val="0"/>
                <w:sz w:val="16"/>
              </w:rPr>
              <w:t>Available local snapshots</w:t>
            </w:r>
          </w:p>
        </w:tc>
        <w:tc>
          <w:tcPr>
            <w:tcW w:type="dxa" w:w="3173"/>
            <w:vAlign w:val="center"/>
          </w:tcPr>
          <w:p>
            <w:pPr>
              <w:jc w:val="left"/>
            </w:pPr>
            <w:r/>
            <w:r>
              <w:rPr>
                <w:rFonts w:ascii="Times New Roman" w:hAnsi="Times New Roman" w:eastAsia="Times New Roman"/>
                <w:b w:val="0"/>
                <w:sz w:val="16"/>
              </w:rPr>
              <w:t>Synchronized remote time series</w:t>
            </w:r>
          </w:p>
        </w:tc>
      </w:tr>
      <w:tr>
        <w:trPr>
          <w:cantSplit/>
        </w:trPr>
        <w:tc>
          <w:tcPr>
            <w:tcW w:type="dxa" w:w="3173"/>
            <w:vAlign w:val="center"/>
          </w:tcPr>
          <w:p>
            <w:pPr>
              <w:jc w:val="left"/>
            </w:pPr>
            <w:r/>
            <w:r>
              <w:rPr>
                <w:rFonts w:ascii="Times New Roman" w:hAnsi="Times New Roman" w:eastAsia="Times New Roman"/>
                <w:b w:val="0"/>
                <w:sz w:val="16"/>
              </w:rPr>
              <w:t>Recovery</w:t>
            </w:r>
          </w:p>
        </w:tc>
        <w:tc>
          <w:tcPr>
            <w:tcW w:type="dxa" w:w="3173"/>
            <w:vAlign w:val="center"/>
          </w:tcPr>
          <w:p>
            <w:pPr>
              <w:jc w:val="left"/>
            </w:pPr>
            <w:r/>
            <w:r>
              <w:rPr>
                <w:rFonts w:ascii="Times New Roman" w:hAnsi="Times New Roman" w:eastAsia="Times New Roman"/>
                <w:b w:val="0"/>
                <w:sz w:val="16"/>
              </w:rPr>
              <w:t>Local functional restore</w:t>
            </w:r>
          </w:p>
        </w:tc>
        <w:tc>
          <w:tcPr>
            <w:tcW w:type="dxa" w:w="3173"/>
            <w:vAlign w:val="center"/>
          </w:tcPr>
          <w:p>
            <w:pPr>
              <w:jc w:val="left"/>
            </w:pPr>
            <w:r/>
            <w:r>
              <w:rPr>
                <w:rFonts w:ascii="Times New Roman" w:hAnsi="Times New Roman" w:eastAsia="Times New Roman"/>
                <w:b w:val="0"/>
                <w:sz w:val="16"/>
              </w:rPr>
              <w:t>Remote RPO, RTO and restore</w:t>
            </w:r>
          </w:p>
        </w:tc>
      </w:tr>
      <w:tr>
        <w:trPr>
          <w:cantSplit/>
        </w:trPr>
        <w:tc>
          <w:tcPr>
            <w:tcW w:type="dxa" w:w="3173"/>
            <w:vAlign w:val="center"/>
          </w:tcPr>
          <w:p>
            <w:pPr>
              <w:jc w:val="left"/>
            </w:pPr>
            <w:r/>
            <w:r>
              <w:rPr>
                <w:rFonts w:ascii="Times New Roman" w:hAnsi="Times New Roman" w:eastAsia="Times New Roman"/>
                <w:b w:val="0"/>
                <w:sz w:val="16"/>
              </w:rPr>
              <w:t>Cost</w:t>
            </w:r>
          </w:p>
        </w:tc>
        <w:tc>
          <w:tcPr>
            <w:tcW w:type="dxa" w:w="3173"/>
            <w:vAlign w:val="center"/>
          </w:tcPr>
          <w:p>
            <w:pPr>
              <w:jc w:val="left"/>
            </w:pPr>
            <w:r/>
            <w:r>
              <w:rPr>
                <w:rFonts w:ascii="Times New Roman" w:hAnsi="Times New Roman" w:eastAsia="Times New Roman"/>
                <w:b w:val="0"/>
                <w:sz w:val="16"/>
              </w:rPr>
              <w:t>Design strategy only</w:t>
            </w:r>
          </w:p>
        </w:tc>
        <w:tc>
          <w:tcPr>
            <w:tcW w:type="dxa" w:w="3173"/>
            <w:vAlign w:val="center"/>
          </w:tcPr>
          <w:p>
            <w:pPr>
              <w:jc w:val="left"/>
            </w:pPr>
            <w:r/>
            <w:r>
              <w:rPr>
                <w:rFonts w:ascii="Times New Roman" w:hAnsi="Times New Roman" w:eastAsia="Times New Roman"/>
                <w:b w:val="0"/>
                <w:sz w:val="16"/>
              </w:rPr>
              <w:t>Verified monthly and per-million-request result</w:t>
            </w:r>
          </w:p>
        </w:tc>
      </w:tr>
    </w:tbl>
    <w:p/>
    <w:p>
      <w:pPr>
        <w:pStyle w:val="Heading1"/>
      </w:pPr>
      <w:r>
        <w:t>14. Evidence File Structure</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6"/>
              </w:rPr>
              <w:t>Folder</w:t>
            </w:r>
          </w:p>
        </w:tc>
        <w:tc>
          <w:tcPr>
            <w:tcW w:type="dxa" w:w="4759"/>
            <w:vAlign w:val="center"/>
            <w:shd w:fill="D9E1F2"/>
          </w:tcPr>
          <w:p>
            <w:pPr>
              <w:jc w:val="left"/>
            </w:pPr>
            <w:r/>
            <w:r>
              <w:rPr>
                <w:rFonts w:ascii="Times New Roman" w:hAnsi="Times New Roman" w:eastAsia="Times New Roman"/>
                <w:b/>
                <w:sz w:val="16"/>
              </w:rPr>
              <w:t>Evidence</w:t>
            </w:r>
          </w:p>
        </w:tc>
      </w:tr>
      <w:tr>
        <w:trPr>
          <w:cantSplit/>
        </w:trPr>
        <w:tc>
          <w:tcPr>
            <w:tcW w:type="dxa" w:w="4759"/>
            <w:vAlign w:val="center"/>
          </w:tcPr>
          <w:p>
            <w:pPr>
              <w:jc w:val="left"/>
            </w:pPr>
            <w:r/>
            <w:r>
              <w:rPr>
                <w:rFonts w:ascii="Times New Roman" w:hAnsi="Times New Roman" w:eastAsia="Times New Roman"/>
                <w:b w:val="0"/>
                <w:sz w:val="16"/>
              </w:rPr>
              <w:t>deployment</w:t>
            </w:r>
          </w:p>
        </w:tc>
        <w:tc>
          <w:tcPr>
            <w:tcW w:type="dxa" w:w="4759"/>
            <w:vAlign w:val="center"/>
          </w:tcPr>
          <w:p>
            <w:pPr>
              <w:jc w:val="left"/>
            </w:pPr>
            <w:r/>
            <w:r>
              <w:rPr>
                <w:rFonts w:ascii="Times New Roman" w:hAnsi="Times New Roman" w:eastAsia="Times New Roman"/>
                <w:b w:val="0"/>
                <w:sz w:val="16"/>
              </w:rPr>
              <w:t>VM specification, Docker versions, container status, TLS and firewall evidence</w:t>
            </w:r>
          </w:p>
        </w:tc>
      </w:tr>
      <w:tr>
        <w:trPr>
          <w:cantSplit/>
        </w:trPr>
        <w:tc>
          <w:tcPr>
            <w:tcW w:type="dxa" w:w="4759"/>
            <w:vAlign w:val="center"/>
          </w:tcPr>
          <w:p>
            <w:pPr>
              <w:jc w:val="left"/>
            </w:pPr>
            <w:r/>
            <w:r>
              <w:rPr>
                <w:rFonts w:ascii="Times New Roman" w:hAnsi="Times New Roman" w:eastAsia="Times New Roman"/>
                <w:b w:val="0"/>
                <w:sz w:val="16"/>
              </w:rPr>
              <w:t>security</w:t>
            </w:r>
          </w:p>
        </w:tc>
        <w:tc>
          <w:tcPr>
            <w:tcW w:type="dxa" w:w="4759"/>
            <w:vAlign w:val="center"/>
          </w:tcPr>
          <w:p>
            <w:pPr>
              <w:jc w:val="left"/>
            </w:pPr>
            <w:r/>
            <w:r>
              <w:rPr>
                <w:rFonts w:ascii="Times New Roman" w:hAnsi="Times New Roman" w:eastAsia="Times New Roman"/>
                <w:b w:val="0"/>
                <w:sz w:val="16"/>
              </w:rPr>
              <w:t>Remote HTTP, JWT, RBAC and audit CSV files</w:t>
            </w:r>
          </w:p>
        </w:tc>
      </w:tr>
      <w:tr>
        <w:trPr>
          <w:cantSplit/>
        </w:trPr>
        <w:tc>
          <w:tcPr>
            <w:tcW w:type="dxa" w:w="4759"/>
            <w:vAlign w:val="center"/>
          </w:tcPr>
          <w:p>
            <w:pPr>
              <w:jc w:val="left"/>
            </w:pPr>
            <w:r/>
            <w:r>
              <w:rPr>
                <w:rFonts w:ascii="Times New Roman" w:hAnsi="Times New Roman" w:eastAsia="Times New Roman"/>
                <w:b w:val="0"/>
                <w:sz w:val="16"/>
              </w:rPr>
              <w:t>performance</w:t>
            </w:r>
          </w:p>
        </w:tc>
        <w:tc>
          <w:tcPr>
            <w:tcW w:type="dxa" w:w="4759"/>
            <w:vAlign w:val="center"/>
          </w:tcPr>
          <w:p>
            <w:pPr>
              <w:jc w:val="left"/>
            </w:pPr>
            <w:r/>
            <w:r>
              <w:rPr>
                <w:rFonts w:ascii="Times New Roman" w:hAnsi="Times New Roman" w:eastAsia="Times New Roman"/>
                <w:b w:val="0"/>
                <w:sz w:val="16"/>
              </w:rPr>
              <w:t>Locust CSV files and synchronized resource time series</w:t>
            </w:r>
          </w:p>
        </w:tc>
      </w:tr>
      <w:tr>
        <w:trPr>
          <w:cantSplit/>
        </w:trPr>
        <w:tc>
          <w:tcPr>
            <w:tcW w:type="dxa" w:w="4759"/>
            <w:vAlign w:val="center"/>
          </w:tcPr>
          <w:p>
            <w:pPr>
              <w:jc w:val="left"/>
            </w:pPr>
            <w:r/>
            <w:r>
              <w:rPr>
                <w:rFonts w:ascii="Times New Roman" w:hAnsi="Times New Roman" w:eastAsia="Times New Roman"/>
                <w:b w:val="0"/>
                <w:sz w:val="16"/>
              </w:rPr>
              <w:t>recovery</w:t>
            </w:r>
          </w:p>
        </w:tc>
        <w:tc>
          <w:tcPr>
            <w:tcW w:type="dxa" w:w="4759"/>
            <w:vAlign w:val="center"/>
          </w:tcPr>
          <w:p>
            <w:pPr>
              <w:jc w:val="left"/>
            </w:pPr>
            <w:r/>
            <w:r>
              <w:rPr>
                <w:rFonts w:ascii="Times New Roman" w:hAnsi="Times New Roman" w:eastAsia="Times New Roman"/>
                <w:b w:val="0"/>
                <w:sz w:val="16"/>
              </w:rPr>
              <w:t>Backup files, checksums, restore comparisons, RPO and RTO</w:t>
            </w:r>
          </w:p>
        </w:tc>
      </w:tr>
      <w:tr>
        <w:trPr>
          <w:cantSplit/>
        </w:trPr>
        <w:tc>
          <w:tcPr>
            <w:tcW w:type="dxa" w:w="4759"/>
            <w:vAlign w:val="center"/>
          </w:tcPr>
          <w:p>
            <w:pPr>
              <w:jc w:val="left"/>
            </w:pPr>
            <w:r/>
            <w:r>
              <w:rPr>
                <w:rFonts w:ascii="Times New Roman" w:hAnsi="Times New Roman" w:eastAsia="Times New Roman"/>
                <w:b w:val="0"/>
                <w:sz w:val="16"/>
              </w:rPr>
              <w:t>cost</w:t>
            </w:r>
          </w:p>
        </w:tc>
        <w:tc>
          <w:tcPr>
            <w:tcW w:type="dxa" w:w="4759"/>
            <w:vAlign w:val="center"/>
          </w:tcPr>
          <w:p>
            <w:pPr>
              <w:jc w:val="left"/>
            </w:pPr>
            <w:r/>
            <w:r>
              <w:rPr>
                <w:rFonts w:ascii="Times New Roman" w:hAnsi="Times New Roman" w:eastAsia="Times New Roman"/>
                <w:b w:val="0"/>
                <w:sz w:val="16"/>
              </w:rPr>
              <w:t>Verified input table, assumptions and calculation output</w:t>
            </w:r>
          </w:p>
        </w:tc>
      </w:tr>
      <w:tr>
        <w:trPr>
          <w:cantSplit/>
        </w:trPr>
        <w:tc>
          <w:tcPr>
            <w:tcW w:type="dxa" w:w="4759"/>
            <w:vAlign w:val="center"/>
          </w:tcPr>
          <w:p>
            <w:pPr>
              <w:jc w:val="left"/>
            </w:pPr>
            <w:r/>
            <w:r>
              <w:rPr>
                <w:rFonts w:ascii="Times New Roman" w:hAnsi="Times New Roman" w:eastAsia="Times New Roman"/>
                <w:b w:val="0"/>
                <w:sz w:val="16"/>
              </w:rPr>
              <w:t>summary</w:t>
            </w:r>
          </w:p>
        </w:tc>
        <w:tc>
          <w:tcPr>
            <w:tcW w:type="dxa" w:w="4759"/>
            <w:vAlign w:val="center"/>
          </w:tcPr>
          <w:p>
            <w:pPr>
              <w:jc w:val="left"/>
            </w:pPr>
            <w:r/>
            <w:r>
              <w:rPr>
                <w:rFonts w:ascii="Times New Roman" w:hAnsi="Times New Roman" w:eastAsia="Times New Roman"/>
                <w:b w:val="0"/>
                <w:sz w:val="16"/>
              </w:rPr>
              <w:t>Remote validation matrix and interpretation document</w:t>
            </w:r>
          </w:p>
        </w:tc>
      </w:tr>
    </w:tbl>
    <w:p/>
    <w:p>
      <w:pPr>
        <w:pStyle w:val="Heading1"/>
      </w:pPr>
      <w:r>
        <w:t>15. Phase II Completion Criteria</w:t>
      </w:r>
    </w:p>
    <w:p>
      <w:pPr>
        <w:pStyle w:val="ListBullet"/>
      </w:pPr>
      <w:r>
        <w:t>The tagged release is deployed successfully on the UESTC VM.</w:t>
      </w:r>
    </w:p>
    <w:p>
      <w:pPr>
        <w:pStyle w:val="ListBullet"/>
      </w:pPr>
      <w:r>
        <w:t>The remote security, storage and audit checks are completed and archived.</w:t>
      </w:r>
    </w:p>
    <w:p>
      <w:pPr>
        <w:pStyle w:val="ListBullet"/>
      </w:pPr>
      <w:r>
        <w:t>All required load scenarios are executed under documented resource allocations.</w:t>
      </w:r>
    </w:p>
    <w:p>
      <w:pPr>
        <w:pStyle w:val="ListBullet"/>
      </w:pPr>
      <w:r>
        <w:t>Performance and resource measurements are synchronized and reproducible.</w:t>
      </w:r>
    </w:p>
    <w:p>
      <w:pPr>
        <w:pStyle w:val="ListBullet"/>
      </w:pPr>
      <w:r>
        <w:t>PostgreSQL and MinIO restoration are demonstrated remotely.</w:t>
      </w:r>
    </w:p>
    <w:p>
      <w:pPr>
        <w:pStyle w:val="ListBullet"/>
      </w:pPr>
      <w:r>
        <w:t>RPO and RTO are measured and reported.</w:t>
      </w:r>
    </w:p>
    <w:p>
      <w:pPr>
        <w:pStyle w:val="ListBullet"/>
      </w:pPr>
      <w:r>
        <w:t>Verified monthly cost and cost per million successful requests are calculated.</w:t>
      </w:r>
    </w:p>
    <w:p>
      <w:pPr>
        <w:pStyle w:val="ListBullet"/>
      </w:pPr>
      <w:r>
        <w:t>Local and remote results are compared without hiding failed scenarios.</w:t>
      </w:r>
    </w:p>
    <w:p>
      <w:pPr>
        <w:pStyle w:val="ListBullet"/>
      </w:pPr>
      <w:r>
        <w:t>The thesis Abstract, Results, Discussion and Conclusion are updated with the measured Phase II results.</w:t>
      </w:r>
    </w:p>
    <w:p>
      <w:pPr>
        <w:pStyle w:val="Heading1"/>
      </w:pPr>
      <w:r>
        <w:t>16. Current Status Statement</w:t>
      </w:r>
    </w:p>
    <w:p>
      <w:r>
        <w:t>Phase I is complete. Phase II is planned, required by the thesis methodology, and pending only because institutional VM access has not yet been granted. Until the UESTC VM becomes available, the correct status is: local validation completed; remote resource-constrained validation pending external infrastructure access.</w:t>
      </w:r>
    </w:p>
    <w:sectPr w:rsidR="00FC693F" w:rsidRPr="0006063C" w:rsidSect="00034616">
      <w:headerReference w:type="default" r:id="rId9"/>
      <w:footerReference w:type="default" r:id="rId10"/>
      <w:pgSz w:w="12240" w:h="15840"/>
      <w:pgMar w:top="1247" w:right="1361" w:bottom="119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Healthcare Cloud Platform | UESTC VM Planned Validation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jc w:val="both"/>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icCaption">
    <w:name w:val="Academic Caption"/>
    <w:pPr>
      <w:jc w:val="center"/>
    </w:pPr>
    <w:rPr>
      <w:rFonts w:ascii="Times New Roman" w:hAnsi="Times New Roman" w:eastAsia="Times New Roman"/>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