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eastAsia="Times New Roman"/>
          <w:b/>
          <w:i w:val="0"/>
          <w:sz w:val="32"/>
        </w:rPr>
        <w:t>[UNIVERSITY NAME]</w:t>
      </w:r>
    </w:p>
    <w:p>
      <w:pPr>
        <w:spacing w:before="200"/>
        <w:jc w:val="center"/>
      </w:pPr>
      <w:r>
        <w:rPr>
          <w:rFonts w:ascii="Times New Roman" w:hAnsi="Times New Roman" w:eastAsia="Times New Roman"/>
          <w:b/>
          <w:i w:val="0"/>
          <w:sz w:val="26"/>
        </w:rPr>
        <w:t>[SCHOOL / FACULTY / DEPARTMENT]</w:t>
      </w:r>
    </w:p>
    <w:p>
      <w:pPr>
        <w:spacing w:before="1300"/>
        <w:jc w:val="center"/>
      </w:pPr>
      <w:r>
        <w:rPr>
          <w:rFonts w:ascii="Times New Roman" w:hAnsi="Times New Roman" w:eastAsia="Times New Roman"/>
          <w:b/>
          <w:sz w:val="40"/>
        </w:rPr>
        <w:t>DESIGN AND IMPLEMENTATION OF A SECURE, SCALABLE, AND COST EFFICIENT</w:t>
        <w:br/>
        <w:t>CLOUD-BASED PLATFORM FOR HEALTHCARE DATA MANAGEMENT</w:t>
        <w:br/>
        <w:t>IN RESOURCE-CONSTRAINED ENVIRONMENTS</w:t>
      </w:r>
    </w:p>
    <w:p>
      <w:pPr>
        <w:spacing w:before="700"/>
        <w:jc w:val="center"/>
      </w:pPr>
      <w:r>
        <w:rPr>
          <w:rFonts w:ascii="Times New Roman" w:hAnsi="Times New Roman" w:eastAsia="Times New Roman"/>
          <w:b w:val="0"/>
          <w:i/>
          <w:sz w:val="24"/>
        </w:rPr>
        <w:t>A thesis submitted in partial fulfillment of the requirements</w:t>
        <w:br/>
        <w:t>for the degree of [DEGREE NAME]</w:t>
      </w:r>
    </w:p>
    <w:p>
      <w:pPr>
        <w:spacing w:before="900"/>
        <w:jc w:val="center"/>
      </w:pPr>
      <w:r>
        <w:rPr>
          <w:rFonts w:ascii="Times New Roman" w:hAnsi="Times New Roman" w:eastAsia="Times New Roman"/>
          <w:b w:val="0"/>
          <w:i w:val="0"/>
          <w:sz w:val="24"/>
        </w:rPr>
        <w:t>Submitted by</w:t>
      </w:r>
    </w:p>
    <w:p>
      <w:pPr>
        <w:spacing w:before="100"/>
        <w:jc w:val="center"/>
      </w:pPr>
      <w:r>
        <w:rPr>
          <w:rFonts w:ascii="Times New Roman" w:hAnsi="Times New Roman" w:eastAsia="Times New Roman"/>
          <w:b/>
          <w:i w:val="0"/>
          <w:sz w:val="28"/>
        </w:rPr>
        <w:t>[CANDIDATE NAME]</w:t>
      </w:r>
    </w:p>
    <w:p>
      <w:pPr>
        <w:spacing w:before="60"/>
        <w:jc w:val="center"/>
      </w:pPr>
      <w:r>
        <w:rPr>
          <w:rFonts w:ascii="Times New Roman" w:hAnsi="Times New Roman" w:eastAsia="Times New Roman"/>
          <w:b w:val="0"/>
          <w:i w:val="0"/>
          <w:sz w:val="22"/>
        </w:rPr>
        <w:t>[STUDENT ID]</w:t>
      </w:r>
    </w:p>
    <w:p>
      <w:pPr>
        <w:spacing w:before="700"/>
        <w:jc w:val="center"/>
      </w:pPr>
      <w:r>
        <w:rPr>
          <w:rFonts w:ascii="Times New Roman" w:hAnsi="Times New Roman" w:eastAsia="Times New Roman"/>
          <w:b w:val="0"/>
          <w:i w:val="0"/>
          <w:sz w:val="24"/>
        </w:rPr>
        <w:t>Supervisor</w:t>
      </w:r>
    </w:p>
    <w:p>
      <w:pPr>
        <w:spacing w:before="100"/>
        <w:jc w:val="center"/>
      </w:pPr>
      <w:r>
        <w:rPr>
          <w:rFonts w:ascii="Times New Roman" w:hAnsi="Times New Roman" w:eastAsia="Times New Roman"/>
          <w:b/>
          <w:i w:val="0"/>
          <w:sz w:val="26"/>
        </w:rPr>
        <w:t>[SUPERVISOR NAME AND TITLE]</w:t>
      </w:r>
    </w:p>
    <w:p>
      <w:pPr>
        <w:spacing w:before="1100"/>
        <w:jc w:val="center"/>
      </w:pPr>
      <w:r>
        <w:rPr>
          <w:rFonts w:ascii="Times New Roman" w:hAnsi="Times New Roman" w:eastAsia="Times New Roman"/>
          <w:b w:val="0"/>
          <w:i w:val="0"/>
          <w:sz w:val="22"/>
        </w:rPr>
        <w:t>[CITY, COUNTRY]</w:t>
      </w:r>
    </w:p>
    <w:p>
      <w:pPr>
        <w:spacing w:before="100"/>
        <w:jc w:val="center"/>
      </w:pPr>
      <w:r>
        <w:rPr>
          <w:rFonts w:ascii="Times New Roman" w:hAnsi="Times New Roman" w:eastAsia="Times New Roman"/>
          <w:b/>
          <w:i w:val="0"/>
          <w:sz w:val="24"/>
        </w:rPr>
        <w:t>2026</w:t>
      </w:r>
    </w:p>
    <w:p>
      <w:pPr>
        <w:pStyle w:val="FrontMatterHeading"/>
        <w:pageBreakBefore w:val="1"/>
      </w:pPr>
      <w:r>
        <w:rPr>
          <w:rFonts w:ascii="Times New Roman" w:hAnsi="Times New Roman" w:eastAsia="Times New Roman"/>
        </w:rPr>
        <w:t>DECLARATION</w:t>
      </w:r>
    </w:p>
    <w:p>
      <w:r>
        <w:rPr>
          <w:rFonts w:ascii="Times New Roman" w:hAnsi="Times New Roman" w:eastAsia="Times New Roman"/>
        </w:rPr>
        <w:t>I declare that this thesis is my own work and that all sources used in its preparation have been acknowledged appropriately. This thesis has not been submitted, in whole or in part, for another degree or qualification at this or any other institution.</w:t>
      </w:r>
    </w:p>
    <w:p/>
    <w:p>
      <w:r>
        <w:rPr>
          <w:rFonts w:ascii="Times New Roman" w:hAnsi="Times New Roman" w:eastAsia="Times New Roman"/>
        </w:rPr>
        <w:t>Candidate name: ______________________________</w:t>
      </w:r>
    </w:p>
    <w:p>
      <w:r>
        <w:rPr>
          <w:rFonts w:ascii="Times New Roman" w:hAnsi="Times New Roman" w:eastAsia="Times New Roman"/>
        </w:rPr>
        <w:t>Signature: __________________________________</w:t>
      </w:r>
    </w:p>
    <w:p>
      <w:r>
        <w:rPr>
          <w:rFonts w:ascii="Times New Roman" w:hAnsi="Times New Roman" w:eastAsia="Times New Roman"/>
        </w:rPr>
        <w:t>Date: ______________________________________</w:t>
      </w:r>
    </w:p>
    <w:p>
      <w:pPr>
        <w:pStyle w:val="FrontMatterHeading"/>
        <w:pageBreakBefore w:val="1"/>
      </w:pPr>
      <w:r>
        <w:rPr>
          <w:rFonts w:ascii="Times New Roman" w:hAnsi="Times New Roman" w:eastAsia="Times New Roman"/>
        </w:rPr>
        <w:t>ACKNOWLEDGEMENTS</w:t>
      </w:r>
    </w:p>
    <w:p>
      <w:r>
        <w:rPr>
          <w:rFonts w:ascii="Times New Roman" w:hAnsi="Times New Roman" w:eastAsia="Times New Roman"/>
        </w:rPr>
        <w:t>[Insert the final acknowledgement text after receiving the supervisor's guidance. A concise acknowledgement normally recognizes the supervisor, research institution, technical support, funding where applicable, colleagues, friends, and family.]</w:t>
      </w:r>
    </w:p>
    <w:p>
      <w:pPr>
        <w:pStyle w:val="FrontMatterHeading"/>
        <w:pageBreakBefore w:val="1"/>
      </w:pPr>
      <w:r>
        <w:rPr>
          <w:rFonts w:ascii="Times New Roman" w:hAnsi="Times New Roman" w:eastAsia="Times New Roman"/>
        </w:rPr>
        <w:t>ABSTRACT</w:t>
      </w:r>
    </w:p>
    <w:p>
      <w:pPr/>
      <w:r>
        <w:rPr>
          <w:rFonts w:ascii="Times New Roman" w:hAnsi="Times New Roman" w:eastAsia="Times New Roman"/>
        </w:rPr>
        <w:t>Healthcare data platforms must protect sensitive information while remaining deployable on modest infrastructure. This research designed and implemented a secure, scalable, and cost-efficient cloud-based platform for healthcare data management in resource-constrained environments. In this study, a resource-constrained environment refers to an institution that relies on limited computing capacity, restricted infrastructure budgets, modest system-administration resources, and a preference for open-source technologies. The platform integrates FastAPI, PostgreSQL, MinIO, Nginx, Alembic, JSON Web Token authentication, role-based access control, audit logging, clinical application programming interfaces, a bounded FHIR-inspired interoperability layer, and Synthea data-ingestion utilities. Structured clinical and security data are stored in PostgreSQL, while diagnostic-report objects are stored privately in MinIO and linked to relational metadata through object keys, file sizes, content types, and SHA-256 checksums.</w:t>
      </w:r>
    </w:p>
    <w:p>
      <w:r>
        <w:rPr>
          <w:rFonts w:ascii="Times New Roman" w:hAnsi="Times New Roman" w:eastAsia="Times New Roman"/>
        </w:rPr>
        <w:t>The final validation framework covered production HTTP security, strict audit behavior, end-to-end diagnostic-report storage, MinIO object lifecycle, PostgreSQL recovery, MinIO recovery, and optimized concurrent-load performance. All seven validations passed, representing 83 of 83 recorded checks with no failed, pending, or review item. The optimized 200-user load completed 43,814 requests with zero failures, throughput of 146.77 requests per second, mean response time of 29.27 ms, P95 latency of 110 ms, and P99 latency of 240 ms. PostgreSQL recovery passed 19 of 19 checks, while MinIO recovery passed 23 of 23 checks.</w:t>
      </w:r>
    </w:p>
    <w:p>
      <w:pPr/>
      <w:r>
        <w:rPr>
          <w:rFonts w:ascii="Times New Roman" w:hAnsi="Times New Roman" w:eastAsia="Times New Roman"/>
        </w:rPr>
        <w:t>The local validation phase has been completed and supports a production-readiness claim for the measured Docker environment. A second, planned experimental phase will deploy the same release on the institutional UESTC virtual machine and repeat the security, storage, recovery, performance, resource-utilization, endurance, and cost measurements under the actual remote hardware and network conditions. This phase remains pending solely because VM access has not yet been granted. Cost efficiency has already been addressed through an open-source, compact four-service architecture, but the final monetary analysis will use the verified VM price, observed utilization, and successful-request volume collected during the planned remote phase. The work does not claim full HL7 FHIR compliance, regulatory certification, or high availability.</w:t>
      </w:r>
    </w:p>
    <w:p>
      <w:pPr/>
      <w:r>
        <w:rPr>
          <w:rFonts w:ascii="Times New Roman" w:hAnsi="Times New Roman" w:eastAsia="Times New Roman"/>
        </w:rPr>
        <w:t>Keywords: healthcare data management; cloud-based platform; cost-efficient design; resource-constrained environments; FastAPI; PostgreSQL; MinIO; role-based access control; scalability; Docker</w:t>
      </w:r>
    </w:p>
    <w:p>
      <w:pPr>
        <w:pStyle w:val="FrontMatterHeading"/>
        <w:pageBreakBefore w:val="1"/>
      </w:pPr>
      <w:r>
        <w:rPr>
          <w:rFonts w:ascii="Times New Roman" w:hAnsi="Times New Roman" w:eastAsia="Times New Roman"/>
        </w:rPr>
        <w:t>RÉSUMÉ</w:t>
      </w:r>
    </w:p>
    <w:p>
      <w:pPr/>
      <w:r>
        <w:rPr>
          <w:rFonts w:ascii="Times New Roman" w:hAnsi="Times New Roman" w:eastAsia="Times New Roman"/>
        </w:rPr>
        <w:t>Les plateformes de données de santé doivent protéger les informations sensibles tout en restant déployables sur une infrastructure modeste. Cette recherche a conçu et implémenté une plateforme cloud sécurisée, scalable et efficiente en coût pour la gestion des données de santé dans des environnements à ressources limitées. Dans cette étude, un environnement à ressources limitées désigne une institution disposant d'une capacité informatique réduite, d'un budget d'infrastructure restreint, de ressources limitées en administration système et privilégiant les technologies open source. La plateforme intègre FastAPI, PostgreSQL, MinIO, Nginx, Alembic, l'authentification JWT, le contrôle d'accès fondé sur les rôles, la journalisation d'audit, des interfaces cliniques, une couche d'interopérabilité inspirée de FHIR et des utilitaires d'importation Synthea.</w:t>
      </w:r>
    </w:p>
    <w:p>
      <w:r>
        <w:rPr>
          <w:rFonts w:ascii="Times New Roman" w:hAnsi="Times New Roman" w:eastAsia="Times New Roman"/>
        </w:rPr>
        <w:t>Le cadre final d'évaluation a couvert la sécurité HTTP en production, l'audit strict, le stockage diagnostique de bout en bout, le cycle de vie MinIO, la restauration PostgreSQL, la restauration MinIO et les performances sous charge optimisée. Les sept validations ont réussi, soit 83 contrôles réussis sur 83, sans échec ni élément en attente. Le test optimisé avec 200 utilisateurs a exécuté 43 814 requêtes sans échec, avec un débit de 146,77 requêtes par seconde, une latence moyenne de 29,27 ms, un P95 de 110 ms et un P99 de 240 ms.</w:t>
      </w:r>
    </w:p>
    <w:p>
      <w:pPr/>
      <w:r>
        <w:rPr>
          <w:rFonts w:ascii="Times New Roman" w:hAnsi="Times New Roman" w:eastAsia="Times New Roman"/>
        </w:rPr>
        <w:t>La phase de validation locale est terminée et justifie une conclusion de préparation à la production pour l'environnement Docker mesuré. Une deuxième phase expérimentale planifiée déploiera la même version sur la machine virtuelle institutionnelle UESTC et répétera les mesures de sécurité, de stockage, de récupération, de performance, d'utilisation des ressources, d'endurance et de coût dans les conditions réelles du serveur distant. Cette phase reste en attente uniquement parce que l'accès à la VM n'a pas encore été accordé. L'efficience en coût est déjà soutenue par une architecture open source compacte à quatre services, mais l'analyse monétaire finale utilisera le prix vérifié de la VM, l'utilisation observée et le volume de requêtes réussies collectés durant la phase distante.</w:t>
      </w:r>
    </w:p>
    <w:p>
      <w:pPr/>
      <w:r>
        <w:rPr>
          <w:rFonts w:ascii="Times New Roman" w:hAnsi="Times New Roman" w:eastAsia="Times New Roman"/>
        </w:rPr>
        <w:t>Mots-clés : gestion des données de santé ; plateforme cloud ; conception efficiente en coût ; environnements à ressources limitées ; FastAPI ; PostgreSQL ; MinIO ; contrôle d'accès par rôles ; scalabilité ; Docker</w:t>
      </w:r>
    </w:p>
    <w:p>
      <w:pPr>
        <w:pStyle w:val="FrontMatterHeading"/>
        <w:pageBreakBefore w:val="1"/>
      </w:pPr>
      <w:r>
        <w:rPr>
          <w:rFonts w:ascii="Times New Roman" w:hAnsi="Times New Roman" w:eastAsia="Times New Roman"/>
        </w:rPr>
        <w:t>LIST OF ABBREVIATIONS</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1F2"/>
          </w:tcPr>
          <w:p>
            <w:r>
              <w:rPr>
                <w:rFonts w:ascii="Times New Roman" w:hAnsi="Times New Roman" w:eastAsia="Times New Roman"/>
                <w:sz w:val="17"/>
              </w:rPr>
            </w:r>
            <w:r>
              <w:rPr>
                <w:rFonts w:ascii="Times New Roman" w:hAnsi="Times New Roman" w:eastAsia="Times New Roman"/>
                <w:b/>
                <w:sz w:val="18"/>
              </w:rPr>
              <w:t>Abbreviation</w:t>
            </w:r>
          </w:p>
        </w:tc>
        <w:tc>
          <w:tcPr>
            <w:tcW w:type="dxa" w:w="4702"/>
            <w:vAlign w:val="center"/>
            <w:shd w:fill="D9E1F2"/>
          </w:tcPr>
          <w:p>
            <w:r>
              <w:rPr>
                <w:rFonts w:ascii="Times New Roman" w:hAnsi="Times New Roman" w:eastAsia="Times New Roman"/>
                <w:sz w:val="17"/>
              </w:rPr>
            </w:r>
            <w:r>
              <w:rPr>
                <w:rFonts w:ascii="Times New Roman" w:hAnsi="Times New Roman" w:eastAsia="Times New Roman"/>
                <w:b/>
                <w:sz w:val="18"/>
              </w:rPr>
              <w:t>Meaning</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API</w:t>
            </w:r>
          </w:p>
        </w:tc>
        <w:tc>
          <w:tcPr>
            <w:tcW w:type="dxa" w:w="4702"/>
            <w:vAlign w:val="center"/>
          </w:tcPr>
          <w:p>
            <w:r>
              <w:rPr>
                <w:rFonts w:ascii="Times New Roman" w:hAnsi="Times New Roman" w:eastAsia="Times New Roman"/>
                <w:sz w:val="17"/>
              </w:rPr>
            </w:r>
            <w:r>
              <w:rPr>
                <w:rFonts w:ascii="Times New Roman" w:hAnsi="Times New Roman" w:eastAsia="Times New Roman"/>
                <w:sz w:val="18"/>
              </w:rPr>
              <w:t>Application Programming Interface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CORS</w:t>
            </w:r>
          </w:p>
        </w:tc>
        <w:tc>
          <w:tcPr>
            <w:tcW w:type="dxa" w:w="4702"/>
            <w:vAlign w:val="center"/>
          </w:tcPr>
          <w:p>
            <w:r>
              <w:rPr>
                <w:rFonts w:ascii="Times New Roman" w:hAnsi="Times New Roman" w:eastAsia="Times New Roman"/>
                <w:sz w:val="17"/>
              </w:rPr>
            </w:r>
            <w:r>
              <w:rPr>
                <w:rFonts w:ascii="Times New Roman" w:hAnsi="Times New Roman" w:eastAsia="Times New Roman"/>
                <w:sz w:val="18"/>
              </w:rPr>
              <w:t>Cross-Origin Resource Sharing</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DBMS</w:t>
            </w:r>
          </w:p>
        </w:tc>
        <w:tc>
          <w:tcPr>
            <w:tcW w:type="dxa" w:w="4702"/>
            <w:vAlign w:val="center"/>
          </w:tcPr>
          <w:p>
            <w:r>
              <w:rPr>
                <w:rFonts w:ascii="Times New Roman" w:hAnsi="Times New Roman" w:eastAsia="Times New Roman"/>
                <w:sz w:val="17"/>
              </w:rPr>
            </w:r>
            <w:r>
              <w:rPr>
                <w:rFonts w:ascii="Times New Roman" w:hAnsi="Times New Roman" w:eastAsia="Times New Roman"/>
                <w:sz w:val="18"/>
              </w:rPr>
              <w:t>Database Management System</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FHIR</w:t>
            </w:r>
          </w:p>
        </w:tc>
        <w:tc>
          <w:tcPr>
            <w:tcW w:type="dxa" w:w="4702"/>
            <w:vAlign w:val="center"/>
          </w:tcPr>
          <w:p>
            <w:r>
              <w:rPr>
                <w:rFonts w:ascii="Times New Roman" w:hAnsi="Times New Roman" w:eastAsia="Times New Roman"/>
                <w:sz w:val="17"/>
              </w:rPr>
            </w:r>
            <w:r>
              <w:rPr>
                <w:rFonts w:ascii="Times New Roman" w:hAnsi="Times New Roman" w:eastAsia="Times New Roman"/>
                <w:sz w:val="18"/>
              </w:rPr>
              <w:t>Fast Healthcare Interoperability Resources</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HSTS</w:t>
            </w:r>
          </w:p>
        </w:tc>
        <w:tc>
          <w:tcPr>
            <w:tcW w:type="dxa" w:w="4702"/>
            <w:vAlign w:val="center"/>
          </w:tcPr>
          <w:p>
            <w:r>
              <w:rPr>
                <w:rFonts w:ascii="Times New Roman" w:hAnsi="Times New Roman" w:eastAsia="Times New Roman"/>
                <w:sz w:val="17"/>
              </w:rPr>
            </w:r>
            <w:r>
              <w:rPr>
                <w:rFonts w:ascii="Times New Roman" w:hAnsi="Times New Roman" w:eastAsia="Times New Roman"/>
                <w:sz w:val="18"/>
              </w:rPr>
              <w:t>HTTP Strict Transport Security</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HTTP</w:t>
            </w:r>
          </w:p>
        </w:tc>
        <w:tc>
          <w:tcPr>
            <w:tcW w:type="dxa" w:w="4702"/>
            <w:vAlign w:val="center"/>
          </w:tcPr>
          <w:p>
            <w:r>
              <w:rPr>
                <w:rFonts w:ascii="Times New Roman" w:hAnsi="Times New Roman" w:eastAsia="Times New Roman"/>
                <w:sz w:val="17"/>
              </w:rPr>
            </w:r>
            <w:r>
              <w:rPr>
                <w:rFonts w:ascii="Times New Roman" w:hAnsi="Times New Roman" w:eastAsia="Times New Roman"/>
                <w:sz w:val="18"/>
              </w:rPr>
              <w:t>Hypertext Transfer Protocol</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HTTPS</w:t>
            </w:r>
          </w:p>
        </w:tc>
        <w:tc>
          <w:tcPr>
            <w:tcW w:type="dxa" w:w="4702"/>
            <w:vAlign w:val="center"/>
          </w:tcPr>
          <w:p>
            <w:r>
              <w:rPr>
                <w:rFonts w:ascii="Times New Roman" w:hAnsi="Times New Roman" w:eastAsia="Times New Roman"/>
                <w:sz w:val="17"/>
              </w:rPr>
            </w:r>
            <w:r>
              <w:rPr>
                <w:rFonts w:ascii="Times New Roman" w:hAnsi="Times New Roman" w:eastAsia="Times New Roman"/>
                <w:sz w:val="18"/>
              </w:rPr>
              <w:t>Hypertext Transfer Protocol Secure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JWT</w:t>
            </w:r>
          </w:p>
        </w:tc>
        <w:tc>
          <w:tcPr>
            <w:tcW w:type="dxa" w:w="4702"/>
            <w:vAlign w:val="center"/>
          </w:tcPr>
          <w:p>
            <w:r>
              <w:rPr>
                <w:rFonts w:ascii="Times New Roman" w:hAnsi="Times New Roman" w:eastAsia="Times New Roman"/>
                <w:sz w:val="17"/>
              </w:rPr>
            </w:r>
            <w:r>
              <w:rPr>
                <w:rFonts w:ascii="Times New Roman" w:hAnsi="Times New Roman" w:eastAsia="Times New Roman"/>
                <w:sz w:val="18"/>
              </w:rPr>
              <w:t>JSON Web Token</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P95</w:t>
            </w:r>
          </w:p>
        </w:tc>
        <w:tc>
          <w:tcPr>
            <w:tcW w:type="dxa" w:w="4702"/>
            <w:vAlign w:val="center"/>
          </w:tcPr>
          <w:p>
            <w:r>
              <w:rPr>
                <w:rFonts w:ascii="Times New Roman" w:hAnsi="Times New Roman" w:eastAsia="Times New Roman"/>
                <w:sz w:val="17"/>
              </w:rPr>
            </w:r>
            <w:r>
              <w:rPr>
                <w:rFonts w:ascii="Times New Roman" w:hAnsi="Times New Roman" w:eastAsia="Times New Roman"/>
                <w:sz w:val="18"/>
              </w:rPr>
              <w:t>95th-percentile response time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P99</w:t>
            </w:r>
          </w:p>
        </w:tc>
        <w:tc>
          <w:tcPr>
            <w:tcW w:type="dxa" w:w="4702"/>
            <w:vAlign w:val="center"/>
          </w:tcPr>
          <w:p>
            <w:r>
              <w:rPr>
                <w:rFonts w:ascii="Times New Roman" w:hAnsi="Times New Roman" w:eastAsia="Times New Roman"/>
                <w:sz w:val="17"/>
              </w:rPr>
            </w:r>
            <w:r>
              <w:rPr>
                <w:rFonts w:ascii="Times New Roman" w:hAnsi="Times New Roman" w:eastAsia="Times New Roman"/>
                <w:sz w:val="18"/>
              </w:rPr>
              <w:t>99th-percentile response time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RBAC</w:t>
            </w:r>
          </w:p>
        </w:tc>
        <w:tc>
          <w:tcPr>
            <w:tcW w:type="dxa" w:w="4702"/>
            <w:vAlign w:val="center"/>
          </w:tcPr>
          <w:p>
            <w:r>
              <w:rPr>
                <w:rFonts w:ascii="Times New Roman" w:hAnsi="Times New Roman" w:eastAsia="Times New Roman"/>
                <w:sz w:val="17"/>
              </w:rPr>
            </w:r>
            <w:r>
              <w:rPr>
                <w:rFonts w:ascii="Times New Roman" w:hAnsi="Times New Roman" w:eastAsia="Times New Roman"/>
                <w:sz w:val="18"/>
              </w:rPr>
              <w:t>Role-Based Access Control</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RPO</w:t>
            </w:r>
          </w:p>
        </w:tc>
        <w:tc>
          <w:tcPr>
            <w:tcW w:type="dxa" w:w="4702"/>
            <w:vAlign w:val="center"/>
          </w:tcPr>
          <w:p>
            <w:r>
              <w:rPr>
                <w:rFonts w:ascii="Times New Roman" w:hAnsi="Times New Roman" w:eastAsia="Times New Roman"/>
                <w:sz w:val="17"/>
              </w:rPr>
            </w:r>
            <w:r>
              <w:rPr>
                <w:rFonts w:ascii="Times New Roman" w:hAnsi="Times New Roman" w:eastAsia="Times New Roman"/>
                <w:sz w:val="18"/>
              </w:rPr>
              <w:t>Recovery Point Objective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RPS</w:t>
            </w:r>
          </w:p>
        </w:tc>
        <w:tc>
          <w:tcPr>
            <w:tcW w:type="dxa" w:w="4702"/>
            <w:vAlign w:val="center"/>
          </w:tcPr>
          <w:p>
            <w:r>
              <w:rPr>
                <w:rFonts w:ascii="Times New Roman" w:hAnsi="Times New Roman" w:eastAsia="Times New Roman"/>
                <w:sz w:val="17"/>
              </w:rPr>
            </w:r>
            <w:r>
              <w:rPr>
                <w:rFonts w:ascii="Times New Roman" w:hAnsi="Times New Roman" w:eastAsia="Times New Roman"/>
                <w:sz w:val="18"/>
              </w:rPr>
              <w:t>Requests Per Second</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RTO</w:t>
            </w:r>
          </w:p>
        </w:tc>
        <w:tc>
          <w:tcPr>
            <w:tcW w:type="dxa" w:w="4702"/>
            <w:vAlign w:val="center"/>
          </w:tcPr>
          <w:p>
            <w:r>
              <w:rPr>
                <w:rFonts w:ascii="Times New Roman" w:hAnsi="Times New Roman" w:eastAsia="Times New Roman"/>
                <w:sz w:val="17"/>
              </w:rPr>
            </w:r>
            <w:r>
              <w:rPr>
                <w:rFonts w:ascii="Times New Roman" w:hAnsi="Times New Roman" w:eastAsia="Times New Roman"/>
                <w:sz w:val="18"/>
              </w:rPr>
              <w:t>Recovery Time Objective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SHA-256</w:t>
            </w:r>
          </w:p>
        </w:tc>
        <w:tc>
          <w:tcPr>
            <w:tcW w:type="dxa" w:w="4702"/>
            <w:vAlign w:val="center"/>
          </w:tcPr>
          <w:p>
            <w:r>
              <w:rPr>
                <w:rFonts w:ascii="Times New Roman" w:hAnsi="Times New Roman" w:eastAsia="Times New Roman"/>
                <w:sz w:val="17"/>
              </w:rPr>
            </w:r>
            <w:r>
              <w:rPr>
                <w:rFonts w:ascii="Times New Roman" w:hAnsi="Times New Roman" w:eastAsia="Times New Roman"/>
                <w:sz w:val="18"/>
              </w:rPr>
              <w:t>Secure Hash Algorithm, 256-bit</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SQL</w:t>
            </w:r>
          </w:p>
        </w:tc>
        <w:tc>
          <w:tcPr>
            <w:tcW w:type="dxa" w:w="4702"/>
            <w:vAlign w:val="center"/>
          </w:tcPr>
          <w:p>
            <w:r>
              <w:rPr>
                <w:rFonts w:ascii="Times New Roman" w:hAnsi="Times New Roman" w:eastAsia="Times New Roman"/>
                <w:sz w:val="17"/>
              </w:rPr>
            </w:r>
            <w:r>
              <w:rPr>
                <w:rFonts w:ascii="Times New Roman" w:hAnsi="Times New Roman" w:eastAsia="Times New Roman"/>
                <w:sz w:val="18"/>
              </w:rPr>
              <w:t>Structured Query Language</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TLS</w:t>
            </w:r>
          </w:p>
        </w:tc>
        <w:tc>
          <w:tcPr>
            <w:tcW w:type="dxa" w:w="4702"/>
            <w:vAlign w:val="center"/>
          </w:tcPr>
          <w:p>
            <w:r>
              <w:rPr>
                <w:rFonts w:ascii="Times New Roman" w:hAnsi="Times New Roman" w:eastAsia="Times New Roman"/>
                <w:sz w:val="17"/>
              </w:rPr>
            </w:r>
            <w:r>
              <w:rPr>
                <w:rFonts w:ascii="Times New Roman" w:hAnsi="Times New Roman" w:eastAsia="Times New Roman"/>
                <w:sz w:val="18"/>
              </w:rPr>
              <w:t>Transport Layer Security</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UESTC</w:t>
            </w:r>
          </w:p>
        </w:tc>
        <w:tc>
          <w:tcPr>
            <w:tcW w:type="dxa" w:w="4702"/>
            <w:vAlign w:val="center"/>
          </w:tcPr>
          <w:p>
            <w:r>
              <w:rPr>
                <w:rFonts w:ascii="Times New Roman" w:hAnsi="Times New Roman" w:eastAsia="Times New Roman"/>
                <w:sz w:val="17"/>
              </w:rPr>
            </w:r>
            <w:r>
              <w:rPr>
                <w:rFonts w:ascii="Times New Roman" w:hAnsi="Times New Roman" w:eastAsia="Times New Roman"/>
                <w:sz w:val="18"/>
              </w:rPr>
              <w:t>University of Electronic Science and Technology of China</w:t>
            </w:r>
          </w:p>
        </w:tc>
      </w:tr>
      <w:tr>
        <w:tc>
          <w:tcPr>
            <w:tcW w:type="dxa" w:w="4702"/>
            <w:vAlign w:val="center"/>
          </w:tcPr>
          <w:p>
            <w:r>
              <w:rPr>
                <w:rFonts w:ascii="Times New Roman" w:hAnsi="Times New Roman" w:eastAsia="Times New Roman"/>
                <w:sz w:val="17"/>
              </w:rPr>
            </w:r>
            <w:r>
              <w:rPr>
                <w:rFonts w:ascii="Times New Roman" w:hAnsi="Times New Roman" w:eastAsia="Times New Roman"/>
                <w:sz w:val="18"/>
              </w:rPr>
              <w:t>VM</w:t>
            </w:r>
          </w:p>
        </w:tc>
        <w:tc>
          <w:tcPr>
            <w:tcW w:type="dxa" w:w="4702"/>
            <w:vAlign w:val="center"/>
          </w:tcPr>
          <w:p>
            <w:r>
              <w:rPr>
                <w:rFonts w:ascii="Times New Roman" w:hAnsi="Times New Roman" w:eastAsia="Times New Roman"/>
                <w:sz w:val="17"/>
              </w:rPr>
            </w:r>
            <w:r>
              <w:rPr>
                <w:rFonts w:ascii="Times New Roman" w:hAnsi="Times New Roman" w:eastAsia="Times New Roman"/>
                <w:sz w:val="18"/>
              </w:rPr>
              <w:t>Virtual Machine</w:t>
            </w:r>
          </w:p>
        </w:tc>
      </w:tr>
    </w:tbl>
    <w:p/>
    <w:p>
      <w:pPr>
        <w:pStyle w:val="FrontMatterHeading"/>
        <w:pageBreakBefore w:val="1"/>
      </w:pPr>
      <w:r>
        <w:rPr>
          <w:rFonts w:ascii="Times New Roman" w:hAnsi="Times New Roman" w:eastAsia="Times New Roman"/>
        </w:rPr>
        <w:t>TABLE OF CONTENTS</w:t>
      </w:r>
    </w:p>
    <w:p>
      <w:r>
        <w:rPr>
          <w:rFonts w:ascii="Times New Roman" w:hAnsi="Times New Roman" w:eastAsia="Times New Roman"/>
        </w:rPr>
        <w:fldChar w:fldCharType="begin"/>
        <w:instrText xml:space="preserve">TOC \o "1-3" \h \z \u</w:instrText>
        <w:fldChar w:fldCharType="separate"/>
        <w:t>Right-click and select Update Field after assembling the full thesis.</w:t>
        <w:fldChar w:fldCharType="end"/>
      </w:r>
    </w:p>
    <w:p>
      <w:pPr>
        <w:pStyle w:val="FrontMatterHeading"/>
        <w:pageBreakBefore w:val="1"/>
      </w:pPr>
      <w:r>
        <w:rPr>
          <w:rFonts w:ascii="Times New Roman" w:hAnsi="Times New Roman" w:eastAsia="Times New Roman"/>
        </w:rPr>
        <w:t>LIST OF FIGURES</w:t>
      </w:r>
    </w:p>
    <w:p>
      <w:r>
        <w:rPr>
          <w:rFonts w:ascii="Times New Roman" w:hAnsi="Times New Roman" w:eastAsia="Times New Roman"/>
        </w:rPr>
        <w:t>This list will be generated after all chapters are assembled and figure captions are standardized using Word caption fields.</w:t>
      </w:r>
    </w:p>
    <w:p>
      <w:pPr>
        <w:pStyle w:val="FrontMatterHeading"/>
        <w:pageBreakBefore w:val="1"/>
      </w:pPr>
      <w:r>
        <w:rPr>
          <w:rFonts w:ascii="Times New Roman" w:hAnsi="Times New Roman" w:eastAsia="Times New Roman"/>
        </w:rPr>
        <w:t>LIST OF TABLES</w:t>
      </w:r>
    </w:p>
    <w:p>
      <w:r>
        <w:rPr>
          <w:rFonts w:ascii="Times New Roman" w:hAnsi="Times New Roman" w:eastAsia="Times New Roman"/>
        </w:rPr>
        <w:t>This list will be generated after all chapters are assembled and table captions are standardized using Word caption fields.</w:t>
      </w:r>
    </w:p>
    <w:p>
      <w:pPr>
        <w:sectPr>
          <w:headerReference w:type="default" r:id="rId9"/>
          <w:footerReference w:type="default" r:id="rId10"/>
          <w:headerReference w:type="first" r:id="rId11"/>
          <w:pgSz w:w="12240" w:h="15840"/>
          <w:pgMar w:top="1304" w:right="1361" w:bottom="1247" w:left="1474" w:header="720" w:footer="720" w:gutter="0"/>
          <w:cols w:space="720"/>
          <w:titlePg/>
          <w:docGrid w:linePitch="360"/>
        </w:sectPr>
      </w:pPr>
    </w:p>
    <w:p>
      <w:pPr>
        <w:pStyle w:val="Heading1"/>
        <w:pageBreakBefore w:val="1"/>
        <w:keepNext/>
      </w:pPr>
      <w:r>
        <w:rPr>
          <w:rFonts w:ascii="Times New Roman" w:hAnsi="Times New Roman" w:eastAsia="Times New Roman"/>
        </w:rPr>
        <w:t>Chapter 1. General Introduction</w:t>
      </w:r>
    </w:p>
    <w:p>
      <w:pPr>
        <w:pStyle w:val="Heading2"/>
      </w:pPr>
      <w:r>
        <w:rPr>
          <w:rFonts w:ascii="Times New Roman" w:hAnsi="Times New Roman" w:eastAsia="Times New Roman"/>
        </w:rPr>
        <w:t>1. Background and Research Context</w:t>
      </w:r>
    </w:p>
    <w:p>
      <w:r>
        <w:rPr>
          <w:rFonts w:ascii="Times New Roman" w:hAnsi="Times New Roman" w:eastAsia="Times New Roman"/>
        </w:rPr>
        <w:t>Healthcare information systems increasingly depend on networked software, distributed data storage, application programming interfaces, and remote infrastructure. Cloud computing provides on-demand access to configurable computing resources and is commonly discussed through service and deployment models such as infrastructure, platform, and software services [1]. In healthcare, these capabilities can support wider data availability, centralized maintenance, elastic resource allocation, and more consistent deployment; however, they also intensify concerns related to confidentiality, authorization, interoperability, operational continuity, and evidence of system reliability [11], [13], [14].</w:t>
      </w:r>
    </w:p>
    <w:p>
      <w:r>
        <w:rPr>
          <w:rFonts w:ascii="Times New Roman" w:hAnsi="Times New Roman" w:eastAsia="Times New Roman"/>
        </w:rPr>
        <w:t>Healthcare data are heterogeneous. A single platform may need to manage patient demographics, encounters, conditions, laboratory observations, prescriptions, diagnostic reports, user accounts, role assignments, and audit events. Structured clinical records benefit from relational integrity, while binary reports and attachments require object-oriented storage. The resulting architecture must preserve references between these data domains while preventing direct and unauthorized access.</w:t>
      </w:r>
    </w:p>
    <w:p>
      <w:r>
        <w:rPr>
          <w:rFonts w:ascii="Times New Roman" w:hAnsi="Times New Roman" w:eastAsia="Times New Roman"/>
        </w:rPr>
        <w:t>Interoperability is another central requirement. FHIR is an HL7 standard for healthcare data exchange and defines resources, REST interactions, search mechanisms, conformance artifacts, terminology support, and security-related components [2]. FHIR-oriented research and platforms such as SMART on FHIR have demonstrated the value of standardized web-based application interfaces [3], [4]. Nevertheless, implementing selected FHIR-shaped resources does not by itself establish full FHIR conformance.</w:t>
      </w:r>
    </w:p>
    <w:p>
      <w:r>
        <w:rPr>
          <w:rFonts w:ascii="Times New Roman" w:hAnsi="Times New Roman" w:eastAsia="Times New Roman"/>
        </w:rPr>
        <w:t>The development and testing of healthcare systems are further constrained by the sensitivity of real patient records. Synthea addresses this problem by generating synthetic longitudinal health records for research, education, and software testing without using identifiable real-patient data [5]. Synthetic data are therefore suitable for validating software workflows, although they cannot replace real clinical data for every biomedical or clinical-discovery purpose.</w:t>
      </w:r>
    </w:p>
    <w:p>
      <w:pPr>
        <w:jc w:val="center"/>
      </w:pPr>
      <w:r>
        <w:rPr>
          <w:rFonts w:ascii="Times New Roman" w:hAnsi="Times New Roman" w:eastAsia="Times New Roman"/>
        </w:rPr>
        <w:drawing>
          <wp:inline xmlns:a="http://schemas.openxmlformats.org/drawingml/2006/main" xmlns:pic="http://schemas.openxmlformats.org/drawingml/2006/picture">
            <wp:extent cx="6126480" cy="3935111"/>
            <wp:docPr id="1" name="Picture 1"/>
            <wp:cNvGraphicFramePr>
              <a:graphicFrameLocks noChangeAspect="1"/>
            </wp:cNvGraphicFramePr>
            <a:graphic>
              <a:graphicData uri="http://schemas.openxmlformats.org/drawingml/2006/picture">
                <pic:pic>
                  <pic:nvPicPr>
                    <pic:cNvPr id="1" name="introduction_research_framework.png"/>
                    <pic:cNvPicPr/>
                  </pic:nvPicPr>
                  <pic:blipFill>
                    <a:blip r:embed="rId14"/>
                    <a:stretch>
                      <a:fillRect/>
                    </a:stretch>
                  </pic:blipFill>
                  <pic:spPr>
                    <a:xfrm>
                      <a:off x="0" y="0"/>
                      <a:ext cx="6126480" cy="3935111"/>
                    </a:xfrm>
                    <a:prstGeom prst="rect"/>
                  </pic:spPr>
                </pic:pic>
              </a:graphicData>
            </a:graphic>
          </wp:inline>
        </w:drawing>
      </w:r>
    </w:p>
    <w:p>
      <w:pPr>
        <w:pStyle w:val="AcademicCaption"/>
      </w:pPr>
      <w:r>
        <w:rPr>
          <w:rFonts w:ascii="Times New Roman" w:hAnsi="Times New Roman" w:eastAsia="Times New Roman"/>
        </w:rPr>
        <w:t>Figure 1. Research problem, implemented response, measured local outcome and future remote milestone.</w:t>
      </w:r>
    </w:p>
    <w:p>
      <w:pPr>
        <w:pStyle w:val="Heading2"/>
      </w:pPr>
      <w:r>
        <w:rPr>
          <w:rFonts w:ascii="Times New Roman" w:hAnsi="Times New Roman" w:eastAsia="Times New Roman"/>
        </w:rPr>
        <w:t>2. Problem Statement</w:t>
      </w:r>
    </w:p>
    <w:p>
      <w:r>
        <w:rPr>
          <w:rFonts w:ascii="Times New Roman" w:hAnsi="Times New Roman" w:eastAsia="Times New Roman"/>
        </w:rPr>
        <w:t>Many healthcare-platform studies and prototypes focus on one principal concern, such as cloud migration, data exchange, access control, privacy, or application scalability. The practical challenge is that these concerns interact. A healthcare API that performs well but lacks role restrictions is unsafe. A secure database without auditable file access provides incomplete accountability. A backup that is never restored does not demonstrate recoverability. Similarly, a containerized application cannot be described as cloud-deployed until it is installed and validated on actual remote infrastructure.</w:t>
      </w:r>
    </w:p>
    <w:p>
      <w:pPr/>
      <w:r>
        <w:rPr>
          <w:rFonts w:ascii="Times New Roman" w:hAnsi="Times New Roman" w:eastAsia="Times New Roman"/>
        </w:rPr>
        <w:t>The research problem addressed in this thesis is therefore the design and implementation of a secure, scalable, and cost-efficient cloud-based platform for healthcare data management in resource-constrained environments. The platform must combine structured clinical-data management, private diagnostic-object storage, authenticated and role-restricted access, auditability, bounded interoperability, synthetic-data ingestion, containerized deployment, backup and recovery, concurrent-load evaluation, and a deployment model suitable for modest institutional infrastructure.</w:t>
      </w:r>
    </w:p>
    <w:p>
      <w:r>
        <w:rPr>
          <w:rFonts w:ascii="Times New Roman" w:hAnsi="Times New Roman" w:eastAsia="Times New Roman"/>
        </w:rPr>
        <w:t>The problem is not only to implement these features, but also to produce executable evidence showing that they function together. This requirement motivates an integrated validation framework rather than a feature checklist.</w:t>
      </w:r>
    </w:p>
    <w:p>
      <w:pPr>
        <w:pStyle w:val="Heading2"/>
      </w:pPr>
      <w:r>
        <w:rPr>
          <w:rFonts w:ascii="Times New Roman" w:hAnsi="Times New Roman" w:eastAsia="Times New Roman"/>
        </w:rPr>
        <w:t>3. Research Aim</w:t>
      </w:r>
    </w:p>
    <w:p>
      <w:pPr/>
      <w:r>
        <w:rPr>
          <w:rFonts w:ascii="Times New Roman" w:hAnsi="Times New Roman" w:eastAsia="Times New Roman"/>
        </w:rPr>
        <w:t>The aim of this research is to design, implement, and empirically evaluate a secure, scalable, and cost-efficient cloud-based platform for healthcare data management in resource-constrained environments using open-source technologies and synthetic healthcare data.</w:t>
      </w:r>
    </w:p>
    <w:p>
      <w:pPr>
        <w:pStyle w:val="Heading2"/>
      </w:pPr>
      <w:r>
        <w:rPr>
          <w:rFonts w:ascii="Times New Roman" w:hAnsi="Times New Roman" w:eastAsia="Times New Roman"/>
        </w:rPr>
        <w:t>4. Research Objectives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Objective</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Description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Design a modular backend architecture that separates API routing, security dependencies, database models, schemas, business services, storage operations, and ingestion utilities.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Implement authentication, active-user validation, role-based authorization, and audit logging for healthcare operations.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Develop a patient-centered PostgreSQL data model for clinical records, users, roles, diagnostic metadata, and audit events.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O4</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Integrate private MinIO object storage for diagnostic reports, with relational metadata and SHA-256 integrity verification.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O5</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Provide native clinical APIs and a bounded FHIR-inspired interoperability layer for selected healthcare resources.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O6</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Implement reproducible ingestion of synthetic Synthea patient, encounter, observation, and medication data.</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O7</w:t>
            </w:r>
          </w:p>
        </w:tc>
        <w:tc>
          <w:tcPr>
            <w:tcW w:type="dxa" w:w="4759"/>
            <w:vAlign w:val="center"/>
          </w:tcPr>
          <w:p>
            <w:r>
              <w:rPr>
                <w:rFonts w:ascii="Times New Roman" w:hAnsi="Times New Roman" w:eastAsia="Times New Roman"/>
                <w:sz w:val="17"/>
              </w:rPr>
              <w:t>Package the platform as a compact, isolated, multi-service Docker production stack suitable for deployment on modest single-VM infrastructure.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O8</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Validate security, storage, auditability, disaster recovery, and concurrent-load performance through executable tests.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O9</w:t>
            </w:r>
          </w:p>
        </w:tc>
        <w:tc>
          <w:tcPr>
            <w:tcW w:type="dxa" w:w="4759"/>
            <w:vAlign w:val="center"/>
          </w:tcPr>
          <w:p>
            <w:r>
              <w:rPr>
                <w:rFonts w:ascii="Times New Roman" w:hAnsi="Times New Roman" w:eastAsia="Times New Roman"/>
                <w:sz w:val="17"/>
              </w:rPr>
              <w:t>Deploy the tagged platform on the institutional UESTC virtual machine and validate performance, resource utilization, endurance, recovery, and verified deployment cost under controlled resource constraints.</w:t>
            </w:r>
          </w:p>
        </w:tc>
      </w:tr>
      <w:tr>
        <w:tc>
          <w:tcPr>
            <w:tcW w:type="dxa" w:w="4759"/>
          </w:tcPr>
          <w:p>
            <w:r>
              <w:rPr>
                <w:rFonts w:ascii="Times New Roman" w:hAnsi="Times New Roman" w:eastAsia="Times New Roman"/>
                <w:sz w:val="17"/>
              </w:rPr>
              <w:t>O10</w:t>
            </w:r>
          </w:p>
        </w:tc>
        <w:tc>
          <w:tcPr>
            <w:tcW w:type="dxa" w:w="4759"/>
          </w:tcPr>
          <w:p>
            <w:r>
              <w:rPr>
                <w:rFonts w:ascii="Times New Roman" w:hAnsi="Times New Roman" w:eastAsia="Times New Roman"/>
                <w:sz w:val="17"/>
              </w:rPr>
              <w:t>Compare local and remote results and determine whether the platform satisfies the security, scalability, cost-efficiency, and resource-constrained deployment objectives.</w:t>
            </w:r>
          </w:p>
        </w:tc>
      </w:tr>
    </w:tbl>
    <w:p/>
    <w:p>
      <w:pPr>
        <w:pStyle w:val="Heading2"/>
      </w:pPr>
      <w:r>
        <w:rPr>
          <w:rFonts w:ascii="Times New Roman" w:hAnsi="Times New Roman" w:eastAsia="Times New Roman"/>
        </w:rPr>
        <w:t>5. Research Questions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Research question</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Question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RQ1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How can a modular architecture integrate healthcare APIs, relational persistence, object storage, security services, and ingestion workflows without exposing internal data services directly?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RQ2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How can JWT authentication, role-based access control, and audit logging be combined to restrict and trace healthcare-data operations?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RQ3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How can structured clinical records, binary diagnostic objects, selected FHIR-inspired representations, and synthetic-data ingestion be integrated in one platform?</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RQ4</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What security, storage-integrity, recovery, latency, throughput, and failure-rate outcomes are achieved in the measured local production environment?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RQ5</w:t>
            </w:r>
          </w:p>
        </w:tc>
        <w:tc>
          <w:tcPr>
            <w:tcW w:type="dxa" w:w="4759"/>
            <w:vAlign w:val="center"/>
          </w:tcPr>
          <w:p>
            <w:r>
              <w:rPr>
                <w:rFonts w:ascii="Times New Roman" w:hAnsi="Times New Roman" w:eastAsia="Times New Roman"/>
                <w:sz w:val="17"/>
              </w:rPr>
              <w:t>How do throughput, latency, failure rate, CPU, memory, endurance, recovery objectives, and deployment cost change when the platform is validated on the resource-constrained UESTC virtual machine?</w:t>
            </w:r>
          </w:p>
        </w:tc>
      </w:tr>
      <w:tr>
        <w:tc>
          <w:tcPr>
            <w:tcW w:type="dxa" w:w="4759"/>
          </w:tcPr>
          <w:p>
            <w:r>
              <w:rPr>
                <w:rFonts w:ascii="Times New Roman" w:hAnsi="Times New Roman" w:eastAsia="Times New Roman"/>
                <w:sz w:val="17"/>
              </w:rPr>
              <w:t>RQ6</w:t>
            </w:r>
          </w:p>
        </w:tc>
        <w:tc>
          <w:tcPr>
            <w:tcW w:type="dxa" w:w="4759"/>
          </w:tcPr>
          <w:p>
            <w:r>
              <w:rPr>
                <w:rFonts w:ascii="Times New Roman" w:hAnsi="Times New Roman" w:eastAsia="Times New Roman"/>
                <w:sz w:val="17"/>
              </w:rPr>
              <w:t>To what extent do the combined local and planned remote results support the final security, scalability, cost-efficiency, and production-readiness claims?</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6035040" cy="3760477"/>
            <wp:docPr id="2" name="Picture 2"/>
            <wp:cNvGraphicFramePr>
              <a:graphicFrameLocks noChangeAspect="1"/>
            </wp:cNvGraphicFramePr>
            <a:graphic>
              <a:graphicData uri="http://schemas.openxmlformats.org/drawingml/2006/picture">
                <pic:pic>
                  <pic:nvPicPr>
                    <pic:cNvPr id="2" name="research_questions_mapping.png"/>
                    <pic:cNvPicPr/>
                  </pic:nvPicPr>
                  <pic:blipFill>
                    <a:blip r:embed="rId15"/>
                    <a:stretch>
                      <a:fillRect/>
                    </a:stretch>
                  </pic:blipFill>
                  <pic:spPr>
                    <a:xfrm>
                      <a:off x="0" y="0"/>
                      <a:ext cx="6035040" cy="3760477"/>
                    </a:xfrm>
                    <a:prstGeom prst="rect"/>
                  </pic:spPr>
                </pic:pic>
              </a:graphicData>
            </a:graphic>
          </wp:inline>
        </w:drawing>
      </w:r>
    </w:p>
    <w:p>
      <w:pPr>
        <w:pStyle w:val="AcademicCaption"/>
      </w:pPr>
      <w:r>
        <w:rPr>
          <w:rFonts w:ascii="Times New Roman" w:hAnsi="Times New Roman" w:eastAsia="Times New Roman"/>
        </w:rPr>
        <w:t>Figure 2. Mapping of the research aim and questions to the integrated evidence framework.</w:t>
      </w:r>
    </w:p>
    <w:p>
      <w:pPr>
        <w:pStyle w:val="Heading2"/>
      </w:pPr>
      <w:r>
        <w:rPr>
          <w:rFonts w:ascii="Times New Roman" w:hAnsi="Times New Roman" w:eastAsia="Times New Roman"/>
        </w:rPr>
        <w:t>6. Research Scope</w:t>
      </w:r>
    </w:p>
    <w:p>
      <w:pPr>
        <w:pStyle w:val="Heading3"/>
      </w:pPr>
      <w:r>
        <w:rPr>
          <w:rFonts w:ascii="Times New Roman" w:hAnsi="Times New Roman" w:eastAsia="Times New Roman"/>
        </w:rPr>
        <w:t>6.1 Included scope</w:t>
      </w:r>
    </w:p>
    <w:p>
      <w:pPr>
        <w:pStyle w:val="ListBullet"/>
      </w:pPr>
      <w:r>
        <w:rPr>
          <w:rFonts w:ascii="Times New Roman" w:hAnsi="Times New Roman" w:eastAsia="Times New Roman"/>
        </w:rPr>
        <w:t>Backend development using FastAPI and Python.</w:t>
      </w:r>
    </w:p>
    <w:p>
      <w:pPr>
        <w:pStyle w:val="ListBullet"/>
      </w:pPr>
      <w:r>
        <w:rPr>
          <w:rFonts w:ascii="Times New Roman" w:hAnsi="Times New Roman" w:eastAsia="Times New Roman"/>
        </w:rPr>
        <w:t>PostgreSQL models and Alembic migrations for clinical, security, and audit data.</w:t>
      </w:r>
    </w:p>
    <w:p>
      <w:pPr>
        <w:pStyle w:val="ListBullet"/>
      </w:pPr>
      <w:r>
        <w:rPr>
          <w:rFonts w:ascii="Times New Roman" w:hAnsi="Times New Roman" w:eastAsia="Times New Roman"/>
        </w:rPr>
        <w:t>MinIO integration for private diagnostic-report objects.</w:t>
      </w:r>
    </w:p>
    <w:p>
      <w:pPr>
        <w:pStyle w:val="ListBullet"/>
      </w:pPr>
      <w:r>
        <w:rPr>
          <w:rFonts w:ascii="Times New Roman" w:hAnsi="Times New Roman" w:eastAsia="Times New Roman"/>
        </w:rPr>
        <w:t>JWT-based authentication and six-role RBAC.</w:t>
      </w:r>
    </w:p>
    <w:p>
      <w:pPr>
        <w:pStyle w:val="ListBullet"/>
      </w:pPr>
      <w:r>
        <w:rPr>
          <w:rFonts w:ascii="Times New Roman" w:hAnsi="Times New Roman" w:eastAsia="Times New Roman"/>
        </w:rPr>
        <w:t>Audit recording for authentication, authorization, clinical access, report upload, and report download.</w:t>
      </w:r>
    </w:p>
    <w:p>
      <w:pPr>
        <w:pStyle w:val="ListBullet"/>
      </w:pPr>
      <w:r>
        <w:rPr>
          <w:rFonts w:ascii="Times New Roman" w:hAnsi="Times New Roman" w:eastAsia="Times New Roman"/>
        </w:rPr>
        <w:t>Native REST APIs and selected FHIR-inspired read and search resources.</w:t>
      </w:r>
    </w:p>
    <w:p>
      <w:pPr>
        <w:pStyle w:val="ListBullet"/>
      </w:pPr>
      <w:r>
        <w:rPr>
          <w:rFonts w:ascii="Times New Roman" w:hAnsi="Times New Roman" w:eastAsia="Times New Roman"/>
        </w:rPr>
        <w:t>Synthea CSV ingestion for patients, encounters, observations, and medications.</w:t>
      </w:r>
    </w:p>
    <w:p>
      <w:pPr>
        <w:pStyle w:val="ListBullet"/>
      </w:pPr>
      <w:r>
        <w:rPr>
          <w:rFonts w:ascii="Times New Roman" w:hAnsi="Times New Roman" w:eastAsia="Times New Roman"/>
        </w:rPr>
        <w:t>Docker Compose deployment with Nginx, backend, PostgreSQL, and MinIO.</w:t>
      </w:r>
    </w:p>
    <w:p>
      <w:pPr>
        <w:pStyle w:val="ListBullet"/>
      </w:pPr>
      <w:r>
        <w:rPr>
          <w:rFonts w:ascii="Times New Roman" w:hAnsi="Times New Roman" w:eastAsia="Times New Roman"/>
        </w:rPr>
        <w:t>Functional security, storage, recovery, and Locust-based load validation.</w:t>
      </w:r>
    </w:p>
    <w:p>
      <w:pPr>
        <w:pStyle w:val="Heading3"/>
      </w:pPr>
      <w:r>
        <w:rPr>
          <w:rFonts w:ascii="Times New Roman" w:hAnsi="Times New Roman" w:eastAsia="Times New Roman"/>
        </w:rPr>
        <w:t>6.2 Planned remote phase and excluded scope</w:t>
      </w:r>
    </w:p>
    <w:p>
      <w:pPr>
        <w:pStyle w:val="ListBullet"/>
      </w:pPr>
      <w:r>
        <w:rPr>
          <w:rFonts w:ascii="Times New Roman" w:hAnsi="Times New Roman" w:eastAsia="Times New Roman"/>
        </w:rPr>
        <w:t>Full HL7 FHIR conformance certification.</w:t>
      </w:r>
    </w:p>
    <w:p>
      <w:pPr>
        <w:pStyle w:val="ListBullet"/>
      </w:pPr>
      <w:r>
        <w:rPr>
          <w:rFonts w:ascii="Times New Roman" w:hAnsi="Times New Roman" w:eastAsia="Times New Roman"/>
        </w:rPr>
        <w:t>Use of identifiable real-patient data.</w:t>
      </w:r>
    </w:p>
    <w:p>
      <w:pPr>
        <w:pStyle w:val="ListBullet"/>
      </w:pPr>
      <w:r>
        <w:rPr>
          <w:rFonts w:ascii="Times New Roman" w:hAnsi="Times New Roman" w:eastAsia="Times New Roman"/>
        </w:rPr>
        <w:t>Clinical decision support or medical diagnosis.</w:t>
      </w:r>
    </w:p>
    <w:p>
      <w:pPr>
        <w:pStyle w:val="ListBullet"/>
      </w:pPr>
      <w:r>
        <w:rPr>
          <w:rFonts w:ascii="Times New Roman" w:hAnsi="Times New Roman" w:eastAsia="Times New Roman"/>
        </w:rPr>
        <w:t>Remote deployment on the UESTC VM is included in the planned experimental methodology and remains pending only because access has not yet been granted.</w:t>
      </w:r>
    </w:p>
    <w:p>
      <w:pPr>
        <w:pStyle w:val="ListBullet"/>
      </w:pPr>
      <w:r>
        <w:rPr>
          <w:rFonts w:ascii="Times New Roman" w:hAnsi="Times New Roman" w:eastAsia="Times New Roman"/>
        </w:rPr>
        <w:t>High-availability clustering and multi-region failover.</w:t>
      </w:r>
    </w:p>
    <w:p>
      <w:pPr>
        <w:pStyle w:val="ListBullet"/>
      </w:pPr>
      <w:r>
        <w:rPr>
          <w:rFonts w:ascii="Times New Roman" w:hAnsi="Times New Roman" w:eastAsia="Times New Roman"/>
        </w:rPr>
        <w:t>Formal certification against a healthcare regulation.</w:t>
      </w:r>
    </w:p>
    <w:p>
      <w:pPr>
        <w:pStyle w:val="ListBullet"/>
      </w:pPr>
      <w:r>
        <w:rPr>
          <w:rFonts w:ascii="Times New Roman" w:hAnsi="Times New Roman" w:eastAsia="Times New Roman"/>
        </w:rPr>
        <w:t>The final monetary cost-effectiveness result is part of the planned remote phase and will use verified infrastructure prices, measured utilization, and realistic workload assumptions.</w:t>
      </w:r>
    </w:p>
    <w:p>
      <w:pPr>
        <w:pStyle w:val="Heading2"/>
      </w:pPr>
      <w:r>
        <w:rPr>
          <w:rFonts w:ascii="Times New Roman" w:hAnsi="Times New Roman" w:eastAsia="Times New Roman"/>
        </w:rPr>
        <w:t>7. Methodological Overview</w:t>
      </w:r>
    </w:p>
    <w:p>
      <w:pPr/>
      <w:r>
        <w:rPr>
          <w:rFonts w:ascii="Times New Roman" w:hAnsi="Times New Roman" w:eastAsia="Times New Roman"/>
        </w:rPr>
        <w:t>The research follows a two-phase design, implementation, and empirical validation approach. Platform requirements were first translated into modular software and deployment components suitable for a modest single-VM environment. Healthcare models, endpoints, security dependencies, ingestion utilities, storage operations, recovery procedures, and cost-aware deployment choices were then implemented. Phase I, the completed local validation phase, used synthetic data and executable scripts to evaluate security, storage integrity, recovery, and authenticated load performance. Phase II, the planned remote validation phase, will deploy the same tagged release on the UESTC VM and repeat the evaluation under controlled CPU and memory allocations, including endurance, synchronized resource monitoring, remote recovery, RPO/RTO, and verified monthly-cost measurements. Phase II is pending because the institutional VM has not yet been provided.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Methodological stage</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Application in this research</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Architecture design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Define services, modules, data domains, security boundaries and deployment topology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Implementation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Develop FastAPI, SQLAlchemy, Alembic, MinIO, Nginx and Docker components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Data preparation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Validate and import Synthea CSV datasets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Functional validation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Test authentication, RBAC, audit, clinical operations and object lifecycle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Recovery validation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Create and restore PostgreSQL and MinIO backups into isolated temporary targets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Performance validation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Run authenticated Locust workloads at 10, 50, 100 and 200 users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Evidence consolidation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Preserve CSV results, summaries, figures, status matrices and thesis chapters</w:t>
            </w:r>
          </w:p>
        </w:tc>
      </w:tr>
      <w:tr>
        <w:tc>
          <w:tcPr>
            <w:tcW w:type="dxa" w:w="4759"/>
          </w:tcPr>
          <w:p>
            <w:r>
              <w:rPr>
                <w:rFonts w:ascii="Times New Roman" w:hAnsi="Times New Roman" w:eastAsia="Times New Roman"/>
                <w:sz w:val="17"/>
              </w:rPr>
              <w:t>Resource and cost analysis</w:t>
            </w:r>
          </w:p>
        </w:tc>
        <w:tc>
          <w:tcPr>
            <w:tcW w:type="dxa" w:w="4759"/>
          </w:tcPr>
          <w:p>
            <w:r>
              <w:rPr>
                <w:rFonts w:ascii="Times New Roman" w:hAnsi="Times New Roman" w:eastAsia="Times New Roman"/>
                <w:sz w:val="17"/>
              </w:rPr>
              <w:t>Interpret measured container resources, define cost per million successful requests, and separate cost-efficient design evidence from unverified monetary assumptions</w:t>
            </w:r>
          </w:p>
        </w:tc>
      </w:tr>
    </w:tbl>
    <w:p/>
    <w:p>
      <w:pPr/>
      <w:r>
        <w:rPr>
          <w:rFonts w:ascii="Times New Roman" w:hAnsi="Times New Roman" w:eastAsia="Times New Roman"/>
        </w:rPr>
        <w:t>Phase I status: completed. The local Docker environment passed the security, storage, recovery, and optimized 200-user validation matrix.</w:t>
      </w:r>
    </w:p>
    <w:p>
      <w:pPr/>
      <w:r>
        <w:rPr>
          <w:rFonts w:ascii="Times New Roman" w:hAnsi="Times New Roman" w:eastAsia="Times New Roman"/>
        </w:rPr>
        <w:t>Phase II status: planned and pending external access. The UESTC VM validation is part of the thesis methodology, not an optional future extension.</w:t>
      </w:r>
    </w:p>
    <w:p>
      <w:pPr>
        <w:pStyle w:val="Heading3"/>
      </w:pPr>
      <w:r>
        <w:rPr>
          <w:rFonts w:ascii="Times New Roman" w:hAnsi="Times New Roman" w:eastAsia="Times New Roman"/>
        </w:rPr>
        <w:t>7.1 Experimental phase status</w:t>
      </w:r>
    </w:p>
    <w:p>
      <w:pPr>
        <w:pStyle w:val="Heading2"/>
      </w:pPr>
      <w:r>
        <w:rPr>
          <w:rFonts w:ascii="Times New Roman" w:hAnsi="Times New Roman" w:eastAsia="Times New Roman"/>
        </w:rPr>
        <w:t>8. Significance of the Research</w:t>
      </w:r>
    </w:p>
    <w:p>
      <w:pPr/>
      <w:r>
        <w:rPr>
          <w:rFonts w:ascii="Times New Roman" w:hAnsi="Times New Roman" w:eastAsia="Times New Roman"/>
        </w:rPr>
        <w:t>The research is significant in four respects. First, it provides an integrated open-source implementation rather than a purely conceptual architecture. Second, it links security, structured data, object storage, bounded interoperability, recovery, and performance within the same measured system. Third, it preserves negative and positive experimental evidence, particularly the initial failed 200-user scenario and the optimized zero-failure result. Fourth, it evaluates a compact single-host architecture intended for institutions with limited computing capacity, infrastructure budgets, and specialist administration.</w:t>
      </w:r>
    </w:p>
    <w:p>
      <w:pPr/>
      <w:r>
        <w:rPr>
          <w:rFonts w:ascii="Times New Roman" w:hAnsi="Times New Roman" w:eastAsia="Times New Roman"/>
        </w:rPr>
        <w:t>The contribution is deliberately bounded. The platform is a validated local production-like system and a cloud-ready prototype designed for resource-constrained deployment. Cost efficiency is supported at the architectural level through open-source components, compact service composition, and avoidance of proprietary licensing, while complete monetary cost-effectiveness remains dependent on verified remote prices and utilization data.</w:t>
      </w:r>
    </w:p>
    <w:p>
      <w:pPr>
        <w:pStyle w:val="Heading2"/>
      </w:pPr>
      <w:r>
        <w:rPr>
          <w:rFonts w:ascii="Times New Roman" w:hAnsi="Times New Roman" w:eastAsia="Times New Roman"/>
        </w:rPr>
        <w:t>9. Thesis Organization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Chapter</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Title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Purpose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General Introduction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Research context, problem, aim, objectives, questions, scope and methodology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Literature Review and Related Work</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Cloud healthcare, security, interoperability, synthetic data, deployment, resilience and research gap</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System Design and Implementation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Architecture and implementation modules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4</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Security Architecture and Validation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Authentication, RBAC, auditability and HTTP security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5</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Healthcare Data Model, FHIR Interoperability and Synthea Ingestion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Clinical schema, hybrid storage and data ingestion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6</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Performance, Scalability and Cost-Efficiency Evaluation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Load testing and resource interpretation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7</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Backup, Recovery and Data Resilience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and MinIO restoration evidence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8</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Cloud Deployment Architecture and Production Readiness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Local production stack and remote VM requirements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Integrated Validation Results and Discussion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Cross-domain interpretation and limitations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Chapter 10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General Conclusion, Contributions and Future Work</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Final synthesis and future research</w:t>
            </w:r>
          </w:p>
        </w:tc>
      </w:tr>
    </w:tbl>
    <w:p/>
    <w:p>
      <w:pPr>
        <w:pStyle w:val="Heading2"/>
      </w:pPr>
      <w:r>
        <w:rPr>
          <w:rFonts w:ascii="Times New Roman" w:hAnsi="Times New Roman" w:eastAsia="Times New Roman"/>
        </w:rPr>
        <w:t>10. Chapter Summary</w:t>
      </w:r>
    </w:p>
    <w:p>
      <w:r>
        <w:rPr>
          <w:rFonts w:ascii="Times New Roman" w:hAnsi="Times New Roman" w:eastAsia="Times New Roman"/>
        </w:rPr>
        <w:t>This chapter established the research problem and defined the aim, objectives, questions, scope, methodology, significance, and organization of the thesis. The next chapter reviews the literature and standards that motivate the platform architecture and identifies the gap addressed by the project.</w:t>
      </w:r>
    </w:p>
    <w:p>
      <w:pPr>
        <w:pStyle w:val="Heading1"/>
        <w:pageBreakBefore w:val="1"/>
        <w:keepNext/>
      </w:pPr>
      <w:r>
        <w:rPr>
          <w:rFonts w:ascii="Times New Roman" w:hAnsi="Times New Roman" w:eastAsia="Times New Roman"/>
        </w:rPr>
        <w:t>Chapter 2. Literature Review and Related Work</w:t>
      </w:r>
    </w:p>
    <w:p>
      <w:pPr>
        <w:pStyle w:val="Heading2"/>
      </w:pPr>
      <w:r>
        <w:rPr>
          <w:rFonts w:ascii="Times New Roman" w:hAnsi="Times New Roman" w:eastAsia="Times New Roman"/>
        </w:rPr>
        <w:t>1. Review Scope and Structure</w:t>
      </w:r>
    </w:p>
    <w:p>
      <w:pPr/>
      <w:r>
        <w:rPr>
          <w:rFonts w:ascii="Times New Roman" w:hAnsi="Times New Roman" w:eastAsia="Times New Roman"/>
        </w:rPr>
        <w:t>This chapter reviews the concepts, standards, and prior work that inform the Healthcare Cloud Platform. The review is thematic rather than a formal systematic review. It covers cloud computing in healthcare, resource-constrained deployment, cost-efficient system design, RESTful service architecture, authentication and role-based authorization, audit management, FHIR interoperability, synthetic healthcare data, containerization, hybrid persistence, contingency planning, and performance evaluation.</w:t>
      </w:r>
    </w:p>
    <w:p>
      <w:r>
        <w:rPr>
          <w:rFonts w:ascii="Times New Roman" w:hAnsi="Times New Roman" w:eastAsia="Times New Roman"/>
        </w:rPr>
        <w:t>The selected literature combines foundational models, official technical standards, primary research papers, and systematic reviews. The purpose is to establish the theoretical and engineering basis for the implemented platform and to position its integrated validation contribution.</w:t>
      </w:r>
    </w:p>
    <w:p>
      <w:pPr>
        <w:jc w:val="center"/>
      </w:pPr>
      <w:r>
        <w:rPr>
          <w:rFonts w:ascii="Times New Roman" w:hAnsi="Times New Roman" w:eastAsia="Times New Roman"/>
        </w:rPr>
        <w:drawing>
          <wp:inline xmlns:a="http://schemas.openxmlformats.org/drawingml/2006/main" xmlns:pic="http://schemas.openxmlformats.org/drawingml/2006/picture">
            <wp:extent cx="6217920" cy="4034325"/>
            <wp:docPr id="3" name="Picture 1"/>
            <wp:cNvGraphicFramePr>
              <a:graphicFrameLocks noChangeAspect="1"/>
            </wp:cNvGraphicFramePr>
            <a:graphic>
              <a:graphicData uri="http://schemas.openxmlformats.org/drawingml/2006/picture">
                <pic:pic>
                  <pic:nvPicPr>
                    <pic:cNvPr id="3" name="literature_concept_map.png"/>
                    <pic:cNvPicPr/>
                  </pic:nvPicPr>
                  <pic:blipFill>
                    <a:blip r:embed="rId16"/>
                    <a:stretch>
                      <a:fillRect/>
                    </a:stretch>
                  </pic:blipFill>
                  <pic:spPr>
                    <a:xfrm>
                      <a:off x="0" y="0"/>
                      <a:ext cx="6217920" cy="4034325"/>
                    </a:xfrm>
                    <a:prstGeom prst="rect"/>
                  </pic:spPr>
                </pic:pic>
              </a:graphicData>
            </a:graphic>
          </wp:inline>
        </w:drawing>
      </w:r>
    </w:p>
    <w:p>
      <w:pPr>
        <w:pStyle w:val="AcademicCaption"/>
      </w:pPr>
      <w:r>
        <w:rPr>
          <w:rFonts w:ascii="Times New Roman" w:hAnsi="Times New Roman" w:eastAsia="Times New Roman"/>
        </w:rPr>
        <w:t>Figure 1. Conceptual map of the literature domains relevant to the platform.</w:t>
      </w:r>
    </w:p>
    <w:p>
      <w:pPr>
        <w:pStyle w:val="Heading2"/>
      </w:pPr>
      <w:r>
        <w:rPr>
          <w:rFonts w:ascii="Times New Roman" w:hAnsi="Times New Roman" w:eastAsia="Times New Roman"/>
        </w:rPr>
        <w:t>2. Cloud Computing in Healthcare</w:t>
      </w:r>
    </w:p>
    <w:p>
      <w:r>
        <w:rPr>
          <w:rFonts w:ascii="Times New Roman" w:hAnsi="Times New Roman" w:eastAsia="Times New Roman"/>
        </w:rPr>
        <w:t>NIST defines cloud computing as on-demand access to a shared pool of configurable resources that can be rapidly provisioned and released [1]. This definition distinguishes essential characteristics, service models, and deployment models. For healthcare applications, cloud-oriented infrastructure can centralize maintenance, support distributed access, and permit resource scaling; however, its usefulness depends on trust, data governance, availability, and secure integration.</w:t>
      </w:r>
    </w:p>
    <w:p>
      <w:r>
        <w:rPr>
          <w:rFonts w:ascii="Times New Roman" w:hAnsi="Times New Roman" w:eastAsia="Times New Roman"/>
        </w:rPr>
        <w:t>Research on cloud-based electronic health records identifies accessibility, resource flexibility, reduced local infrastructure burden, and centralized data services as potential advantages [11]. At the same time, reviews of cloud computing in eHealth emphasize security, privacy, interoperability, and immature real-world evaluation as recurring challenges [13], [14]. These findings support an architecture that treats security and resilience as first-class design concerns rather than deployment additions.</w:t>
      </w:r>
    </w:p>
    <w:p>
      <w:r>
        <w:rPr>
          <w:rFonts w:ascii="Times New Roman" w:hAnsi="Times New Roman" w:eastAsia="Times New Roman"/>
        </w:rPr>
        <w:t>The present platform is containerized and designed for deployment on a virtual machine. This corresponds most closely to an infrastructure-oriented deployment model, because the application owner manages the operating system environment, containers, databases, storage, reverse proxy, and application services. The local Docker host is cloud-ready but does not become cloud infrastructure merely through virtualization.</w:t>
      </w:r>
    </w:p>
    <w:p>
      <w:pPr/>
      <w:r>
        <w:rPr>
          <w:rFonts w:ascii="Times New Roman" w:hAnsi="Times New Roman" w:eastAsia="Times New Roman"/>
        </w:rPr>
        <w:t>Cost-efficient design is broader than the purchase price of a server. It includes software licensing, deployment complexity, operational maintenance, resource utilization, backup requirements, and the relationship between successful workload volume and total cost. The present platform addresses these concerns through open-source components, containerized reproducibility, a single-host baseline, internal service networking, and an explicit cost-per-million-successful-requests methodology. A complete monetary conclusion remains dependent on verified deployment prices and realistic utilization data.</w:t>
      </w:r>
    </w:p>
    <w:p>
      <w:pPr/>
      <w:r>
        <w:rPr>
          <w:rFonts w:ascii="Times New Roman" w:hAnsi="Times New Roman" w:eastAsia="Times New Roman"/>
        </w:rPr>
        <w:t>In this thesis, resource-constrained environments are operationally defined as institutional settings with limited computing capacity, restricted infrastructure budgets, modest specialist administration, and a preference for technologies that can be deployed and maintained without proprietary licensing. This definition does not imply an absence of infrastructure; it describes a setting in which efficient use of a small virtual machine and simplified operations are important design constraints.</w:t>
      </w:r>
    </w:p>
    <w:p>
      <w:pPr>
        <w:pStyle w:val="Heading2"/>
      </w:pPr>
      <w:r>
        <w:rPr>
          <w:rFonts w:ascii="Times New Roman" w:hAnsi="Times New Roman" w:eastAsia="Times New Roman"/>
        </w:rPr>
        <w:t>2.1 Resource-Constrained Environments and Cost-Efficient Design</w:t>
      </w:r>
    </w:p>
    <w:p>
      <w:pPr>
        <w:pStyle w:val="Heading2"/>
      </w:pPr>
      <w:r>
        <w:rPr>
          <w:rFonts w:ascii="Times New Roman" w:hAnsi="Times New Roman" w:eastAsia="Times New Roman"/>
        </w:rPr>
        <w:t>3. RESTful APIs and Modular Service Architecture</w:t>
      </w:r>
    </w:p>
    <w:p>
      <w:r>
        <w:rPr>
          <w:rFonts w:ascii="Times New Roman" w:hAnsi="Times New Roman" w:eastAsia="Times New Roman"/>
        </w:rPr>
        <w:t>Fielding introduced REST as an architectural style for network-based software and emphasized constraints such as client-server separation, stateless interaction, cacheability, a uniform interface, layered systems, and optional code-on-demand [15]. Modern healthcare APIs often adopt HTTP, JSON, resource-oriented paths, and stateless authorization tokens, although not every JSON API satisfies the full REST architectural style.</w:t>
      </w:r>
    </w:p>
    <w:p>
      <w:r>
        <w:rPr>
          <w:rFonts w:ascii="Times New Roman" w:hAnsi="Times New Roman" w:eastAsia="Times New Roman"/>
        </w:rPr>
        <w:t>Modular service architecture supports separation of concerns between routing, authentication, authorization, business logic, persistence, validation, storage, and auditing. In the present project, FastAPI endpoints depend on separate security and database components, while domain operations are delegated to service modules. This structure improves testability and limits direct coupling between HTTP handling and persistence logic.</w:t>
      </w:r>
    </w:p>
    <w:p>
      <w:r>
        <w:rPr>
          <w:rFonts w:ascii="Times New Roman" w:hAnsi="Times New Roman" w:eastAsia="Times New Roman"/>
        </w:rPr>
        <w:t>API exposure introduces distinct security risks. The OWASP API Security Top 10 highlights recurring categories such as broken object-level authorization, broken authentication, unrestricted resource consumption, security misconfiguration, and unsafe API consumption [16]. These concerns justify explicit authorization on patient, report, prescription, and FHIR-oriented endpoints, together with bounded pagination and upload size.</w:t>
      </w:r>
    </w:p>
    <w:p>
      <w:pPr>
        <w:pStyle w:val="Heading2"/>
      </w:pPr>
      <w:r>
        <w:rPr>
          <w:rFonts w:ascii="Times New Roman" w:hAnsi="Times New Roman" w:eastAsia="Times New Roman"/>
        </w:rPr>
        <w:t>4. Authentication, JWT and Role-Based Access Control</w:t>
      </w:r>
    </w:p>
    <w:p>
      <w:pPr>
        <w:pStyle w:val="Heading3"/>
      </w:pPr>
      <w:r>
        <w:rPr>
          <w:rFonts w:ascii="Times New Roman" w:hAnsi="Times New Roman" w:eastAsia="Times New Roman"/>
        </w:rPr>
        <w:t>4.1 JWT authentication</w:t>
      </w:r>
    </w:p>
    <w:p>
      <w:r>
        <w:rPr>
          <w:rFonts w:ascii="Times New Roman" w:hAnsi="Times New Roman" w:eastAsia="Times New Roman"/>
        </w:rPr>
        <w:t>RFC 7519 defines JWT as a compact, URL-safe representation of claims that may be signed, integrity-protected, or encrypted [7]. JWTs are widely used in HTTP authorization workflows because they can convey subject, issue time, expiration, and application-specific claims without requiring a server-side session object for every request.</w:t>
      </w:r>
    </w:p>
    <w:p>
      <w:r>
        <w:rPr>
          <w:rFonts w:ascii="Times New Roman" w:hAnsi="Times New Roman" w:eastAsia="Times New Roman"/>
        </w:rPr>
        <w:t>JWT alone does not define user authorization policy. Token validation must verify the expected algorithm, signature, expiration, and subject semantics. Applications must also resolve the current user and account state. The platform therefore combines token decoding with database-backed active-user checks.</w:t>
      </w:r>
    </w:p>
    <w:p>
      <w:pPr>
        <w:pStyle w:val="Heading3"/>
      </w:pPr>
      <w:r>
        <w:rPr>
          <w:rFonts w:ascii="Times New Roman" w:hAnsi="Times New Roman" w:eastAsia="Times New Roman"/>
        </w:rPr>
        <w:t>4.2 Role-based access control</w:t>
      </w:r>
    </w:p>
    <w:p>
      <w:r>
        <w:rPr>
          <w:rFonts w:ascii="Times New Roman" w:hAnsi="Times New Roman" w:eastAsia="Times New Roman"/>
        </w:rPr>
        <w:t>Sandhu et al. formalized a family of RBAC reference models in which permissions are associated with roles and users are assigned to appropriate roles [6]. The central administrative advantage is that permissions can be managed around organizational functions rather than maintained separately for each user.</w:t>
      </w:r>
    </w:p>
    <w:p>
      <w:r>
        <w:rPr>
          <w:rFonts w:ascii="Times New Roman" w:hAnsi="Times New Roman" w:eastAsia="Times New Roman"/>
        </w:rPr>
        <w:t>Healthcare organizations naturally contain function-specific roles such as physician, nurse, pharmacist, laboratory staff, data manager, and administrator. RBAC can therefore reflect competency, responsibility, and duty assignment. The platform applies explicit role sets to clinical creation, reading, updating, report upload, report download, prescription, and FHIR-oriented operations.</w:t>
      </w:r>
    </w:p>
    <w:p>
      <w:r>
        <w:rPr>
          <w:rFonts w:ascii="Times New Roman" w:hAnsi="Times New Roman" w:eastAsia="Times New Roman"/>
        </w:rPr>
        <w:t>RBAC is not automatically equivalent to least privilege. Roles must be reviewed, excessive permissions must be removed, and sensitive operations may require additional contextual constraints. The current implementation uses a direct role-permission matrix and does not implement role hierarchies, dynamic attributes, or separation-of-duty constraints.</w:t>
      </w:r>
    </w:p>
    <w:p>
      <w:pPr>
        <w:pStyle w:val="Heading2"/>
      </w:pPr>
      <w:r>
        <w:rPr>
          <w:rFonts w:ascii="Times New Roman" w:hAnsi="Times New Roman" w:eastAsia="Times New Roman"/>
        </w:rPr>
        <w:t>5. Audit Logging and Accountability</w:t>
      </w:r>
    </w:p>
    <w:p>
      <w:r>
        <w:rPr>
          <w:rFonts w:ascii="Times New Roman" w:hAnsi="Times New Roman" w:eastAsia="Times New Roman"/>
        </w:rPr>
        <w:t>NIST SP 800-92 describes log management as the development, implementation, and maintenance of processes and infrastructure for security logging [8]. Effective audit systems must address event generation, collection, storage, analysis, retention, and disposal.</w:t>
      </w:r>
    </w:p>
    <w:p>
      <w:r>
        <w:rPr>
          <w:rFonts w:ascii="Times New Roman" w:hAnsi="Times New Roman" w:eastAsia="Times New Roman"/>
        </w:rPr>
        <w:t>In healthcare-data systems, logs support accountability for authentication, authorization, record access, uploads, downloads, and administrative actions. The platform records actor, action, resource, outcome, HTTP method, endpoint, address, user agent, details, and timestamp.</w:t>
      </w:r>
    </w:p>
    <w:p>
      <w:r>
        <w:rPr>
          <w:rFonts w:ascii="Times New Roman" w:hAnsi="Times New Roman" w:eastAsia="Times New Roman"/>
        </w:rPr>
        <w:t>Application-level logging has limitations. A database model described as immutable is not necessarily protected against update or deletion unless database permissions, append-only mechanisms, triggers, or external log replication enforce that property. Centralized monitoring and retention policies remain future work.</w:t>
      </w:r>
    </w:p>
    <w:p>
      <w:pPr>
        <w:pStyle w:val="Heading2"/>
      </w:pPr>
      <w:r>
        <w:rPr>
          <w:rFonts w:ascii="Times New Roman" w:hAnsi="Times New Roman" w:eastAsia="Times New Roman"/>
        </w:rPr>
        <w:t>6. Healthcare Interoperability and FHIR</w:t>
      </w:r>
    </w:p>
    <w:p>
      <w:r>
        <w:rPr>
          <w:rFonts w:ascii="Times New Roman" w:hAnsi="Times New Roman" w:eastAsia="Times New Roman"/>
        </w:rPr>
        <w:t>FHIR is an HL7 standard for healthcare data exchange [2]. Release 4 includes resources, REST interactions, search, terminology, profiling, capability statements, implementation guides, security, consent, provenance, and audit-related artifacts. Its resource-oriented and web-compatible design makes it suitable for modern APIs.</w:t>
      </w:r>
    </w:p>
    <w:p>
      <w:r>
        <w:rPr>
          <w:rFonts w:ascii="Times New Roman" w:hAnsi="Times New Roman" w:eastAsia="Times New Roman"/>
        </w:rPr>
        <w:t>Bender and Sartipi presented FHIR as an agile and RESTful approach to healthcare exchange [3]. SMART on FHIR demonstrated how standards-based application platforms can connect substitutable applications to electronic health-record data [4]. Later reviews show broad interest in FHIR implementations while also identifying challenges in profiles, terminology, semantic consistency, integration, and implementation maturity [12].</w:t>
      </w:r>
    </w:p>
    <w:p>
      <w:r>
        <w:rPr>
          <w:rFonts w:ascii="Times New Roman" w:hAnsi="Times New Roman" w:eastAsia="Times New Roman"/>
        </w:rPr>
        <w:t>A conformant FHIR server requires more than fields named after FHIR resources. It must identify the FHIR release, respect resource definitions and cardinalities, implement search and Bundle semantics correctly, expose capability metadata, apply profiles where needed, and support appropriate terminology. The current project therefore uses the term FHIR-inspired for its selected Patient, Encounter, Observation, MedicationRequest, and Condition mappings.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FHIR concern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Project status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Interpretation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Resource-oriented JSON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Implemented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Selected resourceType-based responses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Read and search interactions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Partially implemented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 Observation and Condition searches; selected reads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CapabilityStatement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Minimal</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Software and JSON format only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Profiles and implementation guides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Not demonstrated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Future interoperability work</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Terminology validation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Not demonstrated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Codes stored but not validated against terminology services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Full Bundle semantics and pagination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Partial</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Some totals and links require refinement</w:t>
            </w:r>
          </w:p>
        </w:tc>
      </w:tr>
    </w:tbl>
    <w:p/>
    <w:p>
      <w:pPr>
        <w:pStyle w:val="Heading2"/>
      </w:pPr>
      <w:r>
        <w:rPr>
          <w:rFonts w:ascii="Times New Roman" w:hAnsi="Times New Roman" w:eastAsia="Times New Roman"/>
        </w:rPr>
        <w:t>7. Synthetic Healthcare Data and Synthea</w:t>
      </w:r>
    </w:p>
    <w:p>
      <w:r>
        <w:rPr>
          <w:rFonts w:ascii="Times New Roman" w:hAnsi="Times New Roman" w:eastAsia="Times New Roman"/>
        </w:rPr>
        <w:t>Access to real electronic health records is constrained by privacy, consent, legal, security, and intellectual-property concerns. Walonoski et al. developed Synthea as an open-source simulator of synthetic patient lifespans and health records [5]. The published system generates records in standard formats and is intended for research, education, innovation, and software testing.</w:t>
      </w:r>
    </w:p>
    <w:p>
      <w:r>
        <w:rPr>
          <w:rFonts w:ascii="Times New Roman" w:hAnsi="Times New Roman" w:eastAsia="Times New Roman"/>
        </w:rPr>
        <w:t>Synthetic data support reproducible development without exposing real patient identities. They are especially useful for validating database schemas, API behavior, import pipelines, search, pagination, and load generation. They do not prove clinical validity and should not be treated as substitutes for real-world clinical evidence.</w:t>
      </w:r>
    </w:p>
    <w:p>
      <w:r>
        <w:rPr>
          <w:rFonts w:ascii="Times New Roman" w:hAnsi="Times New Roman" w:eastAsia="Times New Roman"/>
        </w:rPr>
        <w:t>The platform imports Synthea patients, encounters, observations, and medications. Source-system and external-identifier fields support repeatable create-or-update behavior. Deterministic hashes are used when source rows lack a single stable identifier.</w:t>
      </w:r>
    </w:p>
    <w:p>
      <w:pPr>
        <w:pStyle w:val="Heading2"/>
      </w:pPr>
      <w:r>
        <w:rPr>
          <w:rFonts w:ascii="Times New Roman" w:hAnsi="Times New Roman" w:eastAsia="Times New Roman"/>
        </w:rPr>
        <w:t>8. Containerization and Cloud-Native Deployment</w:t>
      </w:r>
    </w:p>
    <w:p>
      <w:r>
        <w:rPr>
          <w:rFonts w:ascii="Times New Roman" w:hAnsi="Times New Roman" w:eastAsia="Times New Roman"/>
        </w:rPr>
        <w:t>Docker packages applications and their dependencies into portable, isolated containers [10]. Compared with a manually configured host, containerized deployment improves environmental consistency and supports reproducible development, testing, and release workflows.</w:t>
      </w:r>
    </w:p>
    <w:p>
      <w:r>
        <w:rPr>
          <w:rFonts w:ascii="Times New Roman" w:hAnsi="Times New Roman" w:eastAsia="Times New Roman"/>
        </w:rPr>
        <w:t>Containerization does not by itself provide high availability, security, backup, monitoring, or cloud elasticity. These properties depend on network design, image management, secret handling, health checks, persistent storage, orchestration, and operational controls.</w:t>
      </w:r>
    </w:p>
    <w:p>
      <w:r>
        <w:rPr>
          <w:rFonts w:ascii="Times New Roman" w:hAnsi="Times New Roman" w:eastAsia="Times New Roman"/>
        </w:rPr>
        <w:t>The platform uses four services: Nginx, FastAPI, PostgreSQL, and MinIO. Network segmentation keeps the database and object store internal. Named volumes preserve data across ordinary container recreation, while separate backup tests address logical recovery.</w:t>
      </w:r>
    </w:p>
    <w:p>
      <w:pPr>
        <w:pStyle w:val="Heading2"/>
      </w:pPr>
      <w:r>
        <w:rPr>
          <w:rFonts w:ascii="Times New Roman" w:hAnsi="Times New Roman" w:eastAsia="Times New Roman"/>
        </w:rPr>
        <w:t>9. Relational Data and Object Storage</w:t>
      </w:r>
    </w:p>
    <w:p>
      <w:r>
        <w:rPr>
          <w:rFonts w:ascii="Times New Roman" w:hAnsi="Times New Roman" w:eastAsia="Times New Roman"/>
        </w:rPr>
        <w:t>Healthcare platforms commonly combine structured and unstructured data. Relational databases are appropriate for normalized patient, encounter, observation, prescription, user, role, and audit records because foreign keys, constraints, indexes, and transactions support integrity and queryability.</w:t>
      </w:r>
    </w:p>
    <w:p>
      <w:r>
        <w:rPr>
          <w:rFonts w:ascii="Times New Roman" w:hAnsi="Times New Roman" w:eastAsia="Times New Roman"/>
        </w:rPr>
        <w:t>Binary diagnostic reports are better represented as objects than as large database fields in many application architectures. Object storage separates byte persistence from relational metadata and permits the application to record bucket, object key, content type, file size, checksum, uploader, patient, and encounter references.</w:t>
      </w:r>
    </w:p>
    <w:p>
      <w:r>
        <w:rPr>
          <w:rFonts w:ascii="Times New Roman" w:hAnsi="Times New Roman" w:eastAsia="Times New Roman"/>
        </w:rPr>
        <w:t>This hybrid design introduces a consistency problem: an object upload may succeed while metadata persistence fails, or metadata may remain after object deletion. The project addresses this through service-level sequencing, compensating object deletion, uniqueness constraints, and checksum validation during download.</w:t>
      </w:r>
    </w:p>
    <w:p>
      <w:pPr>
        <w:pStyle w:val="Heading2"/>
      </w:pPr>
      <w:r>
        <w:rPr>
          <w:rFonts w:ascii="Times New Roman" w:hAnsi="Times New Roman" w:eastAsia="Times New Roman"/>
        </w:rPr>
        <w:t>10. Backup, Recovery and Resilience</w:t>
      </w:r>
    </w:p>
    <w:p>
      <w:r>
        <w:rPr>
          <w:rFonts w:ascii="Times New Roman" w:hAnsi="Times New Roman" w:eastAsia="Times New Roman"/>
        </w:rPr>
        <w:t>NIST SP 800-34 treats contingency planning as part of organizational resilience and system lifecycle management [9]. Recovery planning requires identification of priorities, backup procedures, restoration processes, testing, and operational responsibilities.</w:t>
      </w:r>
    </w:p>
    <w:p>
      <w:r>
        <w:rPr>
          <w:rFonts w:ascii="Times New Roman" w:hAnsi="Times New Roman" w:eastAsia="Times New Roman"/>
        </w:rPr>
        <w:t>Backup creation is insufficient evidence of recoverability. A usable validation process must restore data into an isolated target and compare the restored state with the source. The platform restores a PostgreSQL archive into a temporary database and MinIO objects into a temporary bucket, then verifies structure, row counts, object counts, sizes, and checksums.</w:t>
      </w:r>
    </w:p>
    <w:p>
      <w:r>
        <w:rPr>
          <w:rFonts w:ascii="Times New Roman" w:hAnsi="Times New Roman" w:eastAsia="Times New Roman"/>
        </w:rPr>
        <w:t>The current recovery design remains local. It does not demonstrate encrypted off-site retention, recovery from total host loss, point-in-time database recovery, or measured recovery objectives. These limitations are consistent with the distinction between functional backup validation and complete disaster-recovery capability.</w:t>
      </w:r>
    </w:p>
    <w:p>
      <w:pPr>
        <w:pStyle w:val="Heading2"/>
      </w:pPr>
      <w:r>
        <w:rPr>
          <w:rFonts w:ascii="Times New Roman" w:hAnsi="Times New Roman" w:eastAsia="Times New Roman"/>
        </w:rPr>
        <w:t>11. Performance and Scalability Evaluation</w:t>
      </w:r>
    </w:p>
    <w:p>
      <w:r>
        <w:rPr>
          <w:rFonts w:ascii="Times New Roman" w:hAnsi="Times New Roman" w:eastAsia="Times New Roman"/>
        </w:rPr>
        <w:t>Performance evaluation of API platforms should report concurrency, request volume, failure rate, throughput, and latency distribution. Mean latency alone can hide long-tail behavior; percentiles such as P95 and P99 provide additional information about slower requests.</w:t>
      </w:r>
    </w:p>
    <w:p>
      <w:r>
        <w:rPr>
          <w:rFonts w:ascii="Times New Roman" w:hAnsi="Times New Roman" w:eastAsia="Times New Roman"/>
        </w:rPr>
        <w:t>Scalability is not demonstrated by a single maximum-load result. A useful evaluation includes multiple load levels, preserves failed scenarios, identifies bottlenecks, applies remediation, and repeats the workload. The platform's initial 200-user test exposed a severe failure condition, while the optimized test achieved zero failures and substantially improved throughput and latency.</w:t>
      </w:r>
    </w:p>
    <w:p>
      <w:r>
        <w:rPr>
          <w:rFonts w:ascii="Times New Roman" w:hAnsi="Times New Roman" w:eastAsia="Times New Roman"/>
        </w:rPr>
        <w:t>The result remains bounded by the workload, host, test duration, database state, and request mix. It cannot be generalized automatically to the future institutional VM or to write-heavy clinical workloads.</w:t>
      </w:r>
    </w:p>
    <w:p>
      <w:pPr>
        <w:jc w:val="center"/>
      </w:pPr>
      <w:r>
        <w:rPr>
          <w:rFonts w:ascii="Times New Roman" w:hAnsi="Times New Roman" w:eastAsia="Times New Roman"/>
        </w:rPr>
        <w:drawing>
          <wp:inline xmlns:a="http://schemas.openxmlformats.org/drawingml/2006/main" xmlns:pic="http://schemas.openxmlformats.org/drawingml/2006/picture">
            <wp:extent cx="6126480" cy="4067302"/>
            <wp:docPr id="4" name="Picture 2"/>
            <wp:cNvGraphicFramePr>
              <a:graphicFrameLocks noChangeAspect="1"/>
            </wp:cNvGraphicFramePr>
            <a:graphic>
              <a:graphicData uri="http://schemas.openxmlformats.org/drawingml/2006/picture">
                <pic:pic>
                  <pic:nvPicPr>
                    <pic:cNvPr id="4" name="layered_literature_synthesis.png"/>
                    <pic:cNvPicPr/>
                  </pic:nvPicPr>
                  <pic:blipFill>
                    <a:blip r:embed="rId17"/>
                    <a:stretch>
                      <a:fillRect/>
                    </a:stretch>
                  </pic:blipFill>
                  <pic:spPr>
                    <a:xfrm>
                      <a:off x="0" y="0"/>
                      <a:ext cx="6126480" cy="4067302"/>
                    </a:xfrm>
                    <a:prstGeom prst="rect"/>
                  </pic:spPr>
                </pic:pic>
              </a:graphicData>
            </a:graphic>
          </wp:inline>
        </w:drawing>
      </w:r>
    </w:p>
    <w:p>
      <w:pPr>
        <w:pStyle w:val="AcademicCaption"/>
      </w:pPr>
      <w:r>
        <w:rPr>
          <w:rFonts w:ascii="Times New Roman" w:hAnsi="Times New Roman" w:eastAsia="Times New Roman"/>
        </w:rPr>
        <w:t>Figure 2. Layered synthesis of literature-derived concerns and their mapping to the implemented platform.</w:t>
      </w:r>
    </w:p>
    <w:p>
      <w:pPr>
        <w:pStyle w:val="Heading2"/>
      </w:pPr>
      <w:r>
        <w:rPr>
          <w:rFonts w:ascii="Times New Roman" w:hAnsi="Times New Roman" w:eastAsia="Times New Roman"/>
        </w:rPr>
        <w:t>12. Comparative Synthesis of Related Work</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Literature stream</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Primary contribution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Remaining issue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Cloud-eHealth studies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Cloud benefits, architecture, privacy and deployment challenges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Often conceptual or limited real-world validation [11], [14]</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FHIR research</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Resource-oriented interoperability and standardized app integration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Implementation complexity, profiles and semantics remain challenges [3], [4], [12]</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RBAC literature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Role-centered permission administration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Requires careful role design and may need constraints beyond basic RBAC [6]</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Security guidance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JWT, API risks, logging and accountability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Standards provide mechanisms, not a complete application-specific implementation [7], [8], [16]</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Container literature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Portability and consistent deployment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Operational resilience and security require additional controls [10]</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Contingency guidance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Recovery planning and lifecycle integration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Actual restoration testing is necessary [9]</w:t>
            </w:r>
          </w:p>
        </w:tc>
      </w:tr>
    </w:tbl>
    <w:p/>
    <w:p>
      <w:pPr>
        <w:pStyle w:val="Heading2"/>
      </w:pPr>
      <w:r>
        <w:rPr>
          <w:rFonts w:ascii="Times New Roman" w:hAnsi="Times New Roman" w:eastAsia="Times New Roman"/>
        </w:rPr>
        <w:t>13. Research Gap and Project Positioning</w:t>
      </w:r>
    </w:p>
    <w:p>
      <w:pPr/>
      <w:r>
        <w:rPr>
          <w:rFonts w:ascii="Times New Roman" w:hAnsi="Times New Roman" w:eastAsia="Times New Roman"/>
        </w:rPr>
        <w:t>The reviewed literature establishes strong foundations for cloud computing, REST APIs, RBAC, JWT, audit logging, FHIR, synthetic health records, containerization, contingency planning, and performance analysis. However, these concerns are frequently studied or implemented separately, and cost-efficient deployment for modest institutional infrastructure is often discussed without executable cross-domain evidence.</w:t>
      </w:r>
    </w:p>
    <w:p>
      <w:pPr/>
      <w:r>
        <w:rPr>
          <w:rFonts w:ascii="Times New Roman" w:hAnsi="Times New Roman" w:eastAsia="Times New Roman"/>
        </w:rPr>
        <w:t>Based on the selected literature, the project is positioned as an integrated design, implementation, and validation study for resource-constrained healthcare data management. Its distinctive contribution is not a new cryptographic algorithm, access-control theory, FHIR standard, database engine, or container technology. The contribution is the combination of established open-source mechanisms into one compact healthcare-data platform with executable security, storage, recovery, scalability, and cost-awareness evidence.</w:t>
      </w:r>
    </w:p>
    <w:p>
      <w:r>
        <w:rPr>
          <w:rFonts w:ascii="Times New Roman" w:hAnsi="Times New Roman" w:eastAsia="Times New Roman"/>
        </w:rPr>
        <w:t>The evidence includes authorized and denied operations, audit outcomes, relational-object checksum consistency, PostgreSQL and MinIO restoration, container health, and before-and-after load testing. This positioning should be understood as a bounded project-level contribution rather than a claim that the literature has no other integrated healthcare platforms.</w:t>
      </w:r>
    </w:p>
    <w:p>
      <w:pPr>
        <w:jc w:val="center"/>
      </w:pPr>
      <w:r>
        <w:rPr>
          <w:rFonts w:ascii="Times New Roman" w:hAnsi="Times New Roman" w:eastAsia="Times New Roman"/>
        </w:rPr>
        <w:drawing>
          <wp:inline xmlns:a="http://schemas.openxmlformats.org/drawingml/2006/main" xmlns:pic="http://schemas.openxmlformats.org/drawingml/2006/picture">
            <wp:extent cx="6035040" cy="3876378"/>
            <wp:docPr id="5" name="Picture 3"/>
            <wp:cNvGraphicFramePr>
              <a:graphicFrameLocks noChangeAspect="1"/>
            </wp:cNvGraphicFramePr>
            <a:graphic>
              <a:graphicData uri="http://schemas.openxmlformats.org/drawingml/2006/picture">
                <pic:pic>
                  <pic:nvPicPr>
                    <pic:cNvPr id="5" name="research_gap_positioning.png"/>
                    <pic:cNvPicPr/>
                  </pic:nvPicPr>
                  <pic:blipFill>
                    <a:blip r:embed="rId18"/>
                    <a:stretch>
                      <a:fillRect/>
                    </a:stretch>
                  </pic:blipFill>
                  <pic:spPr>
                    <a:xfrm>
                      <a:off x="0" y="0"/>
                      <a:ext cx="6035040" cy="3876378"/>
                    </a:xfrm>
                    <a:prstGeom prst="rect"/>
                  </pic:spPr>
                </pic:pic>
              </a:graphicData>
            </a:graphic>
          </wp:inline>
        </w:drawing>
      </w:r>
    </w:p>
    <w:p>
      <w:pPr>
        <w:pStyle w:val="AcademicCaption"/>
      </w:pPr>
      <w:r>
        <w:rPr>
          <w:rFonts w:ascii="Times New Roman" w:hAnsi="Times New Roman" w:eastAsia="Times New Roman"/>
        </w:rPr>
        <w:t>Figure 3. Research gap and bounded positioning of the Healthcare Cloud Platform.</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Theme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Common literature emphasis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Project contribution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Security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Frequently discussed as policy, cryptography or privacy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Integrated JWT, RBAC, HTTP security and audit validation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Interoperability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FHIR resources and app platforms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Selected FHIR-inspired layer connected to the same clinical database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Storage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Relational or cloud storage considered separately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metadata plus private MinIO objects with SHA-256</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Recovery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Backup and contingency planning guidance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Executable isolated restoration for both persistence domains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Performance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Scalability often stated as an architectural goal</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Measured multi-load Locust testing with failed and optimized 200-user runs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Deployment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Cloud or container architecture descriptions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Versioned four-service production Compose stack with validation evidence</w:t>
            </w:r>
          </w:p>
        </w:tc>
      </w:tr>
    </w:tbl>
    <w:p/>
    <w:p>
      <w:pPr>
        <w:pStyle w:val="Heading2"/>
      </w:pPr>
      <w:r>
        <w:rPr>
          <w:rFonts w:ascii="Times New Roman" w:hAnsi="Times New Roman" w:eastAsia="Times New Roman"/>
        </w:rPr>
        <w:t>14. Conceptual Framework for the Thesis</w:t>
      </w:r>
    </w:p>
    <w:p>
      <w:pPr/>
      <w:r>
        <w:rPr>
          <w:rFonts w:ascii="Times New Roman" w:hAnsi="Times New Roman" w:eastAsia="Times New Roman"/>
        </w:rPr>
        <w:t>The conceptual framework derived from the review is that healthcare-platform suitability in a resource-constrained environment is a function of multiple interdependent domains. Security restricts and records access. Interoperability structures exchange. Data models and storage preserve clinical content. Containerization supports reproducible and compact deployment. Recovery protects continuity. Performance and resource analysis test whether the integrated system remains useful and affordable under concurrency.</w:t>
      </w:r>
    </w:p>
    <w:p>
      <w:r>
        <w:rPr>
          <w:rFonts w:ascii="Times New Roman" w:hAnsi="Times New Roman" w:eastAsia="Times New Roman"/>
        </w:rPr>
        <w:t>No single domain is sufficient. The thesis therefore evaluates the platform using an integrated matrix rather than treating security, storage, recovery, and performance as unrelated appendices.</w:t>
      </w:r>
    </w:p>
    <w:p>
      <w:pPr>
        <w:pStyle w:val="Heading2"/>
      </w:pPr>
      <w:r>
        <w:rPr>
          <w:rFonts w:ascii="Times New Roman" w:hAnsi="Times New Roman" w:eastAsia="Times New Roman"/>
        </w:rPr>
        <w:t>15. Chapter Summary</w:t>
      </w:r>
    </w:p>
    <w:p>
      <w:r>
        <w:rPr>
          <w:rFonts w:ascii="Times New Roman" w:hAnsi="Times New Roman" w:eastAsia="Times New Roman"/>
        </w:rPr>
        <w:t>This chapter reviewed the standards and research that inform the platform. Cloud computing motivates remote and elastic infrastructure; REST and FHIR motivate resource-oriented exchange; JWT and RBAC motivate authenticated role-based access; log-management guidance motivates auditability; Synthea enables privacy-preserving software testing; Docker supports portable deployment; and contingency-planning guidance motivates restoration testing. The next chapter presents the system design and implementation.</w:t>
      </w:r>
    </w:p>
    <w:p>
      <w:pPr>
        <w:pStyle w:val="Heading1"/>
        <w:pageBreakBefore w:val="1"/>
        <w:keepNext/>
      </w:pPr>
      <w:r>
        <w:rPr>
          <w:rFonts w:ascii="Times New Roman" w:hAnsi="Times New Roman" w:eastAsia="Times New Roman"/>
        </w:rPr>
        <w:t>Chapter 3. System Design and Implementation</w:t>
      </w:r>
    </w:p>
    <w:p>
      <w:pPr>
        <w:pStyle w:val="Heading2"/>
        <w:keepNext/>
        <w:spacing w:before="200" w:after="80"/>
      </w:pPr>
      <w:r>
        <w:rPr>
          <w:rFonts w:ascii="Times New Roman" w:hAnsi="Times New Roman" w:eastAsia="Times New Roman"/>
        </w:rPr>
        <w:t>1. Introduction</w:t>
      </w:r>
    </w:p>
    <w:p>
      <w:pPr>
        <w:spacing w:line="276" w:lineRule="auto" w:after="120"/>
        <w:ind w:firstLine="432"/>
        <w:jc w:val="both"/>
      </w:pPr>
      <w:r>
        <w:rPr>
          <w:rFonts w:ascii="Times New Roman" w:hAnsi="Times New Roman" w:eastAsia="Times New Roman"/>
        </w:rPr>
        <w:t>This chapter presents the system design and implementation of the Healthcare Cloud Platform, a containerized healthcare data management prototype designed to support secure access, measured scalability, cost-aware deployment, modular clinical-data services, object storage, auditability, and reproducible operation in resource-constrained institutional environments. The implementation follows a layered architecture in which Nginx provides the external reverse-proxy entry point, FastAPI exposes the application programming interface, PostgreSQL stores structured transactional data and audit records, and MinIO stores binary diagnostic reports and related healthcare attachments. The services are orchestrated through Docker Compose and separated through dedicated edge and internal data networks.</w:t>
      </w:r>
    </w:p>
    <w:p>
      <w:pPr>
        <w:spacing w:line="276" w:lineRule="auto" w:after="120"/>
        <w:ind w:firstLine="432"/>
        <w:jc w:val="both"/>
      </w:pPr>
      <w:r>
        <w:rPr>
          <w:rFonts w:ascii="Times New Roman" w:hAnsi="Times New Roman" w:eastAsia="Times New Roman"/>
        </w:rPr>
        <w:t>The chapter is grounded in the inspected project source files and the validated local production environment. It documents what is implemented in the current system rather than describing an aspirational architecture. Accordingly, the chapter distinguishes the completed local production configuration from the later institutional cloud-deployment stage. The current stack is operational on a local host through port 8080, while public-domain configuration, certificate-based HTTPS termination, and deployment on a remote university virtual machine remain future deployment activities.</w:t>
      </w:r>
    </w:p>
    <w:p>
      <w:pPr>
        <w:pStyle w:val="Heading2"/>
        <w:keepNext/>
        <w:spacing w:before="200" w:after="80"/>
      </w:pPr>
      <w:r>
        <w:rPr>
          <w:rFonts w:ascii="Times New Roman" w:hAnsi="Times New Roman" w:eastAsia="Times New Roman"/>
        </w:rPr>
        <w:t>2. Design Objectives and Implementation Scope</w:t>
      </w:r>
    </w:p>
    <w:p>
      <w:pPr>
        <w:spacing w:line="276" w:lineRule="auto" w:after="120"/>
        <w:ind w:firstLine="432"/>
        <w:jc w:val="both"/>
      </w:pPr>
      <w:r>
        <w:rPr>
          <w:rFonts w:ascii="Times New Roman" w:hAnsi="Times New Roman" w:eastAsia="Times New Roman"/>
        </w:rPr>
        <w:t>The implementation was organized around five principal objectives: security, modularity, portability, operational resilience, and cost awareness. Security is addressed through bcrypt password hashing, signed JSON Web Tokens, role-based authorization, restrictive HTTP response headers, controlled CORS origins, production host validation, service isolation, and audit logging. Modularity is achieved by separating API endpoints, configuration, dependencies, database models, schemas, services, and ingestion utilities. Portability is supported through containerization and environment-driven configuration. Operational resilience is supported by health checks, restart policies, persistent Docker volumes, and validated backup-and-restore procedures. Cost awareness is reflected in the use of open-source components that can be deployed on modest infrastructure.</w:t>
      </w:r>
    </w:p>
    <w:p>
      <w:pPr>
        <w:spacing w:line="276" w:lineRule="auto" w:after="120"/>
        <w:ind w:firstLine="432"/>
        <w:jc w:val="both"/>
      </w:pPr>
      <w:r>
        <w:rPr>
          <w:rFonts w:ascii="Times New Roman" w:hAnsi="Times New Roman" w:eastAsia="Times New Roman"/>
        </w:rPr>
        <w:t>The present implementation covers authentication, patient records, encounters, observations, prescriptions, diagnostic reports, FHIR-related routes, structured database persistence, binary object storage, and audit-event persistence. The source inventory confirms distinct endpoint modules for authentication, patients, encounters, observations, prescriptions, diagnostic reports, FHIR resources, and FHIR conditions. All versioned routes are aggregated through a central API router and mounted under the /api/v1 prefix.</w:t>
      </w:r>
    </w:p>
    <w:p>
      <w:pPr>
        <w:pStyle w:val="Heading2"/>
        <w:keepNext/>
        <w:spacing w:before="200" w:after="80"/>
      </w:pPr>
      <w:r>
        <w:rPr>
          <w:rFonts w:ascii="Times New Roman" w:hAnsi="Times New Roman" w:eastAsia="Times New Roman"/>
        </w:rPr>
        <w:t>3. Overall System Architecture</w:t>
      </w:r>
    </w:p>
    <w:p>
      <w:pPr>
        <w:spacing w:line="276" w:lineRule="auto" w:after="120"/>
        <w:ind w:firstLine="432"/>
        <w:jc w:val="both"/>
      </w:pPr>
      <w:r>
        <w:rPr>
          <w:rFonts w:ascii="Times New Roman" w:hAnsi="Times New Roman" w:eastAsia="Times New Roman"/>
        </w:rPr>
        <w:t>The platform uses a layered client-proxy-application-data architecture. Requests from authorized clients enter through Nginx. Nginx forwards the request to the FastAPI backend and preserves the host, protocol, client address, and forwarding chain through proxy headers. FastAPI applies middleware, validates authentication, enforces role requirements, invokes domain services, and communicates with the appropriate persistence service. Structured healthcare and administrative data are stored in PostgreSQL, while binary healthcare objects are stored in MinIO. Audit events are also persisted in PostgreSQL, allowing access decisions and security-relevant operations to be traced.</w:t>
      </w:r>
    </w:p>
    <w:p>
      <w:pPr>
        <w:jc w:val="center"/>
      </w:pPr>
      <w:r>
        <w:rPr>
          <w:rFonts w:ascii="Times New Roman" w:hAnsi="Times New Roman" w:eastAsia="Times New Roman"/>
        </w:rPr>
        <w:drawing>
          <wp:inline xmlns:a="http://schemas.openxmlformats.org/drawingml/2006/main" xmlns:pic="http://schemas.openxmlformats.org/drawingml/2006/picture">
            <wp:extent cx="6126480" cy="7317399"/>
            <wp:docPr id="6" name="Picture 1"/>
            <wp:cNvGraphicFramePr>
              <a:graphicFrameLocks noChangeAspect="1"/>
            </wp:cNvGraphicFramePr>
            <a:graphic>
              <a:graphicData uri="http://schemas.openxmlformats.org/drawingml/2006/picture">
                <pic:pic>
                  <pic:nvPicPr>
                    <pic:cNvPr id="6" name="overall_architecture.png"/>
                    <pic:cNvPicPr/>
                  </pic:nvPicPr>
                  <pic:blipFill>
                    <a:blip r:embed="rId19"/>
                    <a:stretch>
                      <a:fillRect/>
                    </a:stretch>
                  </pic:blipFill>
                  <pic:spPr>
                    <a:xfrm>
                      <a:off x="0" y="0"/>
                      <a:ext cx="6126480" cy="7317399"/>
                    </a:xfrm>
                    <a:prstGeom prst="rect"/>
                  </pic:spPr>
                </pic:pic>
              </a:graphicData>
            </a:graphic>
          </wp:inline>
        </w:drawing>
      </w:r>
    </w:p>
    <w:p>
      <w:pPr>
        <w:spacing w:before="60" w:after="160"/>
        <w:jc w:val="center"/>
      </w:pPr>
      <w:r>
        <w:rPr>
          <w:rFonts w:ascii="Times New Roman" w:hAnsi="Times New Roman" w:eastAsia="Times New Roman"/>
          <w:i/>
          <w:sz w:val="20"/>
        </w:rPr>
        <w:t>Figure 1. Implemented logical architecture of the Healthcare Cloud Platform.</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Layer</w:t>
            </w:r>
          </w:p>
        </w:tc>
        <w:tc>
          <w:tcPr>
            <w:tcW w:type="dxa" w:w="312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Implemented component</w:t>
            </w:r>
          </w:p>
        </w:tc>
        <w:tc>
          <w:tcPr>
            <w:tcW w:type="dxa" w:w="312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Primary responsibility</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Entry layer</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Nginx stable-alpine</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Receives host traffic, applies proxy headers, enforces upload limit, and forwards requests to the backend.</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Application layer</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FastAPI backend</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Exposes versioned APIs, applies middleware, authenticates users, authorizes roles, and coordinates services.</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Relational persistence</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PostgreSQL 16</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Stores users, roles, clinical entities, metadata, and audit logs.</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Object persistence</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MinIO</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Stores diagnostic report files and other binary healthcare objects.</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Orchestration</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Docker Compose</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Defines service topology, health checks, networks, volumes, environment files, and restart behavior.</w:t>
            </w:r>
          </w:p>
        </w:tc>
      </w:tr>
    </w:tbl>
    <w:p>
      <w:pPr>
        <w:spacing w:after="40"/>
      </w:pPr>
    </w:p>
    <w:p>
      <w:pPr>
        <w:spacing w:before="60" w:after="160"/>
        <w:jc w:val="center"/>
      </w:pPr>
      <w:r>
        <w:rPr>
          <w:rFonts w:ascii="Times New Roman" w:hAnsi="Times New Roman" w:eastAsia="Times New Roman"/>
          <w:i/>
          <w:sz w:val="20"/>
        </w:rPr>
        <w:t>Table 1. Implemented system layers and responsibilities.</w:t>
      </w:r>
    </w:p>
    <w:p>
      <w:pPr>
        <w:pStyle w:val="Heading2"/>
        <w:keepNext/>
        <w:spacing w:before="200" w:after="80"/>
      </w:pPr>
      <w:r>
        <w:rPr>
          <w:rFonts w:ascii="Times New Roman" w:hAnsi="Times New Roman" w:eastAsia="Times New Roman"/>
        </w:rPr>
        <w:t>4. Backend Application Organization</w:t>
      </w:r>
    </w:p>
    <w:p>
      <w:pPr>
        <w:spacing w:line="276" w:lineRule="auto" w:after="120"/>
        <w:ind w:firstLine="432"/>
        <w:jc w:val="both"/>
      </w:pPr>
      <w:r>
        <w:rPr>
          <w:rFonts w:ascii="Times New Roman" w:hAnsi="Times New Roman" w:eastAsia="Times New Roman"/>
        </w:rPr>
        <w:t>The backend follows a modular package structure. The main application module initializes FastAPI, applies middleware, includes the versioned API router, and exposes root and health endpoints. The api package contains authentication and role dependencies together with versioned endpoint modules. The core package centralizes configuration and security functions. The db package manages SQLAlchemy sessions and model registration. The models package defines the database entities, while the schemas package defines request and response structures. The services package contains the application logic for audit recording, diagnostic reports, encounters, observations, patients, prescriptions, object storage, and Synthea ingestion. Supporting scripts automate dataset import and demonstration-user creation.</w:t>
      </w:r>
    </w:p>
    <w:p>
      <w:pPr>
        <w:spacing w:line="276" w:lineRule="auto" w:after="120"/>
        <w:ind w:firstLine="432"/>
        <w:jc w:val="both"/>
      </w:pPr>
      <w:r>
        <w:rPr>
          <w:rFonts w:ascii="Times New Roman" w:hAnsi="Times New Roman" w:eastAsia="Times New Roman"/>
        </w:rPr>
        <w:t>This separation limits the amount of business logic in routing modules and creates clear implementation boundaries. Endpoint functions can focus on HTTP request handling, dependencies can focus on authentication and authorization, service classes can coordinate application operations, and models can focus on persistence. The presence of a repositories package indicates an intended repository abstraction; however, the inspected structure shows that this package is not yet populated. The current implementation therefore relies primarily on service and endpoint layers for application coordination.</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Backend area</w:t>
            </w:r>
          </w:p>
        </w:tc>
        <w:tc>
          <w:tcPr>
            <w:tcW w:type="dxa" w:w="312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Observed modules</w:t>
            </w:r>
          </w:p>
        </w:tc>
        <w:tc>
          <w:tcPr>
            <w:tcW w:type="dxa" w:w="312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Implementation role</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API dependencies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auth.py, rbac.py</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Bearer-token validation, current-user loading, and role authorization.</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API endpoints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auth, patients, encounters, observations, prescriptions, diagnostic reports, FHIR, FHIR conditions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Versioned domain routes exposed through /api/v1.</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Core</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config.py, security.py</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Environment settings, password hashing, JWT creation, and JWT decoding.</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Models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User, Role, Patient, Encounter, Observation, Prescription, DiagnosticReport, Condition, AuditLog</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Relational persistence entities.</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Services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Audit, storage, patient, encounter, observation, prescription, diagnostic report, ingestion</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Reusable business and integration logic.</w:t>
            </w:r>
          </w:p>
        </w:tc>
      </w:tr>
      <w:tr>
        <w:trPr>
          <w:cantSplit/>
        </w:trPr>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Scripts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Synthea import and demo-user scripts</w:t>
            </w:r>
          </w:p>
        </w:tc>
        <w:tc>
          <w:tcPr>
            <w:tcW w:type="dxa" w:w="3120"/>
            <w:vAlign w:val="center"/>
          </w:tcPr>
          <w:p>
            <w:pPr>
              <w:jc w:val="left"/>
            </w:pPr>
            <w:r>
              <w:rPr>
                <w:rFonts w:ascii="Times New Roman" w:hAnsi="Times New Roman" w:eastAsia="Times New Roman"/>
                <w:sz w:val="17"/>
              </w:rPr>
            </w:r>
            <w:r>
              <w:rPr>
                <w:rFonts w:ascii="Times New Roman" w:hAnsi="Times New Roman" w:eastAsia="Times New Roman"/>
                <w:b w:val="0"/>
                <w:sz w:val="19"/>
              </w:rPr>
              <w:t>Controlled data ingestion and environment preparation.</w:t>
            </w:r>
          </w:p>
        </w:tc>
      </w:tr>
    </w:tbl>
    <w:p>
      <w:pPr>
        <w:spacing w:after="40"/>
      </w:pPr>
    </w:p>
    <w:p>
      <w:pPr>
        <w:spacing w:before="60" w:after="160"/>
        <w:jc w:val="center"/>
      </w:pPr>
      <w:r>
        <w:rPr>
          <w:rFonts w:ascii="Times New Roman" w:hAnsi="Times New Roman" w:eastAsia="Times New Roman"/>
          <w:i/>
          <w:sz w:val="20"/>
        </w:rPr>
        <w:t>Table 2. Backend modular organization.</w:t>
      </w:r>
    </w:p>
    <w:p>
      <w:pPr>
        <w:pStyle w:val="Heading2"/>
        <w:keepNext/>
        <w:spacing w:before="200" w:after="80"/>
      </w:pPr>
      <w:r>
        <w:rPr>
          <w:rFonts w:ascii="Times New Roman" w:hAnsi="Times New Roman" w:eastAsia="Times New Roman"/>
        </w:rPr>
        <w:t>5. API Composition and Routing</w:t>
      </w:r>
    </w:p>
    <w:p>
      <w:pPr>
        <w:spacing w:line="276" w:lineRule="auto" w:after="120"/>
        <w:ind w:firstLine="432"/>
        <w:jc w:val="both"/>
      </w:pPr>
      <w:r>
        <w:rPr>
          <w:rFonts w:ascii="Times New Roman" w:hAnsi="Times New Roman" w:eastAsia="Times New Roman"/>
        </w:rPr>
        <w:t>The versioned API is assembled by a central APIRouter instance. Authentication, patient, encounter, observation, prescription, diagnostic-report, FHIR, and FHIR-condition routers are included in a single v1 router. The main application then mounts this router under /api/v1. This arrangement provides a consistent namespace and allows future versions to be introduced without restructuring existing endpoint modules.</w:t>
      </w:r>
    </w:p>
    <w:p>
      <w:pPr>
        <w:spacing w:line="276" w:lineRule="auto" w:after="120"/>
        <w:ind w:firstLine="432"/>
        <w:jc w:val="both"/>
      </w:pPr>
      <w:r>
        <w:rPr>
          <w:rFonts w:ascii="Times New Roman" w:hAnsi="Times New Roman" w:eastAsia="Times New Roman"/>
        </w:rPr>
        <w:t>The root endpoint returns an application-running message and a success status, while /health returns a compact service-health response. The health route is used both for operational verification and by the backend container health check. Documentation endpoints are enabled only when the documentation setting is true and the application is not running in production. Consequently, /docs, /redoc, and /openapi.json are disabled in the production environment, reducing unnecessary public exposure of the API schema.</w:t>
      </w:r>
    </w:p>
    <w:p>
      <w:pPr>
        <w:pStyle w:val="Heading2"/>
        <w:keepNext/>
        <w:spacing w:before="200" w:after="80"/>
      </w:pPr>
      <w:r>
        <w:rPr>
          <w:rFonts w:ascii="Times New Roman" w:hAnsi="Times New Roman" w:eastAsia="Times New Roman"/>
        </w:rPr>
        <w:t>6. Configuration Management</w:t>
      </w:r>
    </w:p>
    <w:p>
      <w:pPr>
        <w:spacing w:line="276" w:lineRule="auto" w:after="120"/>
        <w:ind w:firstLine="432"/>
        <w:jc w:val="both"/>
      </w:pPr>
      <w:r>
        <w:rPr>
          <w:rFonts w:ascii="Times New Roman" w:hAnsi="Times New Roman" w:eastAsia="Times New Roman"/>
        </w:rPr>
        <w:t>Runtime configuration is centralized through a Pydantic Settings class. The configuration includes the application environment, bind host and port, database URL, JWT parameters, MinIO connection properties, documentation settings, CORS origins, and trusted hosts. Comma-separated origin and host values are converted into normalized lists through properties. Unknown environment variables are ignored, allowing the same settings class to operate across development and production environment files.</w:t>
      </w:r>
    </w:p>
    <w:p>
      <w:pPr>
        <w:spacing w:line="276" w:lineRule="auto" w:after="120"/>
        <w:ind w:firstLine="432"/>
        <w:jc w:val="both"/>
      </w:pPr>
      <w:r>
        <w:rPr>
          <w:rFonts w:ascii="Times New Roman" w:hAnsi="Times New Roman" w:eastAsia="Times New Roman"/>
        </w:rPr>
        <w:t>The implementation uses environment variables to separate configuration from source code. This is appropriate for containerized deployment because database credentials, JWT keys, MinIO credentials, and host-specific values can be injected at runtime. The committed repository should contain only an example environment file; operational secrets belong in the non-versioned .env.production file. The current defaults in config.py are development placeholders and must never be treated as production credentials.</w:t>
      </w:r>
    </w:p>
    <w:p>
      <w:pPr>
        <w:pStyle w:val="Heading2"/>
        <w:keepNext/>
        <w:spacing w:before="200" w:after="80"/>
      </w:pPr>
      <w:r>
        <w:rPr>
          <w:rFonts w:ascii="Times New Roman" w:hAnsi="Times New Roman" w:eastAsia="Times New Roman"/>
        </w:rPr>
        <w:t>7. Authentication and Token Security</w:t>
      </w:r>
    </w:p>
    <w:p>
      <w:pPr>
        <w:spacing w:line="276" w:lineRule="auto" w:after="120"/>
        <w:ind w:firstLine="432"/>
        <w:jc w:val="both"/>
      </w:pPr>
      <w:r>
        <w:rPr>
          <w:rFonts w:ascii="Times New Roman" w:hAnsi="Times New Roman" w:eastAsia="Times New Roman"/>
        </w:rPr>
        <w:t>Password security is implemented with Passlib and bcrypt. The hash_password function rejects passwords shorter than eight characters and stores only a bcrypt-derived hash. Login verification compares the submitted plaintext password with the stored hash through verify_password. This approach avoids retaining plaintext passwords in the database.</w:t>
      </w:r>
    </w:p>
    <w:p>
      <w:pPr>
        <w:spacing w:line="276" w:lineRule="auto" w:after="120"/>
        <w:ind w:firstLine="432"/>
        <w:jc w:val="both"/>
      </w:pPr>
      <w:r>
        <w:rPr>
          <w:rFonts w:ascii="Times New Roman" w:hAnsi="Times New Roman" w:eastAsia="Times New Roman"/>
        </w:rPr>
        <w:t>Authenticated sessions use signed JSON Web Tokens. The token payload includes the subject identifier, issued-at timestamp, and expiration timestamp. The algorithm and expiration interval are configurable; the inspected defaults specify HS256 and a 30-minute access-token lifetime. Token decoding validates the signature and expiration. Invalid or expired tokens are converted into a controlled application error rather than being accepted or silently ignored.</w:t>
      </w:r>
    </w:p>
    <w:p>
      <w:pPr>
        <w:spacing w:line="276" w:lineRule="auto" w:after="120"/>
        <w:ind w:firstLine="432"/>
        <w:jc w:val="both"/>
      </w:pPr>
      <w:r>
        <w:rPr>
          <w:rFonts w:ascii="Times New Roman" w:hAnsi="Times New Roman" w:eastAsia="Times New Roman"/>
        </w:rPr>
        <w:t>The FastAPI authentication dependency uses OAuth2PasswordBearer and expects tokens issued by /api/v1/auth/login. After decoding the token, it extracts the subject as the user identifier, retrieves the corresponding user from PostgreSQL, and rejects missing, invalid, or inactive accounts. Invalid credentials return HTTP 401 with a Bearer authentication challenge, while inactive users return HTTP 403. This distinction separates authentication failure from account-state authorization failure.</w:t>
      </w:r>
    </w:p>
    <w:p>
      <w:pPr>
        <w:pStyle w:val="Heading2"/>
        <w:keepNext/>
        <w:spacing w:before="200" w:after="80"/>
      </w:pPr>
      <w:r>
        <w:rPr>
          <w:rFonts w:ascii="Times New Roman" w:hAnsi="Times New Roman" w:eastAsia="Times New Roman"/>
        </w:rPr>
        <w:t>8. Role-Based Access Control</w:t>
      </w:r>
    </w:p>
    <w:p>
      <w:pPr>
        <w:spacing w:line="276" w:lineRule="auto" w:after="120"/>
        <w:ind w:firstLine="432"/>
        <w:jc w:val="both"/>
      </w:pPr>
      <w:r>
        <w:rPr>
          <w:rFonts w:ascii="Times New Roman" w:hAnsi="Times New Roman" w:eastAsia="Times New Roman"/>
        </w:rPr>
        <w:t>Authorization is implemented through a reusable dependency factory named require_roles. Each protected endpoint can declare one or more allowed role names. The dependency first resolves the authenticated user, retrieves the associated role name, and compares it with the explicitly permitted role set. A missing role or an unauthorized role produces HTTP 403 with a consistent insufficient-permissions message.</w:t>
      </w:r>
    </w:p>
    <w:p>
      <w:pPr>
        <w:spacing w:line="276" w:lineRule="auto" w:after="120"/>
        <w:ind w:firstLine="432"/>
        <w:jc w:val="both"/>
      </w:pPr>
      <w:r>
        <w:rPr>
          <w:rFonts w:ascii="Times New Roman" w:hAnsi="Times New Roman" w:eastAsia="Times New Roman"/>
        </w:rPr>
        <w:t>Denied authorization attempts are recorded through the audit service. The event includes the action ACCESS_DENIED, the DENIED outcome, the user identifier, requested endpoint path, user role, and allowed roles. This design provides traceability for authorization failures and supports later security review. The project validation environment includes six demonstration roles: Admin, Doctor, Nurse, Lab Staff, Pharmacist, and Data Manager. Endpoint-level authorization can therefore be expressed in terms of professional responsibilities rather than only authenticated versus unauthenticated access.</w:t>
      </w:r>
    </w:p>
    <w:p>
      <w:pPr>
        <w:pStyle w:val="Heading2"/>
        <w:keepNext/>
        <w:spacing w:before="200" w:after="80"/>
      </w:pPr>
      <w:r>
        <w:rPr>
          <w:rFonts w:ascii="Times New Roman" w:hAnsi="Times New Roman" w:eastAsia="Times New Roman"/>
        </w:rPr>
        <w:t>9. Audit Logging and Accountability</w:t>
      </w:r>
    </w:p>
    <w:p>
      <w:pPr>
        <w:spacing w:line="276" w:lineRule="auto" w:after="120"/>
        <w:ind w:firstLine="432"/>
        <w:jc w:val="both"/>
      </w:pPr>
      <w:r>
        <w:rPr>
          <w:rFonts w:ascii="Times New Roman" w:hAnsi="Times New Roman" w:eastAsia="Times New Roman"/>
        </w:rPr>
        <w:t>Auditability is implemented as a centralized application service that persists security-relevant and healthcare-data access events in PostgreSQL. Each event may include the user identifier, action, resource type, resource identifier, outcome, HTTP method, endpoint, client IP address, user agent, and structured details serialized as compact JSON. The client address is obtained from X-Forwarded-For when present and otherwise from the direct request connection. User-agent strings are limited to 500 characters.</w:t>
      </w:r>
    </w:p>
    <w:p>
      <w:pPr>
        <w:spacing w:line="276" w:lineRule="auto" w:after="120"/>
        <w:ind w:firstLine="432"/>
        <w:jc w:val="both"/>
      </w:pPr>
      <w:r>
        <w:rPr>
          <w:rFonts w:ascii="Times New Roman" w:hAnsi="Times New Roman" w:eastAsia="Times New Roman"/>
        </w:rPr>
        <w:t>The audit service defines a design rule that passwords, JWTs, authorization headers, and file contents must not be placed in audit details. This rule is important because audit logs require sufficient context for accountability without becoming a secondary repository of sensitive secrets. The safe_record_event method prevents an audit-write failure from causing the primary application operation to fail. When an audit exception occurs, the database transaction is rolled back and the method returns no audit object. This choice favors service continuity, although operational monitoring should still detect and investigate repeated audit-write failures.</w:t>
      </w:r>
    </w:p>
    <w:p>
      <w:pPr>
        <w:pStyle w:val="Heading2"/>
        <w:keepNext/>
        <w:spacing w:before="200" w:after="80"/>
      </w:pPr>
      <w:r>
        <w:rPr>
          <w:rFonts w:ascii="Times New Roman" w:hAnsi="Times New Roman" w:eastAsia="Times New Roman"/>
        </w:rPr>
        <w:t>10. Relational Data Management</w:t>
      </w:r>
    </w:p>
    <w:p>
      <w:pPr>
        <w:spacing w:line="276" w:lineRule="auto" w:after="120"/>
        <w:ind w:firstLine="432"/>
        <w:jc w:val="both"/>
      </w:pPr>
      <w:r>
        <w:rPr>
          <w:rFonts w:ascii="Times New Roman" w:hAnsi="Times New Roman" w:eastAsia="Times New Roman"/>
        </w:rPr>
        <w:t>PostgreSQL 16 provides structured persistence for users, roles, patients, encounters, observations, prescriptions, diagnostic-report metadata, conditions, and audit logs. The backend receives its database URL through the production environment file. PostgreSQL is attached only to the internal data network and is not mapped to a host port in the production compose configuration. This reduces the exposed attack surface because external clients cannot directly access the database service through Docker port publishing.</w:t>
      </w:r>
    </w:p>
    <w:p>
      <w:pPr>
        <w:spacing w:line="276" w:lineRule="auto" w:after="120"/>
        <w:ind w:firstLine="432"/>
        <w:jc w:val="both"/>
      </w:pPr>
      <w:r>
        <w:rPr>
          <w:rFonts w:ascii="Times New Roman" w:hAnsi="Times New Roman" w:eastAsia="Times New Roman"/>
        </w:rPr>
        <w:t>Schema evolution is managed through Alembic. The validated production environment reported revision 685666386ae6 at head. Transactional DDL is used by the PostgreSQL implementation. Database migration status should be checked before application release, and migration execution should be incorporated into the remote deployment procedure to ensure that application code and schema remain synchronized.</w:t>
      </w:r>
    </w:p>
    <w:p>
      <w:pPr>
        <w:pStyle w:val="Heading2"/>
        <w:keepNext/>
        <w:spacing w:before="200" w:after="80"/>
      </w:pPr>
      <w:r>
        <w:rPr>
          <w:rFonts w:ascii="Times New Roman" w:hAnsi="Times New Roman" w:eastAsia="Times New Roman"/>
        </w:rPr>
        <w:t>11. MinIO Object Storage</w:t>
      </w:r>
    </w:p>
    <w:p>
      <w:pPr>
        <w:spacing w:line="276" w:lineRule="auto" w:after="120"/>
        <w:ind w:firstLine="432"/>
        <w:jc w:val="both"/>
      </w:pPr>
      <w:r>
        <w:rPr>
          <w:rFonts w:ascii="Times New Roman" w:hAnsi="Times New Roman" w:eastAsia="Times New Roman"/>
        </w:rPr>
        <w:t>The platform separates structured metadata from binary healthcare files. PostgreSQL stores records and object metadata, while MinIO stores the binary payload. The StorageService initializes a MinIO client from environment-driven endpoint, credential, bucket, and transport-security settings. The service can verify or create the configured bucket, test bucket readiness, upload byte sequences, download stored objects, verify SHA-256 integrity, and delete objects.</w:t>
      </w:r>
    </w:p>
    <w:p>
      <w:pPr>
        <w:spacing w:line="276" w:lineRule="auto" w:after="120"/>
        <w:ind w:firstLine="432"/>
        <w:jc w:val="both"/>
      </w:pPr>
      <w:r>
        <w:rPr>
          <w:rFonts w:ascii="Times New Roman" w:hAnsi="Times New Roman" w:eastAsia="Times New Roman"/>
        </w:rPr>
        <w:t>During upload, the service validates that the object key and payload are non-empty, calculates the SHA-256 digest, records the byte length, and returns persistence metadata including the bucket name, object key, content type, file size, and checksum. Integrity verification downloads the object and compares its digest with the expected checksum. Deletion supports compensating cleanup when a file upload succeeds but the corresponding PostgreSQL transaction fails. This prevents orphaned objects from remaining in storage after an incomplete application operation.</w:t>
      </w:r>
    </w:p>
    <w:p>
      <w:pPr>
        <w:spacing w:line="276" w:lineRule="auto" w:after="120"/>
        <w:ind w:firstLine="432"/>
        <w:jc w:val="both"/>
      </w:pPr>
      <w:r>
        <w:rPr>
          <w:rFonts w:ascii="Times New Roman" w:hAnsi="Times New Roman" w:eastAsia="Times New Roman"/>
        </w:rPr>
        <w:t>The validated lifecycle test confirmed bucket existence, bucket access, upload/download integrity, and object deletion. The bucket is created lazily by the storage service when required. For the future remote deployment, an explicit startup initialization or readiness procedure would make bucket availability deterministic before the first user operation.</w:t>
      </w:r>
    </w:p>
    <w:p>
      <w:pPr>
        <w:pStyle w:val="Heading2"/>
        <w:keepNext/>
        <w:spacing w:before="200" w:after="80"/>
      </w:pPr>
      <w:r>
        <w:rPr>
          <w:rFonts w:ascii="Times New Roman" w:hAnsi="Times New Roman" w:eastAsia="Times New Roman"/>
        </w:rPr>
        <w:t>12. HTTP Security Controls</w:t>
      </w:r>
    </w:p>
    <w:p>
      <w:pPr>
        <w:spacing w:line="276" w:lineRule="auto" w:after="120"/>
        <w:ind w:firstLine="432"/>
        <w:jc w:val="both"/>
      </w:pPr>
      <w:r>
        <w:rPr>
          <w:rFonts w:ascii="Times New Roman" w:hAnsi="Times New Roman" w:eastAsia="Times New Roman"/>
        </w:rPr>
        <w:t>The FastAPI application applies CORS middleware using an explicit set of allowed origins. Credentials are permitted, while allowed methods are restricted to GET, POST, PUT, PATCH, DELETE, and OPTIONS. Allowed request headers are limited to Authorization, Content-Type, and Accept. In production, TrustedHostMiddleware restricts accepted host headers to configured host names, mitigating host-header attacks when the final domain or server address is known.</w:t>
      </w:r>
    </w:p>
    <w:p>
      <w:pPr>
        <w:spacing w:line="276" w:lineRule="auto" w:after="120"/>
        <w:ind w:firstLine="432"/>
        <w:jc w:val="both"/>
      </w:pPr>
      <w:r>
        <w:rPr>
          <w:rFonts w:ascii="Times New Roman" w:hAnsi="Times New Roman" w:eastAsia="Times New Roman"/>
        </w:rPr>
        <w:t>A custom HTTP middleware adds several response-security headers. X-Content-Type-Options is set to nosniff, X-Frame-Options is set to DENY, Referrer-Policy is set to no-referrer, and Permissions-Policy disables camera, microphone, and geolocation. Cache-Control is set to no-store. For ordinary API routes, the Content-Security-Policy defaults to none and disallows framing, base URIs, and form actions. Documentation routes receive a less restrictive policy only when they are enabled. In production, the application also sets Strict-Transport-Security for one year with subdomain inclusion.</w:t>
      </w:r>
    </w:p>
    <w:p>
      <w:pPr>
        <w:spacing w:line="276" w:lineRule="auto" w:after="120"/>
        <w:ind w:firstLine="432"/>
        <w:jc w:val="both"/>
      </w:pPr>
      <w:r>
        <w:rPr>
          <w:rFonts w:ascii="Times New Roman" w:hAnsi="Times New Roman" w:eastAsia="Times New Roman"/>
        </w:rPr>
        <w:t>The HSTS header assumes that the request is delivered over HTTPS. The current local Nginx configuration listens on HTTP port 80 and is mapped to host port 8080, so certificate termination is not yet implemented in the inspected compose stack. Therefore, the HSTS control should be considered deployment-ready but not fully effective until the future remote server is configured with a domain and TLS certificates.</w:t>
      </w:r>
    </w:p>
    <w:p>
      <w:pPr>
        <w:pStyle w:val="Heading2"/>
        <w:keepNext/>
        <w:spacing w:before="200" w:after="80"/>
      </w:pPr>
      <w:r>
        <w:rPr>
          <w:rFonts w:ascii="Times New Roman" w:hAnsi="Times New Roman" w:eastAsia="Times New Roman"/>
        </w:rPr>
        <w:t>13. Containerized Production Architecture</w:t>
      </w:r>
    </w:p>
    <w:p>
      <w:pPr>
        <w:spacing w:line="276" w:lineRule="auto" w:after="120"/>
        <w:ind w:firstLine="432"/>
        <w:jc w:val="both"/>
      </w:pPr>
      <w:r>
        <w:rPr>
          <w:rFonts w:ascii="Times New Roman" w:hAnsi="Times New Roman" w:eastAsia="Times New Roman"/>
        </w:rPr>
        <w:t>Docker Compose defines four production services: nginx, backend, postgres, and minio. Nginx depends on a healthy backend. The backend depends on a healthy PostgreSQL service and a started MinIO service. The backend health check invokes the local /health endpoint every 15 seconds, with a seven-second timeout, five retries, and a 20-second start period. PostgreSQL uses pg_isready every ten seconds. All services use the restart policy unless-stopped.</w:t>
      </w:r>
    </w:p>
    <w:p>
      <w:pPr>
        <w:spacing w:line="276" w:lineRule="auto" w:after="120"/>
        <w:ind w:firstLine="432"/>
        <w:jc w:val="both"/>
      </w:pPr>
      <w:r>
        <w:rPr>
          <w:rFonts w:ascii="Times New Roman" w:hAnsi="Times New Roman" w:eastAsia="Times New Roman"/>
        </w:rPr>
        <w:t>The network topology separates north-south traffic from internal data traffic. Nginx is attached only to the edge network. The backend is attached to both edge and data networks, allowing it to receive proxied requests and communicate with persistence services. PostgreSQL and MinIO are attached only to the internal data network. Because the data network is marked internal, it is isolated from direct external access. This arrangement implements a simple two-zone container architecture and limits direct communication paths.</w:t>
      </w:r>
    </w:p>
    <w:p>
      <w:pPr>
        <w:jc w:val="center"/>
      </w:pPr>
      <w:r>
        <w:rPr>
          <w:rFonts w:ascii="Times New Roman" w:hAnsi="Times New Roman" w:eastAsia="Times New Roman"/>
        </w:rPr>
        <w:drawing>
          <wp:inline xmlns:a="http://schemas.openxmlformats.org/drawingml/2006/main" xmlns:pic="http://schemas.openxmlformats.org/drawingml/2006/picture">
            <wp:extent cx="6126480" cy="1187059"/>
            <wp:docPr id="7" name="Picture 2"/>
            <wp:cNvGraphicFramePr>
              <a:graphicFrameLocks noChangeAspect="1"/>
            </wp:cNvGraphicFramePr>
            <a:graphic>
              <a:graphicData uri="http://schemas.openxmlformats.org/drawingml/2006/picture">
                <pic:pic>
                  <pic:nvPicPr>
                    <pic:cNvPr id="7" name="docker_network_architecture.png"/>
                    <pic:cNvPicPr/>
                  </pic:nvPicPr>
                  <pic:blipFill>
                    <a:blip r:embed="rId20"/>
                    <a:stretch>
                      <a:fillRect/>
                    </a:stretch>
                  </pic:blipFill>
                  <pic:spPr>
                    <a:xfrm>
                      <a:off x="0" y="0"/>
                      <a:ext cx="6126480" cy="1187059"/>
                    </a:xfrm>
                    <a:prstGeom prst="rect"/>
                  </pic:spPr>
                </pic:pic>
              </a:graphicData>
            </a:graphic>
          </wp:inline>
        </w:drawing>
      </w:r>
    </w:p>
    <w:p>
      <w:pPr>
        <w:spacing w:before="60" w:after="160"/>
        <w:jc w:val="center"/>
      </w:pPr>
      <w:r>
        <w:rPr>
          <w:rFonts w:ascii="Times New Roman" w:hAnsi="Times New Roman" w:eastAsia="Times New Roman"/>
          <w:i/>
          <w:sz w:val="20"/>
        </w:rPr>
        <w:t>Figure 2. Docker Compose network segmentation and persistent services.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Service</w:t>
            </w:r>
          </w:p>
        </w:tc>
        <w:tc>
          <w:tcPr>
            <w:tcW w:type="dxa" w:w="234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Host exposure</w:t>
            </w:r>
          </w:p>
        </w:tc>
        <w:tc>
          <w:tcPr>
            <w:tcW w:type="dxa" w:w="234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Networks</w:t>
            </w:r>
          </w:p>
        </w:tc>
        <w:tc>
          <w:tcPr>
            <w:tcW w:type="dxa" w:w="234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Persistence and health</w:t>
            </w:r>
          </w:p>
        </w:tc>
      </w:tr>
      <w:tr>
        <w:trPr>
          <w:cantSplit/>
        </w:trPr>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nginx</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8080:80</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edge</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Read-only Nginx configuration; depends on healthy backend.</w:t>
            </w:r>
          </w:p>
        </w:tc>
      </w:tr>
      <w:tr>
        <w:trPr>
          <w:cantSplit/>
        </w:trPr>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backend</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No published host port; exposes 8000 internally</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edge and data</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HTTP health check against /health; restart unless-stopped.</w:t>
            </w:r>
          </w:p>
        </w:tc>
      </w:tr>
      <w:tr>
        <w:trPr>
          <w:cantSplit/>
        </w:trPr>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postgres</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No published host port</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data</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postgres_prod_data volume; pg_isready health check.</w:t>
            </w:r>
          </w:p>
        </w:tc>
      </w:tr>
      <w:tr>
        <w:trPr>
          <w:cantSplit/>
        </w:trPr>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minio</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No published host port</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data</w:t>
            </w:r>
          </w:p>
        </w:tc>
        <w:tc>
          <w:tcPr>
            <w:tcW w:type="dxa" w:w="2340"/>
            <w:vAlign w:val="center"/>
          </w:tcPr>
          <w:p>
            <w:pPr>
              <w:jc w:val="left"/>
            </w:pPr>
            <w:r>
              <w:rPr>
                <w:rFonts w:ascii="Times New Roman" w:hAnsi="Times New Roman" w:eastAsia="Times New Roman"/>
                <w:sz w:val="17"/>
              </w:rPr>
            </w:r>
            <w:r>
              <w:rPr>
                <w:rFonts w:ascii="Times New Roman" w:hAnsi="Times New Roman" w:eastAsia="Times New Roman"/>
                <w:b w:val="0"/>
                <w:sz w:val="19"/>
              </w:rPr>
              <w:t>minio_prod_data volume; server command with console on 9001 internally.</w:t>
            </w:r>
          </w:p>
        </w:tc>
      </w:tr>
    </w:tbl>
    <w:p>
      <w:pPr>
        <w:spacing w:after="40"/>
      </w:pPr>
    </w:p>
    <w:p>
      <w:pPr>
        <w:spacing w:before="60" w:after="160"/>
        <w:jc w:val="center"/>
      </w:pPr>
      <w:r>
        <w:rPr>
          <w:rFonts w:ascii="Times New Roman" w:hAnsi="Times New Roman" w:eastAsia="Times New Roman"/>
          <w:i/>
          <w:sz w:val="20"/>
        </w:rPr>
        <w:t>Table 3. Production container topology.</w:t>
      </w:r>
    </w:p>
    <w:p>
      <w:pPr>
        <w:pStyle w:val="Heading2"/>
        <w:keepNext/>
        <w:spacing w:before="200" w:after="80"/>
      </w:pPr>
      <w:r>
        <w:rPr>
          <w:rFonts w:ascii="Times New Roman" w:hAnsi="Times New Roman" w:eastAsia="Times New Roman"/>
        </w:rPr>
        <w:t>14. Nginx Reverse Proxy</w:t>
      </w:r>
    </w:p>
    <w:p>
      <w:pPr>
        <w:spacing w:line="276" w:lineRule="auto" w:after="120"/>
        <w:ind w:firstLine="432"/>
        <w:jc w:val="both"/>
      </w:pPr>
      <w:r>
        <w:rPr>
          <w:rFonts w:ascii="Times New Roman" w:hAnsi="Times New Roman" w:eastAsia="Times New Roman"/>
        </w:rPr>
        <w:t>Nginx is the only service published to the host. It listens on container port 80 and receives traffic from host port 8080. The proxy forwards all locations to backend:8000 using HTTP/1.1. It transmits the original host, direct client address, forwarding chain, and original scheme through standard proxy headers. Connection timeout is ten seconds, while send and read timeouts are sixty seconds. The maximum request-body size is 25 MB, accommodating diagnostic files while maintaining a defined upload limit.</w:t>
      </w:r>
    </w:p>
    <w:p>
      <w:pPr>
        <w:spacing w:line="276" w:lineRule="auto" w:after="120"/>
        <w:ind w:firstLine="432"/>
        <w:jc w:val="both"/>
      </w:pPr>
      <w:r>
        <w:rPr>
          <w:rFonts w:ascii="Times New Roman" w:hAnsi="Times New Roman" w:eastAsia="Times New Roman"/>
        </w:rPr>
        <w:t>Nginx duplicates several defensive response headers, including nosniff, frame denial, no-referrer, and restricted permissions. Defense in depth is beneficial, but header ownership should be documented to avoid conflicting values when the deployment evolves. For remote production, the Nginx server block must be extended with the assigned domain, HTTPS listener, certificate files, secure TLS parameters, and an HTTP-to-HTTPS redirect.</w:t>
      </w:r>
    </w:p>
    <w:p>
      <w:pPr>
        <w:pStyle w:val="Heading2"/>
        <w:keepNext/>
        <w:spacing w:before="200" w:after="80"/>
      </w:pPr>
      <w:r>
        <w:rPr>
          <w:rFonts w:ascii="Times New Roman" w:hAnsi="Times New Roman" w:eastAsia="Times New Roman"/>
        </w:rPr>
        <w:t>15. Persistence, Health, and Recovery Design</w:t>
      </w:r>
    </w:p>
    <w:p>
      <w:pPr>
        <w:spacing w:line="276" w:lineRule="auto" w:after="120"/>
        <w:ind w:firstLine="432"/>
        <w:jc w:val="both"/>
      </w:pPr>
      <w:r>
        <w:rPr>
          <w:rFonts w:ascii="Times New Roman" w:hAnsi="Times New Roman" w:eastAsia="Times New Roman"/>
        </w:rPr>
        <w:t>PostgreSQL and MinIO data are stored in named Docker volumes, allowing container recreation without automatic data loss. The health-check and dependency configuration prevents Nginx from starting before the backend is healthy and prevents the backend from proceeding before PostgreSQL is ready. MinIO startup is checked at the service-start level rather than through a native health check, so application-level readiness is additionally validated by the storage lifecycle test.</w:t>
      </w:r>
    </w:p>
    <w:p>
      <w:pPr>
        <w:spacing w:line="276" w:lineRule="auto" w:after="120"/>
        <w:ind w:firstLine="432"/>
        <w:jc w:val="both"/>
      </w:pPr>
      <w:r>
        <w:rPr>
          <w:rFonts w:ascii="Times New Roman" w:hAnsi="Times New Roman" w:eastAsia="Times New Roman"/>
        </w:rPr>
        <w:t>The validated project evidence reported successful PostgreSQL and MinIO backup-and-restore procedures. PostgreSQL restoration passed all 19 checks, while MinIO restoration passed all 23 checks. These results demonstrate that the persistence design is not limited to normal operation; the stored state can also be backed up, restored, and verified. The future remote deployment should schedule these procedures automatically and copy backups to storage independent of the primary server.</w:t>
      </w:r>
    </w:p>
    <w:p>
      <w:pPr>
        <w:pStyle w:val="Heading2"/>
        <w:keepNext/>
        <w:spacing w:before="200" w:after="80"/>
      </w:pPr>
      <w:r>
        <w:rPr>
          <w:rFonts w:ascii="Times New Roman" w:hAnsi="Times New Roman" w:eastAsia="Times New Roman"/>
        </w:rPr>
        <w:t>16. Implementation Verification</w:t>
      </w:r>
    </w:p>
    <w:p>
      <w:pPr>
        <w:spacing w:line="276" w:lineRule="auto" w:after="120"/>
        <w:ind w:firstLine="432"/>
        <w:jc w:val="both"/>
      </w:pPr>
      <w:r>
        <w:rPr>
          <w:rFonts w:ascii="Times New Roman" w:hAnsi="Times New Roman" w:eastAsia="Times New Roman"/>
        </w:rPr>
        <w:t>The local production implementation was subjected to a consolidated validation matrix. All seven validation domains completed successfully, with no failures, pending checks, or review items. The matrix included production HTTP security, strict diagnostic-report auditing, end-to-end diagnostic-report storage, MinIO service lifecycle, PostgreSQL recovery, MinIO recovery, and optimized 200-user load testing.</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Validation domain</w:t>
            </w:r>
          </w:p>
        </w:tc>
        <w:tc>
          <w:tcPr>
            <w:tcW w:type="dxa" w:w="468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Observed result</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Production HTTP security</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17 of 17 checks</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Diagnostic-report strict audit</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9 of 9 checks</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Diagnostic-report end-to-end storage</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10 of 10 checks</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MinIO service lifecycle</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4 of 4 checks</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PostgreSQL backup and restore</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19 of 19 checks</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MinIO backup and restore</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23 of 23 checks</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Optimized 200-user load</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PASS, zero failures, 146.77 requests/s, P95 latency 110 ms</w:t>
            </w:r>
          </w:p>
        </w:tc>
      </w:tr>
    </w:tbl>
    <w:p>
      <w:pPr>
        <w:spacing w:after="40"/>
      </w:pPr>
    </w:p>
    <w:p>
      <w:pPr>
        <w:spacing w:before="60" w:after="160"/>
        <w:jc w:val="center"/>
      </w:pPr>
      <w:r>
        <w:rPr>
          <w:rFonts w:ascii="Times New Roman" w:hAnsi="Times New Roman" w:eastAsia="Times New Roman"/>
          <w:i/>
          <w:sz w:val="20"/>
        </w:rPr>
        <w:t>Table 4. Consolidated local production verification.</w:t>
      </w:r>
    </w:p>
    <w:p>
      <w:pPr>
        <w:pStyle w:val="Heading2"/>
        <w:keepNext/>
        <w:spacing w:before="200" w:after="80"/>
      </w:pPr>
      <w:r>
        <w:rPr>
          <w:rFonts w:ascii="Times New Roman" w:hAnsi="Times New Roman" w:eastAsia="Times New Roman"/>
        </w:rPr>
        <w:t>17. Deployment Readiness and Current Limitations</w:t>
      </w:r>
    </w:p>
    <w:p>
      <w:pPr>
        <w:spacing w:line="276" w:lineRule="auto" w:after="120"/>
        <w:ind w:firstLine="432"/>
        <w:jc w:val="both"/>
      </w:pPr>
      <w:r>
        <w:rPr>
          <w:rFonts w:ascii="Times New Roman" w:hAnsi="Times New Roman" w:eastAsia="Times New Roman"/>
        </w:rPr>
        <w:t>The implementation is cloud-ready because it is containerized, environment-configured, network-segmented, persistent, health-checked, and independent of a specific local installation path. However, the current evidence supports a validated local production deployment rather than a completed public-cloud deployment. The following boundaries should be stated clearly in the thesis.</w:t>
      </w:r>
    </w:p>
    <w:p>
      <w:pPr>
        <w:pStyle w:val="ListBullet"/>
        <w:spacing w:after="60" w:line="264" w:lineRule="auto"/>
        <w:ind w:left="360" w:hanging="216"/>
      </w:pPr>
      <w:r>
        <w:rPr>
          <w:rFonts w:ascii="Times New Roman" w:hAnsi="Times New Roman" w:eastAsia="Times New Roman"/>
        </w:rPr>
        <w:t>The current Nginx service publishes HTTP on host port 8080; public HTTPS termination and domain configuration are not yet implemented.</w:t>
      </w:r>
    </w:p>
    <w:p>
      <w:pPr>
        <w:pStyle w:val="ListBullet"/>
        <w:spacing w:after="60" w:line="264" w:lineRule="auto"/>
        <w:ind w:left="360" w:hanging="216"/>
      </w:pPr>
      <w:r>
        <w:rPr>
          <w:rFonts w:ascii="Times New Roman" w:hAnsi="Times New Roman" w:eastAsia="Times New Roman"/>
        </w:rPr>
        <w:t>The production compose file does not define a frontend service. The validated deployment therefore represents the API and data-services platform.</w:t>
      </w:r>
    </w:p>
    <w:p>
      <w:pPr>
        <w:pStyle w:val="ListBullet"/>
        <w:spacing w:after="60" w:line="264" w:lineRule="auto"/>
        <w:ind w:left="360" w:hanging="216"/>
      </w:pPr>
      <w:r>
        <w:rPr>
          <w:rFonts w:ascii="Times New Roman" w:hAnsi="Times New Roman" w:eastAsia="Times New Roman"/>
        </w:rPr>
        <w:t>The MinIO and Nginx images use floating tags. Pinning exact image versions would improve reproducibility for institutional deployment.</w:t>
      </w:r>
    </w:p>
    <w:p>
      <w:pPr>
        <w:pStyle w:val="ListBullet"/>
        <w:spacing w:after="60" w:line="264" w:lineRule="auto"/>
        <w:ind w:left="360" w:hanging="216"/>
      </w:pPr>
      <w:r>
        <w:rPr>
          <w:rFonts w:ascii="Times New Roman" w:hAnsi="Times New Roman" w:eastAsia="Times New Roman"/>
        </w:rPr>
        <w:t>The API metadata reports version 0.1.0, while the repository has a local production release tag. These version identifiers should be synchronized before final submission.</w:t>
      </w:r>
    </w:p>
    <w:p>
      <w:pPr>
        <w:pStyle w:val="ListBullet"/>
        <w:spacing w:after="60" w:line="264" w:lineRule="auto"/>
        <w:ind w:left="360" w:hanging="216"/>
      </w:pPr>
      <w:r>
        <w:rPr>
          <w:rFonts w:ascii="Times New Roman" w:hAnsi="Times New Roman" w:eastAsia="Times New Roman"/>
        </w:rPr>
        <w:t>The repository abstraction package is currently unpopulated. A future refactoring could introduce explicit repository interfaces for more rigorous separation of persistence logic.</w:t>
      </w:r>
    </w:p>
    <w:p>
      <w:pPr>
        <w:pStyle w:val="ListBullet"/>
        <w:spacing w:after="60" w:line="264" w:lineRule="auto"/>
        <w:ind w:left="360" w:hanging="216"/>
      </w:pPr>
      <w:r>
        <w:rPr>
          <w:rFonts w:ascii="Times New Roman" w:hAnsi="Times New Roman" w:eastAsia="Times New Roman"/>
        </w:rPr>
        <w:t>The HSTS header becomes operationally meaningful only after trusted HTTPS termination is configured on the remote server.</w:t>
      </w:r>
    </w:p>
    <w:p>
      <w:pPr>
        <w:spacing w:line="276" w:lineRule="auto" w:after="120"/>
        <w:ind w:firstLine="432"/>
        <w:jc w:val="both"/>
      </w:pPr>
      <w:r>
        <w:rPr>
          <w:rFonts w:ascii="Times New Roman" w:hAnsi="Times New Roman" w:eastAsia="Times New Roman"/>
        </w:rPr>
        <w:t>These limitations do not invalidate the implementation. They define the remaining infrastructure tasks and prevent the thesis from overstating the current deployment status. Once the university VM is provided, the same Docker Compose architecture can be deployed remotely, followed by host hardening, firewall configuration, domain resolution, TLS certificates, automated backup scheduling, and external verification.</w:t>
      </w:r>
    </w:p>
    <w:p>
      <w:pPr>
        <w:pStyle w:val="Heading2"/>
        <w:keepNext/>
        <w:spacing w:before="200" w:after="80"/>
      </w:pPr>
      <w:r>
        <w:rPr>
          <w:rFonts w:ascii="Times New Roman" w:hAnsi="Times New Roman" w:eastAsia="Times New Roman"/>
        </w:rPr>
        <w:t>18. Summary</w:t>
      </w:r>
    </w:p>
    <w:p>
      <w:pPr>
        <w:spacing w:line="276" w:lineRule="auto" w:after="120"/>
        <w:ind w:firstLine="432"/>
        <w:jc w:val="both"/>
      </w:pPr>
      <w:r>
        <w:rPr>
          <w:rFonts w:ascii="Times New Roman" w:hAnsi="Times New Roman" w:eastAsia="Times New Roman"/>
        </w:rPr>
        <w:t>The Healthcare Cloud Platform implements a coherent, security-oriented, containerized architecture for structured healthcare records and binary diagnostic objects. FastAPI provides modular versioned APIs; bcrypt and JWT provide credential and session security; PostgreSQL provides transactional persistence; MinIO separates binary storage from relational metadata; role dependencies enforce professional access boundaries; and the audit service records security-relevant events. Nginx provides the controlled entry point, while Docker networks isolate data services from host exposure. Persistent volumes, health checks, restart policies, and validated recovery procedures support operational continuity.</w:t>
      </w:r>
    </w:p>
    <w:p>
      <w:pPr>
        <w:spacing w:line="276" w:lineRule="auto" w:after="120"/>
        <w:ind w:firstLine="432"/>
        <w:jc w:val="both"/>
      </w:pPr>
      <w:r>
        <w:rPr>
          <w:rFonts w:ascii="Times New Roman" w:hAnsi="Times New Roman" w:eastAsia="Times New Roman"/>
        </w:rPr>
        <w:t>The local production environment has been comprehensively validated and is suitable as the technical foundation for the thesis. The remaining work is primarily infrastructural rather than architectural: deployment to the institutional VM, secure public-domain configuration, HTTPS termination, automated off-server backups, and final external testing. The implemented design therefore provides a defensible transition from a validated local production prototype to a remotely hosted cloud-based healthcare platform.</w:t>
      </w:r>
    </w:p>
    <w:p>
      <w:pPr>
        <w:pStyle w:val="Heading2"/>
        <w:keepNext/>
        <w:spacing w:before="200" w:after="80"/>
      </w:pPr>
      <w:r>
        <w:rPr>
          <w:rFonts w:ascii="Times New Roman" w:hAnsi="Times New Roman" w:eastAsia="Times New Roman"/>
        </w:rPr>
        <w:t>Appendix A. Implementation Traceability</w:t>
      </w:r>
    </w:p>
    <w:p>
      <w:pPr>
        <w:spacing w:line="276" w:lineRule="auto" w:after="120"/>
        <w:ind w:firstLine="432"/>
        <w:jc w:val="both"/>
      </w:pPr>
      <w:r>
        <w:rPr>
          <w:rFonts w:ascii="Times New Roman" w:hAnsi="Times New Roman" w:eastAsia="Times New Roman"/>
        </w:rPr>
        <w:t>The following traceability table links the principal chapter claims to the inspected implementation artifacts. This supports reproducibility and allows the thesis author or reviewer to locate the relevant source evidence.</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Chapter claim</w:t>
            </w:r>
          </w:p>
        </w:tc>
        <w:tc>
          <w:tcPr>
            <w:tcW w:type="dxa" w:w="4680"/>
            <w:shd w:fill="D9E1F2"/>
            <w:vAlign w:val="center"/>
          </w:tcPr>
          <w:p>
            <w:pPr>
              <w:jc w:val="left"/>
            </w:pPr>
            <w:r>
              <w:rPr>
                <w:rFonts w:ascii="Times New Roman" w:hAnsi="Times New Roman" w:eastAsia="Times New Roman"/>
                <w:sz w:val="17"/>
              </w:rPr>
            </w:r>
            <w:r>
              <w:rPr>
                <w:rFonts w:ascii="Times New Roman" w:hAnsi="Times New Roman" w:eastAsia="Times New Roman"/>
                <w:b/>
                <w:sz w:val="20"/>
              </w:rPr>
              <w:t>Primary implementation evidence</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API initialization, middleware, health route, production documentation behavior</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backend/app/main.py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Versioned API composition</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backend/app/api/v1/router.py and api_routes_inventory.txt</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Environment-driven configuration</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backend/app/core/config.py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Bcrypt hashing and JWT lifecycle</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backend/app/core/security.py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Bearer authentication and active-user validation</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backend/app/api/dependencies/auth.py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Role authorization and denied-access auditing</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backend/app/api/dependencies/rbac.py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MinIO upload, download, integrity verification, and deletion</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backend/app/services/storage_service.py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Audit-event structure and persistence behavior</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backend/app/services/audit_service.py</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Service topology, networks, volumes, and health checks</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docker-compose.prod.yml</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Reverse proxy and request-header forwarding</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nginx/default.conf</w:t>
            </w:r>
          </w:p>
        </w:tc>
      </w:tr>
      <w:tr>
        <w:trPr>
          <w:cantSplit/>
        </w:trPr>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Operational validation</w:t>
            </w:r>
          </w:p>
        </w:tc>
        <w:tc>
          <w:tcPr>
            <w:tcW w:type="dxa" w:w="4680"/>
            <w:vAlign w:val="center"/>
          </w:tcPr>
          <w:p>
            <w:pPr>
              <w:jc w:val="left"/>
            </w:pPr>
            <w:r>
              <w:rPr>
                <w:rFonts w:ascii="Times New Roman" w:hAnsi="Times New Roman" w:eastAsia="Times New Roman"/>
                <w:sz w:val="17"/>
              </w:rPr>
            </w:r>
            <w:r>
              <w:rPr>
                <w:rFonts w:ascii="Times New Roman" w:hAnsi="Times New Roman" w:eastAsia="Times New Roman"/>
                <w:b w:val="0"/>
                <w:sz w:val="19"/>
              </w:rPr>
              <w:t>tests/final_validation, tests/security, tests/storage, tests/recovery, and tests/performance evidence</w:t>
            </w:r>
          </w:p>
        </w:tc>
      </w:tr>
    </w:tbl>
    <w:p>
      <w:pPr>
        <w:spacing w:after="40"/>
      </w:pPr>
    </w:p>
    <w:p>
      <w:pPr>
        <w:spacing w:before="60" w:after="160"/>
        <w:jc w:val="center"/>
      </w:pPr>
      <w:r>
        <w:rPr>
          <w:rFonts w:ascii="Times New Roman" w:hAnsi="Times New Roman" w:eastAsia="Times New Roman"/>
          <w:i/>
          <w:sz w:val="20"/>
        </w:rPr>
        <w:t>Table A1. Traceability between documented claims and implementation artifacts.</w:t>
      </w:r>
    </w:p>
    <w:p>
      <w:pPr>
        <w:pStyle w:val="Heading1"/>
        <w:pageBreakBefore w:val="1"/>
        <w:keepNext/>
      </w:pPr>
      <w:r>
        <w:rPr>
          <w:rFonts w:ascii="Times New Roman" w:hAnsi="Times New Roman" w:eastAsia="Times New Roman"/>
        </w:rPr>
        <w:t>Chapter 4. Security Architecture and Validation</w:t>
      </w:r>
    </w:p>
    <w:p>
      <w:pPr>
        <w:pStyle w:val="Heading2"/>
      </w:pPr>
      <w:r>
        <w:rPr>
          <w:rFonts w:ascii="Times New Roman" w:hAnsi="Times New Roman" w:eastAsia="Times New Roman"/>
        </w:rPr>
        <w:t>Executive Summary</w:t>
      </w:r>
    </w:p>
    <w:p>
      <w:r>
        <w:rPr>
          <w:rFonts w:ascii="Times New Roman" w:hAnsi="Times New Roman" w:eastAsia="Times New Roman"/>
        </w:rPr>
        <w:t>This chapter presents the security architecture and empirical validation of the Healthcare Cloud Platform. The implemented controls follow a layered model that combines password protection, token-based authentication, active-account verification, route-level role-based access control, security-relevant audit logging, HTTP response hardening, origin and host restrictions, and infrastructure isolation. The discussion is grounded in the supplied source code and test artifacts rather than in a generic reference architecture.</w:t>
      </w:r>
    </w:p>
    <w:p>
      <w:r>
        <w:rPr>
          <w:rFonts w:ascii="Times New Roman" w:hAnsi="Times New Roman" w:eastAsia="Times New Roman"/>
        </w:rPr>
        <w:t>The evidence base reports complete success for the tested local production configuration. Seventeen HTTP security checks passed, eight JWT tests passed, nine diagnostic-report audit checks passed, and the final validation matrix reported seven passing domains with no failed, pending, or review items. These results support a local production-readiness claim for the measured environment. They do not, by themselves, establish compliance with a specific health information regulation or prove the security of a future Internet-facing deployment.</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4082"/>
            <w:vAlign w:val="center"/>
            <w:shd w:fill="D9E1F2"/>
          </w:tcPr>
          <w:p>
            <w:pPr>
              <w:jc w:val="left"/>
            </w:pPr>
            <w:r>
              <w:rPr>
                <w:rFonts w:ascii="Times New Roman" w:hAnsi="Times New Roman" w:eastAsia="Times New Roman"/>
                <w:sz w:val="17"/>
              </w:rPr>
            </w:r>
            <w:r>
              <w:rPr>
                <w:rFonts w:ascii="Times New Roman" w:hAnsi="Times New Roman" w:eastAsia="Times New Roman"/>
                <w:b/>
                <w:sz w:val="18"/>
              </w:rPr>
              <w:t>Validation area</w:t>
            </w:r>
          </w:p>
        </w:tc>
        <w:tc>
          <w:tcPr>
            <w:tcW w:type="dxa" w:w="2835"/>
            <w:vAlign w:val="center"/>
            <w:shd w:fill="D9E1F2"/>
          </w:tcPr>
          <w:p>
            <w:pPr>
              <w:jc w:val="left"/>
            </w:pPr>
            <w:r>
              <w:rPr>
                <w:rFonts w:ascii="Times New Roman" w:hAnsi="Times New Roman" w:eastAsia="Times New Roman"/>
                <w:sz w:val="17"/>
              </w:rPr>
            </w:r>
            <w:r>
              <w:rPr>
                <w:rFonts w:ascii="Times New Roman" w:hAnsi="Times New Roman" w:eastAsia="Times New Roman"/>
                <w:b/>
                <w:sz w:val="18"/>
              </w:rPr>
              <w:t>Measured result</w:t>
            </w:r>
          </w:p>
        </w:tc>
        <w:tc>
          <w:tcPr>
            <w:tcW w:type="dxa" w:w="1417"/>
            <w:vAlign w:val="center"/>
            <w:shd w:fill="D9E1F2"/>
          </w:tcPr>
          <w:p>
            <w:pPr>
              <w:jc w:val="left"/>
            </w:pPr>
            <w:r>
              <w:rPr>
                <w:rFonts w:ascii="Times New Roman" w:hAnsi="Times New Roman" w:eastAsia="Times New Roman"/>
                <w:sz w:val="17"/>
              </w:rPr>
            </w:r>
            <w:r>
              <w:rPr>
                <w:rFonts w:ascii="Times New Roman" w:hAnsi="Times New Roman" w:eastAsia="Times New Roman"/>
                <w:b/>
                <w:sz w:val="18"/>
              </w:rPr>
              <w:t>Status</w:t>
            </w:r>
          </w:p>
        </w:tc>
      </w:tr>
      <w:tr>
        <w:trPr>
          <w:cantSplit/>
        </w:trPr>
        <w:tc>
          <w:tcPr>
            <w:tcW w:type="dxa" w:w="4082"/>
            <w:vAlign w:val="center"/>
          </w:tcPr>
          <w:p>
            <w:pPr>
              <w:jc w:val="left"/>
            </w:pPr>
            <w:r>
              <w:rPr>
                <w:rFonts w:ascii="Times New Roman" w:hAnsi="Times New Roman" w:eastAsia="Times New Roman"/>
                <w:sz w:val="17"/>
              </w:rPr>
            </w:r>
            <w:r>
              <w:rPr>
                <w:rFonts w:ascii="Times New Roman" w:hAnsi="Times New Roman" w:eastAsia="Times New Roman"/>
                <w:b w:val="0"/>
                <w:sz w:val="18"/>
              </w:rPr>
              <w:t>Production HTTP security</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17/17</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r>
        <w:trPr>
          <w:cantSplit/>
        </w:trPr>
        <w:tc>
          <w:tcPr>
            <w:tcW w:type="dxa" w:w="4082"/>
            <w:vAlign w:val="center"/>
          </w:tcPr>
          <w:p>
            <w:pPr>
              <w:jc w:val="left"/>
            </w:pPr>
            <w:r>
              <w:rPr>
                <w:rFonts w:ascii="Times New Roman" w:hAnsi="Times New Roman" w:eastAsia="Times New Roman"/>
                <w:sz w:val="17"/>
              </w:rPr>
            </w:r>
            <w:r>
              <w:rPr>
                <w:rFonts w:ascii="Times New Roman" w:hAnsi="Times New Roman" w:eastAsia="Times New Roman"/>
                <w:b w:val="0"/>
                <w:sz w:val="18"/>
              </w:rPr>
              <w:t>JWT authentication security</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8/8</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r>
        <w:trPr>
          <w:cantSplit/>
        </w:trPr>
        <w:tc>
          <w:tcPr>
            <w:tcW w:type="dxa" w:w="4082"/>
            <w:vAlign w:val="center"/>
          </w:tcPr>
          <w:p>
            <w:pPr>
              <w:jc w:val="left"/>
            </w:pPr>
            <w:r>
              <w:rPr>
                <w:rFonts w:ascii="Times New Roman" w:hAnsi="Times New Roman" w:eastAsia="Times New Roman"/>
                <w:sz w:val="17"/>
              </w:rPr>
            </w:r>
            <w:r>
              <w:rPr>
                <w:rFonts w:ascii="Times New Roman" w:hAnsi="Times New Roman" w:eastAsia="Times New Roman"/>
                <w:b w:val="0"/>
                <w:sz w:val="18"/>
              </w:rPr>
              <w:t>Diagnostic-report audit validation</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9/9</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r>
        <w:trPr>
          <w:cantSplit/>
        </w:trPr>
        <w:tc>
          <w:tcPr>
            <w:tcW w:type="dxa" w:w="4082"/>
            <w:vAlign w:val="center"/>
          </w:tcPr>
          <w:p>
            <w:pPr>
              <w:jc w:val="left"/>
            </w:pPr>
            <w:r>
              <w:rPr>
                <w:rFonts w:ascii="Times New Roman" w:hAnsi="Times New Roman" w:eastAsia="Times New Roman"/>
                <w:sz w:val="17"/>
              </w:rPr>
            </w:r>
            <w:r>
              <w:rPr>
                <w:rFonts w:ascii="Times New Roman" w:hAnsi="Times New Roman" w:eastAsia="Times New Roman"/>
                <w:b w:val="0"/>
                <w:sz w:val="18"/>
              </w:rPr>
              <w:t>Role inventory</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31 API operations inventoried</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8"/>
              </w:rPr>
              <w:t>29 role-protected; 2 authentication routes</w:t>
            </w:r>
          </w:p>
        </w:tc>
      </w:tr>
      <w:tr>
        <w:trPr>
          <w:cantSplit/>
        </w:trPr>
        <w:tc>
          <w:tcPr>
            <w:tcW w:type="dxa" w:w="4082"/>
            <w:vAlign w:val="center"/>
          </w:tcPr>
          <w:p>
            <w:pPr>
              <w:jc w:val="left"/>
            </w:pPr>
            <w:r>
              <w:rPr>
                <w:rFonts w:ascii="Times New Roman" w:hAnsi="Times New Roman" w:eastAsia="Times New Roman"/>
                <w:sz w:val="17"/>
              </w:rPr>
            </w:r>
            <w:r>
              <w:rPr>
                <w:rFonts w:ascii="Times New Roman" w:hAnsi="Times New Roman" w:eastAsia="Times New Roman"/>
                <w:b w:val="0"/>
                <w:sz w:val="18"/>
              </w:rPr>
              <w:t>Final project validation matrix</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7/7 domains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bl>
    <w:p/>
    <w:p>
      <w:pPr>
        <w:spacing w:before="80" w:after="160"/>
        <w:ind w:left="340" w:right="340"/>
      </w:pPr>
      <w:r>
        <w:rPr>
          <w:rFonts w:ascii="Times New Roman" w:hAnsi="Times New Roman" w:eastAsia="Times New Roman"/>
          <w:i/>
          <w:sz w:val="19"/>
        </w:rPr>
        <w:t>Primary evidence: tests/security/production_security_results.csv; tests/security/jwt_security_results.csv; tests/security/rbac_matrix.csv; tests/security/diagnostic_report_audit_results.csv; docs/evidence/final_validation_matrix.md.</w:t>
      </w:r>
    </w:p>
    <w:p>
      <w:pPr>
        <w:pStyle w:val="Heading2"/>
      </w:pPr>
      <w:r>
        <w:rPr>
          <w:rFonts w:ascii="Times New Roman" w:hAnsi="Times New Roman" w:eastAsia="Times New Roman"/>
        </w:rPr>
        <w:t>1. Security Objectives and Trust Boundaries</w:t>
      </w:r>
    </w:p>
    <w:p>
      <w:r>
        <w:rPr>
          <w:rFonts w:ascii="Times New Roman" w:hAnsi="Times New Roman" w:eastAsia="Times New Roman"/>
        </w:rPr>
        <w:t>The platform security design addresses four primary objectives: confidentiality of healthcare data, integrity of stored and transmitted information, controlled availability of services, and accountability for security-relevant operations. The implementation separates these objectives across complementary controls rather than relying on a single mechanism.</w:t>
      </w:r>
    </w:p>
    <w:p>
      <w:pPr>
        <w:pStyle w:val="ListBullet"/>
        <w:ind w:left="283" w:hanging="142"/>
      </w:pPr>
      <w:r>
        <w:rPr>
          <w:rFonts w:ascii="Times New Roman" w:hAnsi="Times New Roman" w:eastAsia="Times New Roman"/>
        </w:rPr>
        <w:t>Identity assurance: a request must carry a valid signed access token linked to an existing active user.</w:t>
      </w:r>
    </w:p>
    <w:p>
      <w:pPr>
        <w:pStyle w:val="ListBullet"/>
        <w:ind w:left="283" w:hanging="142"/>
      </w:pPr>
      <w:r>
        <w:rPr>
          <w:rFonts w:ascii="Times New Roman" w:hAnsi="Times New Roman" w:eastAsia="Times New Roman"/>
        </w:rPr>
        <w:t>Authorization: authenticated users may invoke only operations assigned to their role.</w:t>
      </w:r>
    </w:p>
    <w:p>
      <w:pPr>
        <w:pStyle w:val="ListBullet"/>
        <w:ind w:left="283" w:hanging="142"/>
      </w:pPr>
      <w:r>
        <w:rPr>
          <w:rFonts w:ascii="Times New Roman" w:hAnsi="Times New Roman" w:eastAsia="Times New Roman"/>
        </w:rPr>
        <w:t>Accountability: denied access and healthcare-data actions are recorded with contextual metadata.</w:t>
      </w:r>
    </w:p>
    <w:p>
      <w:pPr>
        <w:pStyle w:val="ListBullet"/>
        <w:ind w:left="283" w:hanging="142"/>
      </w:pPr>
      <w:r>
        <w:rPr>
          <w:rFonts w:ascii="Times New Roman" w:hAnsi="Times New Roman" w:eastAsia="Times New Roman"/>
        </w:rPr>
        <w:t>Attack-surface reduction: production documentation routes are disabled and untrusted hosts and origins are rejected.</w:t>
      </w:r>
    </w:p>
    <w:p>
      <w:pPr>
        <w:pStyle w:val="ListBullet"/>
        <w:ind w:left="283" w:hanging="142"/>
      </w:pPr>
      <w:r>
        <w:rPr>
          <w:rFonts w:ascii="Times New Roman" w:hAnsi="Times New Roman" w:eastAsia="Times New Roman"/>
        </w:rPr>
        <w:t>Persistence protection: structured audit data is stored in PostgreSQL, while object-storage operations are independently validated.</w:t>
      </w:r>
    </w:p>
    <w:p>
      <w:pPr>
        <w:jc w:val="center"/>
      </w:pPr>
      <w:r>
        <w:rPr>
          <w:rFonts w:ascii="Times New Roman" w:hAnsi="Times New Roman" w:eastAsia="Times New Roman"/>
        </w:rPr>
        <w:drawing>
          <wp:inline xmlns:a="http://schemas.openxmlformats.org/drawingml/2006/main" xmlns:pic="http://schemas.openxmlformats.org/drawingml/2006/picture">
            <wp:extent cx="6126480" cy="3715142"/>
            <wp:docPr id="8" name="Picture 1"/>
            <wp:cNvGraphicFramePr>
              <a:graphicFrameLocks noChangeAspect="1"/>
            </wp:cNvGraphicFramePr>
            <a:graphic>
              <a:graphicData uri="http://schemas.openxmlformats.org/drawingml/2006/picture">
                <pic:pic>
                  <pic:nvPicPr>
                    <pic:cNvPr id="8" name="layered_security_architecture.png"/>
                    <pic:cNvPicPr/>
                  </pic:nvPicPr>
                  <pic:blipFill>
                    <a:blip r:embed="rId21"/>
                    <a:stretch>
                      <a:fillRect/>
                    </a:stretch>
                  </pic:blipFill>
                  <pic:spPr>
                    <a:xfrm>
                      <a:off x="0" y="0"/>
                      <a:ext cx="6126480" cy="3715142"/>
                    </a:xfrm>
                    <a:prstGeom prst="rect"/>
                  </pic:spPr>
                </pic:pic>
              </a:graphicData>
            </a:graphic>
          </wp:inline>
        </w:drawing>
      </w:r>
    </w:p>
    <w:p>
      <w:pPr>
        <w:pStyle w:val="AcademicCaption"/>
      </w:pPr>
      <w:r>
        <w:rPr>
          <w:rFonts w:ascii="Times New Roman" w:hAnsi="Times New Roman" w:eastAsia="Times New Roman"/>
        </w:rPr>
        <w:t>Figure 1. Layered security architecture implemented in the platform.</w:t>
      </w:r>
    </w:p>
    <w:p>
      <w:r>
        <w:rPr>
          <w:rFonts w:ascii="Times New Roman" w:hAnsi="Times New Roman" w:eastAsia="Times New Roman"/>
        </w:rPr>
        <w:t>The outer trust boundary is the HTTP entry point. Requests reaching the FastAPI application are subject to host validation, CORS policy, response-header hardening, authentication dependencies, and route-specific authorization. The persistence boundary contains user identities, roles, and audit records. Object storage is addressed separately by the system implementation and lifecycle validation.</w:t>
      </w:r>
    </w:p>
    <w:p>
      <w:pPr>
        <w:pStyle w:val="Heading2"/>
      </w:pPr>
      <w:r>
        <w:rPr>
          <w:rFonts w:ascii="Times New Roman" w:hAnsi="Times New Roman" w:eastAsia="Times New Roman"/>
        </w:rPr>
        <w:t>2. Password Protection and Credential Handling</w:t>
      </w:r>
    </w:p>
    <w:p>
      <w:pPr>
        <w:pStyle w:val="Heading3"/>
      </w:pPr>
      <w:r>
        <w:rPr>
          <w:rFonts w:ascii="Times New Roman" w:hAnsi="Times New Roman" w:eastAsia="Times New Roman"/>
        </w:rPr>
        <w:t>2.1 Password hashing</w:t>
      </w:r>
    </w:p>
    <w:p>
      <w:r>
        <w:rPr>
          <w:rFonts w:ascii="Times New Roman" w:hAnsi="Times New Roman" w:eastAsia="Times New Roman"/>
        </w:rPr>
        <w:t>The security module uses Passlib's CryptContext with the bcrypt scheme. Plaintext passwords are not intended for database persistence. During account creation, the hash_password function rejects passwords shorter than eight characters and returns a bcrypt hash. During login, verify_password compares the supplied plaintext credential with the stored hash.</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268"/>
            <w:vAlign w:val="center"/>
            <w:shd w:fill="D9E1F2"/>
          </w:tcPr>
          <w:p>
            <w:pPr>
              <w:jc w:val="left"/>
            </w:pPr>
            <w:r>
              <w:rPr>
                <w:rFonts w:ascii="Times New Roman" w:hAnsi="Times New Roman" w:eastAsia="Times New Roman"/>
                <w:sz w:val="17"/>
              </w:rPr>
            </w:r>
            <w:r>
              <w:rPr>
                <w:rFonts w:ascii="Times New Roman" w:hAnsi="Times New Roman" w:eastAsia="Times New Roman"/>
                <w:b/>
                <w:sz w:val="18"/>
              </w:rPr>
              <w:t>Control</w:t>
            </w:r>
          </w:p>
        </w:tc>
        <w:tc>
          <w:tcPr>
            <w:tcW w:type="dxa" w:w="3402"/>
            <w:vAlign w:val="center"/>
            <w:shd w:fill="D9E1F2"/>
          </w:tcPr>
          <w:p>
            <w:pPr>
              <w:jc w:val="left"/>
            </w:pPr>
            <w:r>
              <w:rPr>
                <w:rFonts w:ascii="Times New Roman" w:hAnsi="Times New Roman" w:eastAsia="Times New Roman"/>
                <w:sz w:val="17"/>
              </w:rPr>
            </w:r>
            <w:r>
              <w:rPr>
                <w:rFonts w:ascii="Times New Roman" w:hAnsi="Times New Roman" w:eastAsia="Times New Roman"/>
                <w:b/>
                <w:sz w:val="18"/>
              </w:rPr>
              <w:t>Implementation</w:t>
            </w:r>
          </w:p>
        </w:tc>
        <w:tc>
          <w:tcPr>
            <w:tcW w:type="dxa" w:w="3402"/>
            <w:vAlign w:val="center"/>
            <w:shd w:fill="D9E1F2"/>
          </w:tcPr>
          <w:p>
            <w:pPr>
              <w:jc w:val="left"/>
            </w:pPr>
            <w:r>
              <w:rPr>
                <w:rFonts w:ascii="Times New Roman" w:hAnsi="Times New Roman" w:eastAsia="Times New Roman"/>
                <w:sz w:val="17"/>
              </w:rPr>
            </w:r>
            <w:r>
              <w:rPr>
                <w:rFonts w:ascii="Times New Roman" w:hAnsi="Times New Roman" w:eastAsia="Times New Roman"/>
                <w:b/>
                <w:sz w:val="18"/>
              </w:rPr>
              <w:t>Security effect</w:t>
            </w:r>
          </w:p>
        </w:tc>
      </w:tr>
      <w:tr>
        <w:trPr>
          <w:cantSplit/>
        </w:trPr>
        <w:tc>
          <w:tcPr>
            <w:tcW w:type="dxa" w:w="2268"/>
            <w:vAlign w:val="center"/>
          </w:tcPr>
          <w:p>
            <w:pPr>
              <w:jc w:val="left"/>
            </w:pPr>
            <w:r>
              <w:rPr>
                <w:rFonts w:ascii="Times New Roman" w:hAnsi="Times New Roman" w:eastAsia="Times New Roman"/>
                <w:sz w:val="17"/>
              </w:rPr>
            </w:r>
            <w:r>
              <w:rPr>
                <w:rFonts w:ascii="Times New Roman" w:hAnsi="Times New Roman" w:eastAsia="Times New Roman"/>
                <w:b w:val="0"/>
                <w:sz w:val="18"/>
              </w:rPr>
              <w:t>Password storage</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Bcrypt hash through Passlib CryptContext</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Reduces exposure if the user table is disclosed</w:t>
            </w:r>
          </w:p>
        </w:tc>
      </w:tr>
      <w:tr>
        <w:trPr>
          <w:cantSplit/>
        </w:trPr>
        <w:tc>
          <w:tcPr>
            <w:tcW w:type="dxa" w:w="2268"/>
            <w:vAlign w:val="center"/>
          </w:tcPr>
          <w:p>
            <w:pPr>
              <w:jc w:val="left"/>
            </w:pPr>
            <w:r>
              <w:rPr>
                <w:rFonts w:ascii="Times New Roman" w:hAnsi="Times New Roman" w:eastAsia="Times New Roman"/>
                <w:sz w:val="17"/>
              </w:rPr>
            </w:r>
            <w:r>
              <w:rPr>
                <w:rFonts w:ascii="Times New Roman" w:hAnsi="Times New Roman" w:eastAsia="Times New Roman"/>
                <w:b w:val="0"/>
                <w:sz w:val="18"/>
              </w:rPr>
              <w:t>Minimum length</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At least 8 characters</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Rejects trivially short credentials</w:t>
            </w:r>
          </w:p>
        </w:tc>
      </w:tr>
      <w:tr>
        <w:trPr>
          <w:cantSplit/>
        </w:trPr>
        <w:tc>
          <w:tcPr>
            <w:tcW w:type="dxa" w:w="2268"/>
            <w:vAlign w:val="center"/>
          </w:tcPr>
          <w:p>
            <w:pPr>
              <w:jc w:val="left"/>
            </w:pPr>
            <w:r>
              <w:rPr>
                <w:rFonts w:ascii="Times New Roman" w:hAnsi="Times New Roman" w:eastAsia="Times New Roman"/>
                <w:sz w:val="17"/>
              </w:rPr>
            </w:r>
            <w:r>
              <w:rPr>
                <w:rFonts w:ascii="Times New Roman" w:hAnsi="Times New Roman" w:eastAsia="Times New Roman"/>
                <w:b w:val="0"/>
                <w:sz w:val="18"/>
              </w:rPr>
              <w:t>Verification</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Constant library-managed hash verification</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Avoids direct plaintext comparison</w:t>
            </w:r>
          </w:p>
        </w:tc>
      </w:tr>
      <w:tr>
        <w:trPr>
          <w:cantSplit/>
        </w:trPr>
        <w:tc>
          <w:tcPr>
            <w:tcW w:type="dxa" w:w="2268"/>
            <w:vAlign w:val="center"/>
          </w:tcPr>
          <w:p>
            <w:pPr>
              <w:jc w:val="left"/>
            </w:pPr>
            <w:r>
              <w:rPr>
                <w:rFonts w:ascii="Times New Roman" w:hAnsi="Times New Roman" w:eastAsia="Times New Roman"/>
                <w:sz w:val="17"/>
              </w:rPr>
            </w:r>
            <w:r>
              <w:rPr>
                <w:rFonts w:ascii="Times New Roman" w:hAnsi="Times New Roman" w:eastAsia="Times New Roman"/>
                <w:b w:val="0"/>
                <w:sz w:val="18"/>
              </w:rPr>
              <w:t>Database field</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hashed_password, non-nullable</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Prevents normal user records without a stored credential hash</w:t>
            </w:r>
          </w:p>
        </w:tc>
      </w:tr>
    </w:tbl>
    <w:p/>
    <w:p>
      <w:pPr>
        <w:pStyle w:val="Heading3"/>
      </w:pPr>
      <w:r>
        <w:rPr>
          <w:rFonts w:ascii="Times New Roman" w:hAnsi="Times New Roman" w:eastAsia="Times New Roman"/>
        </w:rPr>
        <w:t>2.2 Review observations</w:t>
      </w:r>
    </w:p>
    <w:p>
      <w:r>
        <w:rPr>
          <w:rFonts w:ascii="Times New Roman" w:hAnsi="Times New Roman" w:eastAsia="Times New Roman"/>
        </w:rPr>
        <w:t>The implemented baseline is technically sound for a prototype, but the supplied source does not show password complexity rules beyond minimum length, breached-password screening, login lockout, password history, password-expiration policy, or multi-factor authentication. These omissions should be described as future hardening requirements rather than silently assumed to exist.</w:t>
      </w:r>
    </w:p>
    <w:p>
      <w:pPr>
        <w:pStyle w:val="Heading2"/>
      </w:pPr>
      <w:r>
        <w:rPr>
          <w:rFonts w:ascii="Times New Roman" w:hAnsi="Times New Roman" w:eastAsia="Times New Roman"/>
        </w:rPr>
        <w:t>3. JWT Authentication and Authenticated-User Resolution</w:t>
      </w:r>
    </w:p>
    <w:p>
      <w:pPr>
        <w:pStyle w:val="Heading3"/>
      </w:pPr>
      <w:r>
        <w:rPr>
          <w:rFonts w:ascii="Times New Roman" w:hAnsi="Times New Roman" w:eastAsia="Times New Roman"/>
        </w:rPr>
        <w:t>3.1 Token construction and validation</w:t>
      </w:r>
    </w:p>
    <w:p>
      <w:r>
        <w:rPr>
          <w:rFonts w:ascii="Times New Roman" w:hAnsi="Times New Roman" w:eastAsia="Times New Roman"/>
        </w:rPr>
        <w:t>Access tokens are JSON Web Tokens signed with the configured algorithm and secret key. The token payload contains the subject identifier (sub), issue time (iat), and expiration time (exp). The supplied configuration sets HS256 as the algorithm and a default access-token lifetime of 30 minutes. Token decoding is restricted to the configured algorithm. Invalid or expired tokens are converted into a controlled authentication failure.</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984"/>
            <w:vAlign w:val="center"/>
            <w:shd w:fill="D9E1F2"/>
          </w:tcPr>
          <w:p>
            <w:pPr>
              <w:jc w:val="left"/>
            </w:pPr>
            <w:r>
              <w:rPr>
                <w:rFonts w:ascii="Times New Roman" w:hAnsi="Times New Roman" w:eastAsia="Times New Roman"/>
                <w:sz w:val="17"/>
              </w:rPr>
            </w:r>
            <w:r>
              <w:rPr>
                <w:rFonts w:ascii="Times New Roman" w:hAnsi="Times New Roman" w:eastAsia="Times New Roman"/>
                <w:b/>
                <w:sz w:val="18"/>
              </w:rPr>
              <w:t>JWT element</w:t>
            </w:r>
          </w:p>
        </w:tc>
        <w:tc>
          <w:tcPr>
            <w:tcW w:type="dxa" w:w="3515"/>
            <w:vAlign w:val="center"/>
            <w:shd w:fill="D9E1F2"/>
          </w:tcPr>
          <w:p>
            <w:pPr>
              <w:jc w:val="left"/>
            </w:pPr>
            <w:r>
              <w:rPr>
                <w:rFonts w:ascii="Times New Roman" w:hAnsi="Times New Roman" w:eastAsia="Times New Roman"/>
                <w:sz w:val="17"/>
              </w:rPr>
            </w:r>
            <w:r>
              <w:rPr>
                <w:rFonts w:ascii="Times New Roman" w:hAnsi="Times New Roman" w:eastAsia="Times New Roman"/>
                <w:b/>
                <w:sz w:val="18"/>
              </w:rPr>
              <w:t>Implemented value or behavior</w:t>
            </w:r>
          </w:p>
        </w:tc>
        <w:tc>
          <w:tcPr>
            <w:tcW w:type="dxa" w:w="3572"/>
            <w:vAlign w:val="center"/>
            <w:shd w:fill="D9E1F2"/>
          </w:tcPr>
          <w:p>
            <w:pPr>
              <w:jc w:val="left"/>
            </w:pPr>
            <w:r>
              <w:rPr>
                <w:rFonts w:ascii="Times New Roman" w:hAnsi="Times New Roman" w:eastAsia="Times New Roman"/>
                <w:sz w:val="17"/>
              </w:rPr>
            </w:r>
            <w:r>
              <w:rPr>
                <w:rFonts w:ascii="Times New Roman" w:hAnsi="Times New Roman" w:eastAsia="Times New Roman"/>
                <w:b/>
                <w:sz w:val="18"/>
              </w:rPr>
              <w:t>Purpose</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8"/>
              </w:rPr>
              <w:t>Subject</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8"/>
              </w:rPr>
              <w:t>User identifier stored in sub</w:t>
            </w:r>
          </w:p>
        </w:tc>
        <w:tc>
          <w:tcPr>
            <w:tcW w:type="dxa" w:w="3572"/>
            <w:vAlign w:val="center"/>
          </w:tcPr>
          <w:p>
            <w:pPr>
              <w:jc w:val="left"/>
            </w:pPr>
            <w:r>
              <w:rPr>
                <w:rFonts w:ascii="Times New Roman" w:hAnsi="Times New Roman" w:eastAsia="Times New Roman"/>
                <w:sz w:val="17"/>
              </w:rPr>
            </w:r>
            <w:r>
              <w:rPr>
                <w:rFonts w:ascii="Times New Roman" w:hAnsi="Times New Roman" w:eastAsia="Times New Roman"/>
                <w:b w:val="0"/>
                <w:sz w:val="18"/>
              </w:rPr>
              <w:t>Links the token to a database identity</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8"/>
              </w:rPr>
              <w:t>Issued at</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8"/>
              </w:rPr>
              <w:t>UTC timestamp in iat</w:t>
            </w:r>
          </w:p>
        </w:tc>
        <w:tc>
          <w:tcPr>
            <w:tcW w:type="dxa" w:w="3572"/>
            <w:vAlign w:val="center"/>
          </w:tcPr>
          <w:p>
            <w:pPr>
              <w:jc w:val="left"/>
            </w:pPr>
            <w:r>
              <w:rPr>
                <w:rFonts w:ascii="Times New Roman" w:hAnsi="Times New Roman" w:eastAsia="Times New Roman"/>
                <w:sz w:val="17"/>
              </w:rPr>
            </w:r>
            <w:r>
              <w:rPr>
                <w:rFonts w:ascii="Times New Roman" w:hAnsi="Times New Roman" w:eastAsia="Times New Roman"/>
                <w:b w:val="0"/>
                <w:sz w:val="18"/>
              </w:rPr>
              <w:t>Records token issuance time</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8"/>
              </w:rPr>
              <w:t>Expiration</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8"/>
              </w:rPr>
              <w:t>UTC timestamp in exp</w:t>
            </w:r>
          </w:p>
        </w:tc>
        <w:tc>
          <w:tcPr>
            <w:tcW w:type="dxa" w:w="3572"/>
            <w:vAlign w:val="center"/>
          </w:tcPr>
          <w:p>
            <w:pPr>
              <w:jc w:val="left"/>
            </w:pPr>
            <w:r>
              <w:rPr>
                <w:rFonts w:ascii="Times New Roman" w:hAnsi="Times New Roman" w:eastAsia="Times New Roman"/>
                <w:sz w:val="17"/>
              </w:rPr>
            </w:r>
            <w:r>
              <w:rPr>
                <w:rFonts w:ascii="Times New Roman" w:hAnsi="Times New Roman" w:eastAsia="Times New Roman"/>
                <w:b w:val="0"/>
                <w:sz w:val="18"/>
              </w:rPr>
              <w:t>Limits token lifetime</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8"/>
              </w:rPr>
              <w:t>Signature</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8"/>
              </w:rPr>
              <w:t>Configured symmetric JWT secret and algorithm</w:t>
            </w:r>
          </w:p>
        </w:tc>
        <w:tc>
          <w:tcPr>
            <w:tcW w:type="dxa" w:w="3572"/>
            <w:vAlign w:val="center"/>
          </w:tcPr>
          <w:p>
            <w:pPr>
              <w:jc w:val="left"/>
            </w:pPr>
            <w:r>
              <w:rPr>
                <w:rFonts w:ascii="Times New Roman" w:hAnsi="Times New Roman" w:eastAsia="Times New Roman"/>
                <w:sz w:val="17"/>
              </w:rPr>
            </w:r>
            <w:r>
              <w:rPr>
                <w:rFonts w:ascii="Times New Roman" w:hAnsi="Times New Roman" w:eastAsia="Times New Roman"/>
                <w:b w:val="0"/>
                <w:sz w:val="18"/>
              </w:rPr>
              <w:t>Detects tampering</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8"/>
              </w:rPr>
              <w:t>Validation failure</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8"/>
              </w:rPr>
              <w:t>HTTP 401 through the authentication dependency</w:t>
            </w:r>
          </w:p>
        </w:tc>
        <w:tc>
          <w:tcPr>
            <w:tcW w:type="dxa" w:w="3572"/>
            <w:vAlign w:val="center"/>
          </w:tcPr>
          <w:p>
            <w:pPr>
              <w:jc w:val="left"/>
            </w:pPr>
            <w:r>
              <w:rPr>
                <w:rFonts w:ascii="Times New Roman" w:hAnsi="Times New Roman" w:eastAsia="Times New Roman"/>
                <w:sz w:val="17"/>
              </w:rPr>
            </w:r>
            <w:r>
              <w:rPr>
                <w:rFonts w:ascii="Times New Roman" w:hAnsi="Times New Roman" w:eastAsia="Times New Roman"/>
                <w:b w:val="0"/>
                <w:sz w:val="18"/>
              </w:rPr>
              <w:t>Prevents unauthorized endpoint use</w:t>
            </w:r>
          </w:p>
        </w:tc>
      </w:tr>
    </w:tbl>
    <w:p/>
    <w:p>
      <w:pPr>
        <w:pStyle w:val="Heading3"/>
      </w:pPr>
      <w:r>
        <w:rPr>
          <w:rFonts w:ascii="Times New Roman" w:hAnsi="Times New Roman" w:eastAsia="Times New Roman"/>
        </w:rPr>
        <w:t>3.2 Database-backed identity validation</w:t>
      </w:r>
    </w:p>
    <w:p>
      <w:r>
        <w:rPr>
          <w:rFonts w:ascii="Times New Roman" w:hAnsi="Times New Roman" w:eastAsia="Times New Roman"/>
        </w:rPr>
        <w:t>A successfully decoded token is not treated as sufficient evidence of current authorization. The get_current_user dependency extracts the subject, converts it to a user identifier, retrieves the corresponding User record from PostgreSQL, and verifies that the account remains active. A missing or nonexistent identity produces HTTP 401. An inactive account produces HTTP 403. This design allows administrators to disable access without waiting for all previously issued tokens to expire.</w:t>
      </w:r>
    </w:p>
    <w:p>
      <w:pPr>
        <w:jc w:val="center"/>
      </w:pPr>
      <w:r>
        <w:rPr>
          <w:rFonts w:ascii="Times New Roman" w:hAnsi="Times New Roman" w:eastAsia="Times New Roman"/>
        </w:rPr>
        <w:drawing>
          <wp:inline xmlns:a="http://schemas.openxmlformats.org/drawingml/2006/main" xmlns:pic="http://schemas.openxmlformats.org/drawingml/2006/picture">
            <wp:extent cx="6217920" cy="2973788"/>
            <wp:docPr id="9" name="Picture 2"/>
            <wp:cNvGraphicFramePr>
              <a:graphicFrameLocks noChangeAspect="1"/>
            </wp:cNvGraphicFramePr>
            <a:graphic>
              <a:graphicData uri="http://schemas.openxmlformats.org/drawingml/2006/picture">
                <pic:pic>
                  <pic:nvPicPr>
                    <pic:cNvPr id="9" name="authentication_authorization_flow.png"/>
                    <pic:cNvPicPr/>
                  </pic:nvPicPr>
                  <pic:blipFill>
                    <a:blip r:embed="rId22"/>
                    <a:stretch>
                      <a:fillRect/>
                    </a:stretch>
                  </pic:blipFill>
                  <pic:spPr>
                    <a:xfrm>
                      <a:off x="0" y="0"/>
                      <a:ext cx="6217920" cy="2973788"/>
                    </a:xfrm>
                    <a:prstGeom prst="rect"/>
                  </pic:spPr>
                </pic:pic>
              </a:graphicData>
            </a:graphic>
          </wp:inline>
        </w:drawing>
      </w:r>
    </w:p>
    <w:p>
      <w:pPr>
        <w:pStyle w:val="AcademicCaption"/>
      </w:pPr>
      <w:r>
        <w:rPr>
          <w:rFonts w:ascii="Times New Roman" w:hAnsi="Times New Roman" w:eastAsia="Times New Roman"/>
        </w:rPr>
        <w:t>Figure 2. Authentication, user-resolution, authorization, and denial-audit flow.</w:t>
      </w:r>
    </w:p>
    <w:p>
      <w:pPr>
        <w:pStyle w:val="Heading3"/>
      </w:pPr>
      <w:r>
        <w:rPr>
          <w:rFonts w:ascii="Times New Roman" w:hAnsi="Times New Roman" w:eastAsia="Times New Roman"/>
        </w:rPr>
        <w:t>3.3 Authentication validation results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4535"/>
            <w:vAlign w:val="center"/>
            <w:shd w:fill="D9E1F2"/>
          </w:tcPr>
          <w:p>
            <w:pPr>
              <w:jc w:val="left"/>
            </w:pPr>
            <w:r>
              <w:rPr>
                <w:rFonts w:ascii="Times New Roman" w:hAnsi="Times New Roman" w:eastAsia="Times New Roman"/>
                <w:sz w:val="17"/>
              </w:rPr>
            </w:r>
            <w:r>
              <w:rPr>
                <w:rFonts w:ascii="Times New Roman" w:hAnsi="Times New Roman" w:eastAsia="Times New Roman"/>
                <w:b/>
                <w:sz w:val="17"/>
              </w:rPr>
              <w:t>Test</w:t>
            </w:r>
          </w:p>
        </w:tc>
        <w:tc>
          <w:tcPr>
            <w:tcW w:type="dxa" w:w="1417"/>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Expected</w:t>
            </w:r>
          </w:p>
        </w:tc>
        <w:tc>
          <w:tcPr>
            <w:tcW w:type="dxa" w:w="1417"/>
            <w:vAlign w:val="center"/>
            <w:shd w:fill="D9E1F2"/>
          </w:tcPr>
          <w:p>
            <w:pPr>
              <w:jc w:val="left"/>
            </w:pPr>
            <w:r>
              <w:rPr>
                <w:rFonts w:ascii="Times New Roman" w:hAnsi="Times New Roman" w:eastAsia="Times New Roman"/>
                <w:sz w:val="17"/>
              </w:rPr>
            </w:r>
            <w:r>
              <w:rPr>
                <w:rFonts w:ascii="Times New Roman" w:hAnsi="Times New Roman" w:eastAsia="Times New Roman"/>
                <w:b/>
                <w:sz w:val="17"/>
              </w:rPr>
              <w:t>Actual</w:t>
            </w:r>
          </w:p>
        </w:tc>
        <w:tc>
          <w:tcPr>
            <w:tcW w:type="dxa" w:w="1417"/>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Result</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Valid login</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200</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200</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Invalid password</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Unknown username</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Valid JWT on protected endpoint</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200</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200</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Missing JWT</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Malformed JWT</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Tampered JWT signature</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Wrong authorization scheme</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401</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All eight authentication scenarios passed. Valid login and valid-token access returned HTTP 200. Invalid passwords, unknown usernames, missing tokens, malformed tokens, tampered signatures, and incorrect authorization schemes returned HTTP 401 as expected. The test set therefore covers both positive and representative negative authentication paths.</w:t>
      </w:r>
    </w:p>
    <w:p>
      <w:pPr>
        <w:pStyle w:val="Heading2"/>
      </w:pPr>
      <w:r>
        <w:rPr>
          <w:rFonts w:ascii="Times New Roman" w:hAnsi="Times New Roman" w:eastAsia="Times New Roman"/>
        </w:rPr>
        <w:t>4. Role-Based Access Control</w:t>
      </w:r>
    </w:p>
    <w:p>
      <w:pPr>
        <w:pStyle w:val="Heading3"/>
      </w:pPr>
      <w:r>
        <w:rPr>
          <w:rFonts w:ascii="Times New Roman" w:hAnsi="Times New Roman" w:eastAsia="Times New Roman"/>
        </w:rPr>
        <w:t>4.1 Authorization mechanism</w:t>
      </w:r>
    </w:p>
    <w:p>
      <w:r>
        <w:rPr>
          <w:rFonts w:ascii="Times New Roman" w:hAnsi="Times New Roman" w:eastAsia="Times New Roman"/>
        </w:rPr>
        <w:t>Route authorization is implemented through the require_roles dependency factory. Each protected operation declares an explicit set of allowed role names. At request time, the dependency obtains the authenticated user, resolves the linked role, and compares the role name with the allowed set. A mismatch produces HTTP 403 and triggers an ACCESS_DENIED audit event containing the user role, the permitted roles, the endpoint, and request context.</w:t>
      </w:r>
    </w:p>
    <w:p>
      <w:r>
        <w:rPr>
          <w:rFonts w:ascii="Times New Roman" w:hAnsi="Times New Roman" w:eastAsia="Times New Roman"/>
        </w:rPr>
        <w:t>The Role model enforces unique role names, while each User record contains a non-nullable foreign key to a role. This relational design prevents normal authenticated users from existing without a role assignment.</w:t>
      </w:r>
    </w:p>
    <w:p>
      <w:pPr>
        <w:pStyle w:val="Heading3"/>
      </w:pPr>
      <w:r>
        <w:rPr>
          <w:rFonts w:ascii="Times New Roman" w:hAnsi="Times New Roman" w:eastAsia="Times New Roman"/>
        </w:rPr>
        <w:t>4.2 Endpoint coverage</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5386"/>
            <w:vAlign w:val="center"/>
            <w:shd w:fill="D9E1F2"/>
          </w:tcPr>
          <w:p>
            <w:pPr>
              <w:jc w:val="left"/>
            </w:pPr>
            <w:r>
              <w:rPr>
                <w:rFonts w:ascii="Times New Roman" w:hAnsi="Times New Roman" w:eastAsia="Times New Roman"/>
                <w:sz w:val="17"/>
              </w:rPr>
            </w:r>
            <w:r>
              <w:rPr>
                <w:rFonts w:ascii="Times New Roman" w:hAnsi="Times New Roman" w:eastAsia="Times New Roman"/>
                <w:b/>
                <w:sz w:val="18"/>
              </w:rPr>
              <w:t>API module</w:t>
            </w:r>
          </w:p>
        </w:tc>
        <w:tc>
          <w:tcPr>
            <w:tcW w:type="dxa" w:w="2835"/>
            <w:vAlign w:val="center"/>
            <w:shd w:fill="D9E1F2"/>
          </w:tcPr>
          <w:p>
            <w:pPr>
              <w:jc w:val="left"/>
            </w:pPr>
            <w:r>
              <w:rPr>
                <w:rFonts w:ascii="Times New Roman" w:hAnsi="Times New Roman" w:eastAsia="Times New Roman"/>
                <w:sz w:val="17"/>
              </w:rPr>
            </w:r>
            <w:r>
              <w:rPr>
                <w:rFonts w:ascii="Times New Roman" w:hAnsi="Times New Roman" w:eastAsia="Times New Roman"/>
                <w:b/>
                <w:sz w:val="18"/>
              </w:rPr>
              <w:t>Inventoried operations</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fhir</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8</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encounters</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4</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patients</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4</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observations</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4</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prescriptions</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4</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diagnostic_reports</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3</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auth</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2</w:t>
            </w:r>
          </w:p>
        </w:tc>
      </w:tr>
      <w:tr>
        <w:trPr>
          <w:cantSplit/>
        </w:trPr>
        <w:tc>
          <w:tcPr>
            <w:tcW w:type="dxa" w:w="5386"/>
            <w:vAlign w:val="center"/>
          </w:tcPr>
          <w:p>
            <w:pPr>
              <w:jc w:val="left"/>
            </w:pPr>
            <w:r>
              <w:rPr>
                <w:rFonts w:ascii="Times New Roman" w:hAnsi="Times New Roman" w:eastAsia="Times New Roman"/>
                <w:sz w:val="17"/>
              </w:rPr>
            </w:r>
            <w:r>
              <w:rPr>
                <w:rFonts w:ascii="Times New Roman" w:hAnsi="Times New Roman" w:eastAsia="Times New Roman"/>
                <w:b w:val="0"/>
                <w:sz w:val="18"/>
              </w:rPr>
              <w:t>fhir_conditions</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8"/>
              </w:rPr>
              <w:t>2</w:t>
            </w:r>
          </w:p>
        </w:tc>
      </w:tr>
    </w:tbl>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4819"/>
            <w:vAlign w:val="center"/>
            <w:shd w:fill="D9E1F2"/>
          </w:tcPr>
          <w:p>
            <w:pPr>
              <w:jc w:val="left"/>
            </w:pPr>
            <w:r>
              <w:rPr>
                <w:rFonts w:ascii="Times New Roman" w:hAnsi="Times New Roman" w:eastAsia="Times New Roman"/>
                <w:sz w:val="17"/>
              </w:rPr>
            </w:r>
            <w:r>
              <w:rPr>
                <w:rFonts w:ascii="Times New Roman" w:hAnsi="Times New Roman" w:eastAsia="Times New Roman"/>
                <w:b/>
                <w:sz w:val="18"/>
              </w:rPr>
              <w:t>Role</w:t>
            </w:r>
          </w:p>
        </w:tc>
        <w:tc>
          <w:tcPr>
            <w:tcW w:type="dxa" w:w="3402"/>
            <w:vAlign w:val="center"/>
            <w:shd w:fill="D9E1F2"/>
          </w:tcPr>
          <w:p>
            <w:pPr>
              <w:jc w:val="left"/>
            </w:pPr>
            <w:r>
              <w:rPr>
                <w:rFonts w:ascii="Times New Roman" w:hAnsi="Times New Roman" w:eastAsia="Times New Roman"/>
                <w:sz w:val="17"/>
              </w:rPr>
            </w:r>
            <w:r>
              <w:rPr>
                <w:rFonts w:ascii="Times New Roman" w:hAnsi="Times New Roman" w:eastAsia="Times New Roman"/>
                <w:b/>
                <w:sz w:val="18"/>
              </w:rPr>
              <w:t>Operations in which role is permitted</w:t>
            </w:r>
          </w:p>
        </w:tc>
      </w:tr>
      <w:tr>
        <w:trPr>
          <w:cantSplit/>
        </w:trPr>
        <w:tc>
          <w:tcPr>
            <w:tcW w:type="dxa" w:w="4819"/>
            <w:vAlign w:val="center"/>
          </w:tcPr>
          <w:p>
            <w:pPr>
              <w:jc w:val="left"/>
            </w:pPr>
            <w:r>
              <w:rPr>
                <w:rFonts w:ascii="Times New Roman" w:hAnsi="Times New Roman" w:eastAsia="Times New Roman"/>
                <w:sz w:val="17"/>
              </w:rPr>
            </w:r>
            <w:r>
              <w:rPr>
                <w:rFonts w:ascii="Times New Roman" w:hAnsi="Times New Roman" w:eastAsia="Times New Roman"/>
                <w:b w:val="0"/>
                <w:sz w:val="18"/>
              </w:rPr>
              <w:t>Admin</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29</w:t>
            </w:r>
          </w:p>
        </w:tc>
      </w:tr>
      <w:tr>
        <w:trPr>
          <w:cantSplit/>
        </w:trPr>
        <w:tc>
          <w:tcPr>
            <w:tcW w:type="dxa" w:w="4819"/>
            <w:vAlign w:val="center"/>
          </w:tcPr>
          <w:p>
            <w:pPr>
              <w:jc w:val="left"/>
            </w:pPr>
            <w:r>
              <w:rPr>
                <w:rFonts w:ascii="Times New Roman" w:hAnsi="Times New Roman" w:eastAsia="Times New Roman"/>
                <w:sz w:val="17"/>
              </w:rPr>
            </w:r>
            <w:r>
              <w:rPr>
                <w:rFonts w:ascii="Times New Roman" w:hAnsi="Times New Roman" w:eastAsia="Times New Roman"/>
                <w:b w:val="0"/>
                <w:sz w:val="18"/>
              </w:rPr>
              <w:t>Doctor</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27</w:t>
            </w:r>
          </w:p>
        </w:tc>
      </w:tr>
      <w:tr>
        <w:trPr>
          <w:cantSplit/>
        </w:trPr>
        <w:tc>
          <w:tcPr>
            <w:tcW w:type="dxa" w:w="4819"/>
            <w:vAlign w:val="center"/>
          </w:tcPr>
          <w:p>
            <w:pPr>
              <w:jc w:val="left"/>
            </w:pPr>
            <w:r>
              <w:rPr>
                <w:rFonts w:ascii="Times New Roman" w:hAnsi="Times New Roman" w:eastAsia="Times New Roman"/>
                <w:sz w:val="17"/>
              </w:rPr>
            </w:r>
            <w:r>
              <w:rPr>
                <w:rFonts w:ascii="Times New Roman" w:hAnsi="Times New Roman" w:eastAsia="Times New Roman"/>
                <w:b w:val="0"/>
                <w:sz w:val="18"/>
              </w:rPr>
              <w:t>Nurse</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26</w:t>
            </w:r>
          </w:p>
        </w:tc>
      </w:tr>
      <w:tr>
        <w:trPr>
          <w:cantSplit/>
        </w:trPr>
        <w:tc>
          <w:tcPr>
            <w:tcW w:type="dxa" w:w="4819"/>
            <w:vAlign w:val="center"/>
          </w:tcPr>
          <w:p>
            <w:pPr>
              <w:jc w:val="left"/>
            </w:pPr>
            <w:r>
              <w:rPr>
                <w:rFonts w:ascii="Times New Roman" w:hAnsi="Times New Roman" w:eastAsia="Times New Roman"/>
                <w:sz w:val="17"/>
              </w:rPr>
            </w:r>
            <w:r>
              <w:rPr>
                <w:rFonts w:ascii="Times New Roman" w:hAnsi="Times New Roman" w:eastAsia="Times New Roman"/>
                <w:b w:val="0"/>
                <w:sz w:val="18"/>
              </w:rPr>
              <w:t>Data Manager</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25</w:t>
            </w:r>
          </w:p>
        </w:tc>
      </w:tr>
      <w:tr>
        <w:trPr>
          <w:cantSplit/>
        </w:trPr>
        <w:tc>
          <w:tcPr>
            <w:tcW w:type="dxa" w:w="4819"/>
            <w:vAlign w:val="center"/>
          </w:tcPr>
          <w:p>
            <w:pPr>
              <w:jc w:val="left"/>
            </w:pPr>
            <w:r>
              <w:rPr>
                <w:rFonts w:ascii="Times New Roman" w:hAnsi="Times New Roman" w:eastAsia="Times New Roman"/>
                <w:sz w:val="17"/>
              </w:rPr>
            </w:r>
            <w:r>
              <w:rPr>
                <w:rFonts w:ascii="Times New Roman" w:hAnsi="Times New Roman" w:eastAsia="Times New Roman"/>
                <w:b w:val="0"/>
                <w:sz w:val="18"/>
              </w:rPr>
              <w:t>Lab Staff</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11</w:t>
            </w:r>
          </w:p>
        </w:tc>
      </w:tr>
      <w:tr>
        <w:trPr>
          <w:cantSplit/>
        </w:trPr>
        <w:tc>
          <w:tcPr>
            <w:tcW w:type="dxa" w:w="4819"/>
            <w:vAlign w:val="center"/>
          </w:tcPr>
          <w:p>
            <w:pPr>
              <w:jc w:val="left"/>
            </w:pPr>
            <w:r>
              <w:rPr>
                <w:rFonts w:ascii="Times New Roman" w:hAnsi="Times New Roman" w:eastAsia="Times New Roman"/>
                <w:sz w:val="17"/>
              </w:rPr>
            </w:r>
            <w:r>
              <w:rPr>
                <w:rFonts w:ascii="Times New Roman" w:hAnsi="Times New Roman" w:eastAsia="Times New Roman"/>
                <w:b w:val="0"/>
                <w:sz w:val="18"/>
              </w:rPr>
              <w:t>Pharmacist</w:t>
            </w:r>
          </w:p>
        </w:tc>
        <w:tc>
          <w:tcPr>
            <w:tcW w:type="dxa" w:w="3402"/>
            <w:vAlign w:val="center"/>
          </w:tcPr>
          <w:p>
            <w:pPr>
              <w:jc w:val="left"/>
            </w:pPr>
            <w:r>
              <w:rPr>
                <w:rFonts w:ascii="Times New Roman" w:hAnsi="Times New Roman" w:eastAsia="Times New Roman"/>
                <w:sz w:val="17"/>
              </w:rPr>
            </w:r>
            <w:r>
              <w:rPr>
                <w:rFonts w:ascii="Times New Roman" w:hAnsi="Times New Roman" w:eastAsia="Times New Roman"/>
                <w:b w:val="0"/>
                <w:sz w:val="18"/>
              </w:rPr>
              <w:t>11</w:t>
            </w:r>
          </w:p>
        </w:tc>
      </w:tr>
    </w:tbl>
    <w:p/>
    <w:p>
      <w:r>
        <w:rPr>
          <w:rFonts w:ascii="Times New Roman" w:hAnsi="Times New Roman" w:eastAsia="Times New Roman"/>
        </w:rPr>
        <w:t>The inventory contains 31 operations. Twenty-nine healthcare and interoperability operations carry an explicit role set. The two authentication operations, login and current-user retrieval, are marked not_detected in the static RBAC inventory because they are governed by credential or token authentication rather than by a route-specific role list. This distinction should not be misinterpreted as unrestricted anonymous access to the current-user endpoint.</w:t>
      </w:r>
    </w:p>
    <w:p>
      <w:pPr>
        <w:pStyle w:val="Heading3"/>
      </w:pPr>
      <w:r>
        <w:rPr>
          <w:rFonts w:ascii="Times New Roman" w:hAnsi="Times New Roman" w:eastAsia="Times New Roman"/>
        </w:rPr>
        <w:t>4.3 Least-privilege observations</w:t>
      </w:r>
    </w:p>
    <w:p>
      <w:pPr>
        <w:pStyle w:val="ListBullet"/>
        <w:ind w:left="283" w:hanging="142"/>
      </w:pPr>
      <w:r>
        <w:rPr>
          <w:rFonts w:ascii="Times New Roman" w:hAnsi="Times New Roman" w:eastAsia="Times New Roman"/>
        </w:rPr>
        <w:t>Administrative access is the broadest, covering all 29 role-protected operations.</w:t>
      </w:r>
    </w:p>
    <w:p>
      <w:pPr>
        <w:pStyle w:val="ListBullet"/>
        <w:ind w:left="283" w:hanging="142"/>
      </w:pPr>
      <w:r>
        <w:rPr>
          <w:rFonts w:ascii="Times New Roman" w:hAnsi="Times New Roman" w:eastAsia="Times New Roman"/>
        </w:rPr>
        <w:t>Doctors and nurses receive broad clinical access, but patient creation and modification exclude doctors.</w:t>
      </w:r>
    </w:p>
    <w:p>
      <w:pPr>
        <w:pStyle w:val="ListBullet"/>
        <w:ind w:left="283" w:hanging="142"/>
      </w:pPr>
      <w:r>
        <w:rPr>
          <w:rFonts w:ascii="Times New Roman" w:hAnsi="Times New Roman" w:eastAsia="Times New Roman"/>
        </w:rPr>
        <w:t>Pharmacists are concentrated in prescription and selected FHIR read operations.</w:t>
      </w:r>
    </w:p>
    <w:p>
      <w:pPr>
        <w:pStyle w:val="ListBullet"/>
        <w:ind w:left="283" w:hanging="142"/>
      </w:pPr>
      <w:r>
        <w:rPr>
          <w:rFonts w:ascii="Times New Roman" w:hAnsi="Times New Roman" w:eastAsia="Times New Roman"/>
        </w:rPr>
        <w:t>Laboratory staff receive diagnostic-report and observation access but limited prescription access.</w:t>
      </w:r>
    </w:p>
    <w:p>
      <w:pPr>
        <w:pStyle w:val="ListBullet"/>
        <w:ind w:left="283" w:hanging="142"/>
      </w:pPr>
      <w:r>
        <w:rPr>
          <w:rFonts w:ascii="Times New Roman" w:hAnsi="Times New Roman" w:eastAsia="Times New Roman"/>
        </w:rPr>
        <w:t>Data managers receive broad data-management and read access but are excluded from selected clinically authoritative writes.</w:t>
      </w:r>
    </w:p>
    <w:p>
      <w:pPr>
        <w:pStyle w:val="Heading2"/>
      </w:pPr>
      <w:r>
        <w:rPr>
          <w:rFonts w:ascii="Times New Roman" w:hAnsi="Times New Roman" w:eastAsia="Times New Roman"/>
        </w:rPr>
        <w:t>5. Audit Logging and Accountability</w:t>
      </w:r>
    </w:p>
    <w:p>
      <w:pPr>
        <w:pStyle w:val="Heading3"/>
      </w:pPr>
      <w:r>
        <w:rPr>
          <w:rFonts w:ascii="Times New Roman" w:hAnsi="Times New Roman" w:eastAsia="Times New Roman"/>
        </w:rPr>
        <w:t>5.1 Audit record structure</w:t>
      </w:r>
    </w:p>
    <w:p>
      <w:r>
        <w:rPr>
          <w:rFonts w:ascii="Times New Roman" w:hAnsi="Times New Roman" w:eastAsia="Times New Roman"/>
        </w:rPr>
        <w:t>The AuditLog model records the acting user, action, resource type and identifier, outcome, HTTP method, endpoint, IP address, user agent, structured details, and server-generated timestamp. Composite indexes on user plus creation time and action plus creation time support investigation and chronological analysis.</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005"/>
            <w:vAlign w:val="center"/>
            <w:shd w:fill="D9E1F2"/>
          </w:tcPr>
          <w:p>
            <w:pPr>
              <w:jc w:val="left"/>
            </w:pPr>
            <w:r>
              <w:rPr>
                <w:rFonts w:ascii="Times New Roman" w:hAnsi="Times New Roman" w:eastAsia="Times New Roman"/>
                <w:sz w:val="17"/>
              </w:rPr>
            </w:r>
            <w:r>
              <w:rPr>
                <w:rFonts w:ascii="Times New Roman" w:hAnsi="Times New Roman" w:eastAsia="Times New Roman"/>
                <w:b/>
                <w:sz w:val="18"/>
              </w:rPr>
              <w:t>Audit field</w:t>
            </w:r>
          </w:p>
        </w:tc>
        <w:tc>
          <w:tcPr>
            <w:tcW w:type="dxa" w:w="5783"/>
            <w:vAlign w:val="center"/>
            <w:shd w:fill="D9E1F2"/>
          </w:tcPr>
          <w:p>
            <w:pPr>
              <w:jc w:val="left"/>
            </w:pPr>
            <w:r>
              <w:rPr>
                <w:rFonts w:ascii="Times New Roman" w:hAnsi="Times New Roman" w:eastAsia="Times New Roman"/>
                <w:sz w:val="17"/>
              </w:rPr>
            </w:r>
            <w:r>
              <w:rPr>
                <w:rFonts w:ascii="Times New Roman" w:hAnsi="Times New Roman" w:eastAsia="Times New Roman"/>
                <w:b/>
                <w:sz w:val="18"/>
              </w:rPr>
              <w:t>Security relevance</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user_id</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Associates an event with the acting identity when available</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action and outcome</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Expresses what occurred and whether it succeeded, failed, or was denied</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resource_type and resource_id</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Identifies the affected protected object</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http_method and endpoint</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Links the event to the invoked application operation</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ip_address and user_agent</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Provides request-origin and client context</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details</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Stores structured non-sensitive contextual data as JSON text</w:t>
            </w:r>
          </w:p>
        </w:tc>
      </w:tr>
      <w:tr>
        <w:trPr>
          <w:cantSplit/>
        </w:trPr>
        <w:tc>
          <w:tcPr>
            <w:tcW w:type="dxa" w:w="3005"/>
            <w:vAlign w:val="center"/>
          </w:tcPr>
          <w:p>
            <w:pPr>
              <w:jc w:val="left"/>
            </w:pPr>
            <w:r>
              <w:rPr>
                <w:rFonts w:ascii="Times New Roman" w:hAnsi="Times New Roman" w:eastAsia="Times New Roman"/>
                <w:sz w:val="17"/>
              </w:rPr>
            </w:r>
            <w:r>
              <w:rPr>
                <w:rFonts w:ascii="Times New Roman" w:hAnsi="Times New Roman" w:eastAsia="Times New Roman"/>
                <w:b w:val="0"/>
                <w:sz w:val="18"/>
              </w:rPr>
              <w:t>created_at</w:t>
            </w:r>
          </w:p>
        </w:tc>
        <w:tc>
          <w:tcPr>
            <w:tcW w:type="dxa" w:w="5783"/>
            <w:vAlign w:val="center"/>
          </w:tcPr>
          <w:p>
            <w:pPr>
              <w:jc w:val="left"/>
            </w:pPr>
            <w:r>
              <w:rPr>
                <w:rFonts w:ascii="Times New Roman" w:hAnsi="Times New Roman" w:eastAsia="Times New Roman"/>
                <w:sz w:val="17"/>
              </w:rPr>
            </w:r>
            <w:r>
              <w:rPr>
                <w:rFonts w:ascii="Times New Roman" w:hAnsi="Times New Roman" w:eastAsia="Times New Roman"/>
                <w:b w:val="0"/>
                <w:sz w:val="18"/>
              </w:rPr>
              <w:t>Provides a server-side timestamp for chronology</w:t>
            </w:r>
          </w:p>
        </w:tc>
      </w:tr>
    </w:tbl>
    <w:p/>
    <w:p>
      <w:pPr>
        <w:pStyle w:val="Heading3"/>
      </w:pPr>
      <w:r>
        <w:rPr>
          <w:rFonts w:ascii="Times New Roman" w:hAnsi="Times New Roman" w:eastAsia="Times New Roman"/>
        </w:rPr>
        <w:t>5.2 Safe audit recording</w:t>
      </w:r>
    </w:p>
    <w:p>
      <w:r>
        <w:rPr>
          <w:rFonts w:ascii="Times New Roman" w:hAnsi="Times New Roman" w:eastAsia="Times New Roman"/>
        </w:rPr>
        <w:t>The audit service explicitly states that passwords, JWTs, authorization headers, and file contents must not be included in audit details. The safe_record_event method rolls back an audit transaction and returns None if logging fails, preventing an audit failure from interrupting the primary healthcare operation. This favors service availability, but it also introduces a risk of silent audit gaps. A production enhancement should emit a secondary operational alert or metric whenever an audit write fails.</w:t>
      </w:r>
    </w:p>
    <w:p>
      <w:pPr>
        <w:pStyle w:val="Heading3"/>
      </w:pPr>
      <w:r>
        <w:rPr>
          <w:rFonts w:ascii="Times New Roman" w:hAnsi="Times New Roman" w:eastAsia="Times New Roman"/>
        </w:rPr>
        <w:t>5.3 Diagnostic-report audit validation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3912"/>
            <w:vAlign w:val="center"/>
            <w:shd w:fill="D9E1F2"/>
          </w:tcPr>
          <w:p>
            <w:pPr>
              <w:jc w:val="left"/>
            </w:pPr>
            <w:r>
              <w:rPr>
                <w:rFonts w:ascii="Times New Roman" w:hAnsi="Times New Roman" w:eastAsia="Times New Roman"/>
                <w:sz w:val="17"/>
              </w:rPr>
            </w:r>
            <w:r>
              <w:rPr>
                <w:rFonts w:ascii="Times New Roman" w:hAnsi="Times New Roman" w:eastAsia="Times New Roman"/>
                <w:b/>
                <w:sz w:val="17"/>
              </w:rPr>
              <w:t>Test</w:t>
            </w:r>
          </w:p>
        </w:tc>
        <w:tc>
          <w:tcPr>
            <w:tcW w:type="dxa" w:w="1871"/>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Expected</w:t>
            </w:r>
          </w:p>
        </w:tc>
        <w:tc>
          <w:tcPr>
            <w:tcW w:type="dxa" w:w="1871"/>
            <w:vAlign w:val="center"/>
            <w:shd w:fill="D9E1F2"/>
          </w:tcPr>
          <w:p>
            <w:pPr>
              <w:jc w:val="left"/>
            </w:pPr>
            <w:r>
              <w:rPr>
                <w:rFonts w:ascii="Times New Roman" w:hAnsi="Times New Roman" w:eastAsia="Times New Roman"/>
                <w:sz w:val="17"/>
              </w:rPr>
            </w:r>
            <w:r>
              <w:rPr>
                <w:rFonts w:ascii="Times New Roman" w:hAnsi="Times New Roman" w:eastAsia="Times New Roman"/>
                <w:b/>
                <w:sz w:val="17"/>
              </w:rPr>
              <w:t>Actual</w:t>
            </w:r>
          </w:p>
        </w:tc>
        <w:tc>
          <w:tcPr>
            <w:tcW w:type="dxa" w:w="1247"/>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Result</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E2E test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exit code 0</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exit code 0</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New audit records</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at least 6</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6</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Audit action ACCESS_DENIED</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Audit action LOGIN_SUCCESS</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Audit action REPORT_DOWNLOAD</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Audit action REPORT_READ</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Audit action REPORT_UPLOAD</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audit context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912"/>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cleanup</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5</w:t>
            </w:r>
          </w:p>
        </w:tc>
        <w:tc>
          <w:tcPr>
            <w:tcW w:type="dxa" w:w="1871"/>
            <w:vAlign w:val="center"/>
          </w:tcPr>
          <w:p>
            <w:pPr>
              <w:jc w:val="left"/>
            </w:pPr>
            <w:r>
              <w:rPr>
                <w:rFonts w:ascii="Times New Roman" w:hAnsi="Times New Roman" w:eastAsia="Times New Roman"/>
                <w:sz w:val="17"/>
              </w:rPr>
            </w:r>
            <w:r>
              <w:rPr>
                <w:rFonts w:ascii="Times New Roman" w:hAnsi="Times New Roman" w:eastAsia="Times New Roman"/>
                <w:b w:val="0"/>
                <w:sz w:val="17"/>
              </w:rPr>
              <w:t>5</w:t>
            </w:r>
          </w:p>
        </w:tc>
        <w:tc>
          <w:tcPr>
            <w:tcW w:type="dxa" w:w="1247"/>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diagnostic-report end-to-end security test created six new audit records and confirmed ACCESS_DENIED, LOGIN_SUCCESS, REPORT_UPLOAD, REPORT_READ, and REPORT_DOWNLOAD actions. It also verified report-specific context and cleanup. All nine checks passed.</w:t>
      </w:r>
    </w:p>
    <w:p>
      <w:pPr>
        <w:pStyle w:val="Heading2"/>
      </w:pPr>
      <w:r>
        <w:rPr>
          <w:rFonts w:ascii="Times New Roman" w:hAnsi="Times New Roman" w:eastAsia="Times New Roman"/>
        </w:rPr>
        <w:t>6. HTTP and Application-Layer Hardening</w:t>
      </w:r>
    </w:p>
    <w:p>
      <w:pPr>
        <w:pStyle w:val="Heading3"/>
      </w:pPr>
      <w:r>
        <w:rPr>
          <w:rFonts w:ascii="Times New Roman" w:hAnsi="Times New Roman" w:eastAsia="Times New Roman"/>
        </w:rPr>
        <w:t>6.1 Security headers</w:t>
      </w:r>
    </w:p>
    <w:p>
      <w:r>
        <w:rPr>
          <w:rFonts w:ascii="Times New Roman" w:hAnsi="Times New Roman" w:eastAsia="Times New Roman"/>
        </w:rPr>
        <w:t>The application adds defensive HTTP headers to every response. These controls reduce browser-side content interpretation, framing, referrer disclosure, permission use, caching, and content-loading risks. In production mode, the application also adds Strict-Transport-Security.</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948"/>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Control or test</w:t>
            </w:r>
          </w:p>
        </w:tc>
        <w:tc>
          <w:tcPr>
            <w:tcW w:type="dxa" w:w="215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Expected</w:t>
            </w:r>
          </w:p>
        </w:tc>
        <w:tc>
          <w:tcPr>
            <w:tcW w:type="dxa" w:w="2835"/>
            <w:vAlign w:val="center"/>
            <w:shd w:fill="D9E1F2"/>
          </w:tcPr>
          <w:p>
            <w:pPr>
              <w:jc w:val="left"/>
            </w:pPr>
            <w:r>
              <w:rPr>
                <w:rFonts w:ascii="Times New Roman" w:hAnsi="Times New Roman" w:eastAsia="Times New Roman"/>
                <w:sz w:val="17"/>
              </w:rPr>
            </w:r>
            <w:r>
              <w:rPr>
                <w:rFonts w:ascii="Times New Roman" w:hAnsi="Times New Roman" w:eastAsia="Times New Roman"/>
                <w:b/>
                <w:sz w:val="16"/>
              </w:rPr>
              <w:t>Observed</w:t>
            </w:r>
          </w:p>
        </w:tc>
        <w:tc>
          <w:tcPr>
            <w:tcW w:type="dxa" w:w="113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Result</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Backend health</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 200</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 200</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X-Content-Type-Options</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nosniff</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nosniff</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X-Frame-Options</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DENY</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DENY</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Referrer-Policy</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no-referrer</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no-referrer</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Content-Security-Policy</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present</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default-src 'none'; frame-ancestors 'none'; base-uri 'none'; form-action 'none'</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Permissions-Policy</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present</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camera=(), microphone=(), geolocation=()</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Strict-Transport-Security</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present</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max-age=31536000; includeSubDomains</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Cache-Control</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contains no-store</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no-store</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Server disclosure</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uvicorn not disclosed</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absent</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Production route /docs</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 404</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 404</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Production route /redoc</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 404</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 404</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Production route /openapi.json</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 404</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 404</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Trusted CORS origin</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http://localhost:3000</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http://localhost:3000</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Untrusted CORS origin</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not allowed</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not allowed</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Trusted Host</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 200</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 200</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Untrusted Host</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HTTP 400</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HTTP 400</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948"/>
            <w:vAlign w:val="center"/>
          </w:tcPr>
          <w:p>
            <w:pPr>
              <w:jc w:val="left"/>
            </w:pPr>
            <w:r>
              <w:rPr>
                <w:rFonts w:ascii="Times New Roman" w:hAnsi="Times New Roman" w:eastAsia="Times New Roman"/>
                <w:sz w:val="17"/>
              </w:rPr>
            </w:r>
            <w:r>
              <w:rPr>
                <w:rFonts w:ascii="Times New Roman" w:hAnsi="Times New Roman" w:eastAsia="Times New Roman"/>
                <w:b w:val="0"/>
                <w:sz w:val="16"/>
              </w:rPr>
              <w:t>Development configuration restored</w:t>
            </w:r>
          </w:p>
        </w:tc>
        <w:tc>
          <w:tcPr>
            <w:tcW w:type="dxa" w:w="2154"/>
            <w:vAlign w:val="center"/>
          </w:tcPr>
          <w:p>
            <w:pPr>
              <w:jc w:val="left"/>
            </w:pPr>
            <w:r>
              <w:rPr>
                <w:rFonts w:ascii="Times New Roman" w:hAnsi="Times New Roman" w:eastAsia="Times New Roman"/>
                <w:sz w:val="17"/>
              </w:rPr>
            </w:r>
            <w:r>
              <w:rPr>
                <w:rFonts w:ascii="Times New Roman" w:hAnsi="Times New Roman" w:eastAsia="Times New Roman"/>
                <w:b w:val="0"/>
                <w:sz w:val="16"/>
              </w:rPr>
              <w:t>healthy</w:t>
            </w:r>
          </w:p>
        </w:tc>
        <w:tc>
          <w:tcPr>
            <w:tcW w:type="dxa" w:w="2835"/>
            <w:vAlign w:val="center"/>
          </w:tcPr>
          <w:p>
            <w:pPr>
              <w:jc w:val="left"/>
            </w:pPr>
            <w:r>
              <w:rPr>
                <w:rFonts w:ascii="Times New Roman" w:hAnsi="Times New Roman" w:eastAsia="Times New Roman"/>
                <w:sz w:val="17"/>
              </w:rPr>
            </w:r>
            <w:r>
              <w:rPr>
                <w:rFonts w:ascii="Times New Roman" w:hAnsi="Times New Roman" w:eastAsia="Times New Roman"/>
                <w:b w:val="0"/>
                <w:sz w:val="16"/>
              </w:rPr>
              <w:t>healthy</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bl>
    <w:p/>
    <w:p>
      <w:pPr>
        <w:pStyle w:val="Heading3"/>
      </w:pPr>
      <w:r>
        <w:rPr>
          <w:rFonts w:ascii="Times New Roman" w:hAnsi="Times New Roman" w:eastAsia="Times New Roman"/>
        </w:rPr>
        <w:t>6.2 CORS, Trusted Hosts, and production documentation</w:t>
      </w:r>
    </w:p>
    <w:p>
      <w:r>
        <w:rPr>
          <w:rFonts w:ascii="Times New Roman" w:hAnsi="Times New Roman" w:eastAsia="Times New Roman"/>
        </w:rPr>
        <w:t>CORS is configured as an allow-list rather than a wildcard policy. The validation confirmed that the trusted localhost origin was accepted and an untrusted origin was not allowed. In production, TrustedHostMiddleware restricts accepted Host headers. The trusted host returned HTTP 200, while an untrusted host returned HTTP 400.</w:t>
      </w:r>
    </w:p>
    <w:p>
      <w:r>
        <w:rPr>
          <w:rFonts w:ascii="Times New Roman" w:hAnsi="Times New Roman" w:eastAsia="Times New Roman"/>
        </w:rPr>
        <w:t>Interactive API documentation, ReDoc, and the OpenAPI document are disabled when the application runs in production. The corresponding routes returned HTTP 404 in the security test. This reduces unnecessary production exposure, although operational teams may choose to provide authenticated internal documentation through a separate channel.</w:t>
      </w:r>
    </w:p>
    <w:p>
      <w:pPr>
        <w:pStyle w:val="Heading3"/>
      </w:pPr>
      <w:r>
        <w:rPr>
          <w:rFonts w:ascii="Times New Roman" w:hAnsi="Times New Roman" w:eastAsia="Times New Roman"/>
        </w:rPr>
        <w:t>6.3 HSTS interpretation</w:t>
      </w:r>
    </w:p>
    <w:p>
      <w:r>
        <w:rPr>
          <w:rFonts w:ascii="Times New Roman" w:hAnsi="Times New Roman" w:eastAsia="Times New Roman"/>
        </w:rPr>
        <w:t>The test confirms the presence of the HSTS header. However, HSTS provides meaningful browser protection only when the application is delivered over HTTPS. The current local deployment uses HTTP on localhost. Consequently, the test establishes correct header configuration, not completed TLS deployment. TLS termination and certificate validation must be retested on the future UESTC or external server.</w:t>
      </w:r>
    </w:p>
    <w:p>
      <w:pPr>
        <w:pStyle w:val="Heading2"/>
      </w:pPr>
      <w:r>
        <w:rPr>
          <w:rFonts w:ascii="Times New Roman" w:hAnsi="Times New Roman" w:eastAsia="Times New Roman"/>
        </w:rPr>
        <w:t>7. Container and Network Isolation</w:t>
      </w:r>
    </w:p>
    <w:p>
      <w:r>
        <w:rPr>
          <w:rFonts w:ascii="Times New Roman" w:hAnsi="Times New Roman" w:eastAsia="Times New Roman"/>
        </w:rPr>
        <w:t>The production Docker Compose configuration separates an edge network from an internal data network. Nginx is attached only to the edge network. PostgreSQL and MinIO are attached only to the data network, which is declared internal. The backend is the sole service connected to both networks. PostgreSQL and MinIO are not published directly to the host, while Nginx is the only publicly mapped entry point in the local production topology.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81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Service</w:t>
            </w:r>
          </w:p>
        </w:tc>
        <w:tc>
          <w:tcPr>
            <w:tcW w:type="dxa" w:w="3628"/>
            <w:vAlign w:val="center"/>
            <w:shd w:fill="D9E1F2"/>
          </w:tcPr>
          <w:p>
            <w:pPr>
              <w:jc w:val="left"/>
            </w:pPr>
            <w:r>
              <w:rPr>
                <w:rFonts w:ascii="Times New Roman" w:hAnsi="Times New Roman" w:eastAsia="Times New Roman"/>
                <w:sz w:val="17"/>
              </w:rPr>
            </w:r>
            <w:r>
              <w:rPr>
                <w:rFonts w:ascii="Times New Roman" w:hAnsi="Times New Roman" w:eastAsia="Times New Roman"/>
                <w:b/>
                <w:sz w:val="17"/>
              </w:rPr>
              <w:t>Network exposure</w:t>
            </w:r>
          </w:p>
        </w:tc>
        <w:tc>
          <w:tcPr>
            <w:tcW w:type="dxa" w:w="3515"/>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Security implication</w:t>
            </w:r>
          </w:p>
        </w:tc>
      </w:tr>
      <w:tr>
        <w:trPr>
          <w:cantSplit/>
        </w:trPr>
        <w:tc>
          <w:tcPr>
            <w:tcW w:type="dxa" w:w="1814"/>
            <w:vAlign w:val="center"/>
          </w:tcPr>
          <w:p>
            <w:pPr>
              <w:jc w:val="left"/>
            </w:pPr>
            <w:r>
              <w:rPr>
                <w:rFonts w:ascii="Times New Roman" w:hAnsi="Times New Roman" w:eastAsia="Times New Roman"/>
                <w:sz w:val="17"/>
              </w:rPr>
            </w:r>
            <w:r>
              <w:rPr>
                <w:rFonts w:ascii="Times New Roman" w:hAnsi="Times New Roman" w:eastAsia="Times New Roman"/>
                <w:b w:val="0"/>
                <w:sz w:val="17"/>
              </w:rPr>
              <w:t>Nginx</w:t>
            </w:r>
          </w:p>
        </w:tc>
        <w:tc>
          <w:tcPr>
            <w:tcW w:type="dxa" w:w="3628"/>
            <w:vAlign w:val="center"/>
          </w:tcPr>
          <w:p>
            <w:pPr>
              <w:jc w:val="left"/>
            </w:pPr>
            <w:r>
              <w:rPr>
                <w:rFonts w:ascii="Times New Roman" w:hAnsi="Times New Roman" w:eastAsia="Times New Roman"/>
                <w:sz w:val="17"/>
              </w:rPr>
            </w:r>
            <w:r>
              <w:rPr>
                <w:rFonts w:ascii="Times New Roman" w:hAnsi="Times New Roman" w:eastAsia="Times New Roman"/>
                <w:b w:val="0"/>
                <w:sz w:val="17"/>
              </w:rPr>
              <w:t>Edge network; host port 8080 mapped to container port 80</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7"/>
              </w:rPr>
              <w:t>Controlled reverse-proxy entry point</w:t>
            </w:r>
          </w:p>
        </w:tc>
      </w:tr>
      <w:tr>
        <w:trPr>
          <w:cantSplit/>
        </w:trPr>
        <w:tc>
          <w:tcPr>
            <w:tcW w:type="dxa" w:w="1814"/>
            <w:vAlign w:val="center"/>
          </w:tcPr>
          <w:p>
            <w:pPr>
              <w:jc w:val="left"/>
            </w:pPr>
            <w:r>
              <w:rPr>
                <w:rFonts w:ascii="Times New Roman" w:hAnsi="Times New Roman" w:eastAsia="Times New Roman"/>
                <w:sz w:val="17"/>
              </w:rPr>
            </w:r>
            <w:r>
              <w:rPr>
                <w:rFonts w:ascii="Times New Roman" w:hAnsi="Times New Roman" w:eastAsia="Times New Roman"/>
                <w:b w:val="0"/>
                <w:sz w:val="17"/>
              </w:rPr>
              <w:t>FastAPI backend</w:t>
            </w:r>
          </w:p>
        </w:tc>
        <w:tc>
          <w:tcPr>
            <w:tcW w:type="dxa" w:w="3628"/>
            <w:vAlign w:val="center"/>
          </w:tcPr>
          <w:p>
            <w:pPr>
              <w:jc w:val="left"/>
            </w:pPr>
            <w:r>
              <w:rPr>
                <w:rFonts w:ascii="Times New Roman" w:hAnsi="Times New Roman" w:eastAsia="Times New Roman"/>
                <w:sz w:val="17"/>
              </w:rPr>
            </w:r>
            <w:r>
              <w:rPr>
                <w:rFonts w:ascii="Times New Roman" w:hAnsi="Times New Roman" w:eastAsia="Times New Roman"/>
                <w:b w:val="0"/>
                <w:sz w:val="17"/>
              </w:rPr>
              <w:t>Edge and internal data networks; port 8000 exposed only to containers</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7"/>
              </w:rPr>
              <w:t>Mediates all application access to persistence services</w:t>
            </w:r>
          </w:p>
        </w:tc>
      </w:tr>
      <w:tr>
        <w:trPr>
          <w:cantSplit/>
        </w:trPr>
        <w:tc>
          <w:tcPr>
            <w:tcW w:type="dxa" w:w="1814"/>
            <w:vAlign w:val="center"/>
          </w:tcPr>
          <w:p>
            <w:pPr>
              <w:jc w:val="left"/>
            </w:pPr>
            <w:r>
              <w:rPr>
                <w:rFonts w:ascii="Times New Roman" w:hAnsi="Times New Roman" w:eastAsia="Times New Roman"/>
                <w:sz w:val="17"/>
              </w:rPr>
            </w:r>
            <w:r>
              <w:rPr>
                <w:rFonts w:ascii="Times New Roman" w:hAnsi="Times New Roman" w:eastAsia="Times New Roman"/>
                <w:b w:val="0"/>
                <w:sz w:val="17"/>
              </w:rPr>
              <w:t>PostgreSQL</w:t>
            </w:r>
          </w:p>
        </w:tc>
        <w:tc>
          <w:tcPr>
            <w:tcW w:type="dxa" w:w="3628"/>
            <w:vAlign w:val="center"/>
          </w:tcPr>
          <w:p>
            <w:pPr>
              <w:jc w:val="left"/>
            </w:pPr>
            <w:r>
              <w:rPr>
                <w:rFonts w:ascii="Times New Roman" w:hAnsi="Times New Roman" w:eastAsia="Times New Roman"/>
                <w:sz w:val="17"/>
              </w:rPr>
            </w:r>
            <w:r>
              <w:rPr>
                <w:rFonts w:ascii="Times New Roman" w:hAnsi="Times New Roman" w:eastAsia="Times New Roman"/>
                <w:b w:val="0"/>
                <w:sz w:val="17"/>
              </w:rPr>
              <w:t>Internal data network only; no host port mapping</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7"/>
              </w:rPr>
              <w:t>Reduces direct database attack surface</w:t>
            </w:r>
          </w:p>
        </w:tc>
      </w:tr>
      <w:tr>
        <w:trPr>
          <w:cantSplit/>
        </w:trPr>
        <w:tc>
          <w:tcPr>
            <w:tcW w:type="dxa" w:w="1814"/>
            <w:vAlign w:val="center"/>
          </w:tcPr>
          <w:p>
            <w:pPr>
              <w:jc w:val="left"/>
            </w:pPr>
            <w:r>
              <w:rPr>
                <w:rFonts w:ascii="Times New Roman" w:hAnsi="Times New Roman" w:eastAsia="Times New Roman"/>
                <w:sz w:val="17"/>
              </w:rPr>
            </w:r>
            <w:r>
              <w:rPr>
                <w:rFonts w:ascii="Times New Roman" w:hAnsi="Times New Roman" w:eastAsia="Times New Roman"/>
                <w:b w:val="0"/>
                <w:sz w:val="17"/>
              </w:rPr>
              <w:t>MinIO</w:t>
            </w:r>
          </w:p>
        </w:tc>
        <w:tc>
          <w:tcPr>
            <w:tcW w:type="dxa" w:w="3628"/>
            <w:vAlign w:val="center"/>
          </w:tcPr>
          <w:p>
            <w:pPr>
              <w:jc w:val="left"/>
            </w:pPr>
            <w:r>
              <w:rPr>
                <w:rFonts w:ascii="Times New Roman" w:hAnsi="Times New Roman" w:eastAsia="Times New Roman"/>
                <w:sz w:val="17"/>
              </w:rPr>
            </w:r>
            <w:r>
              <w:rPr>
                <w:rFonts w:ascii="Times New Roman" w:hAnsi="Times New Roman" w:eastAsia="Times New Roman"/>
                <w:b w:val="0"/>
                <w:sz w:val="17"/>
              </w:rPr>
              <w:t>Internal data network only; no host port mapping</w:t>
            </w:r>
          </w:p>
        </w:tc>
        <w:tc>
          <w:tcPr>
            <w:tcW w:type="dxa" w:w="3515"/>
            <w:vAlign w:val="center"/>
          </w:tcPr>
          <w:p>
            <w:pPr>
              <w:jc w:val="left"/>
            </w:pPr>
            <w:r>
              <w:rPr>
                <w:rFonts w:ascii="Times New Roman" w:hAnsi="Times New Roman" w:eastAsia="Times New Roman"/>
                <w:sz w:val="17"/>
              </w:rPr>
            </w:r>
            <w:r>
              <w:rPr>
                <w:rFonts w:ascii="Times New Roman" w:hAnsi="Times New Roman" w:eastAsia="Times New Roman"/>
                <w:b w:val="0"/>
                <w:sz w:val="17"/>
              </w:rPr>
              <w:t>Prevents direct host or Internet access to object storage</w:t>
            </w:r>
          </w:p>
        </w:tc>
      </w:tr>
    </w:tbl>
    <w:p/>
    <w:p>
      <w:r>
        <w:rPr>
          <w:rFonts w:ascii="Times New Roman" w:hAnsi="Times New Roman" w:eastAsia="Times New Roman"/>
        </w:rPr>
        <w:t>This architecture limits lateral reach from the external boundary. It is not a substitute for database credentials, MinIO credentials, host hardening, patch management, or firewall rules on the future VM, but it provides a defensible default segmentation model.</w:t>
      </w:r>
    </w:p>
    <w:p>
      <w:pPr>
        <w:pStyle w:val="Heading2"/>
      </w:pPr>
      <w:r>
        <w:rPr>
          <w:rFonts w:ascii="Times New Roman" w:hAnsi="Times New Roman" w:eastAsia="Times New Roman"/>
        </w:rPr>
        <w:t>8. Empirical Security Validation</w:t>
      </w:r>
    </w:p>
    <w:p>
      <w:pPr>
        <w:pStyle w:val="Heading3"/>
      </w:pPr>
      <w:r>
        <w:rPr>
          <w:rFonts w:ascii="Times New Roman" w:hAnsi="Times New Roman" w:eastAsia="Times New Roman"/>
        </w:rPr>
        <w:t>8.1 Validation design</w:t>
      </w:r>
    </w:p>
    <w:p>
      <w:r>
        <w:rPr>
          <w:rFonts w:ascii="Times New Roman" w:hAnsi="Times New Roman" w:eastAsia="Times New Roman"/>
        </w:rPr>
        <w:t>The evidence set combines static inspection and executable tests. Static inspection maps route operations to allowed roles and identifies the implementation of password hashing, JWT validation, account-state verification, audit recording, and security headers. Executable tests evaluate authentication failure modes, production HTTP behavior, audit-event generation, storage behavior, backup and restore, and optimized load performance.</w:t>
      </w:r>
    </w:p>
    <w:p>
      <w:pPr>
        <w:pStyle w:val="Heading3"/>
      </w:pPr>
      <w:r>
        <w:rPr>
          <w:rFonts w:ascii="Times New Roman" w:hAnsi="Times New Roman" w:eastAsia="Times New Roman"/>
        </w:rPr>
        <w:t>8.2 Consolidated outcomes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198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Domain</w:t>
            </w:r>
          </w:p>
        </w:tc>
        <w:tc>
          <w:tcPr>
            <w:tcW w:type="dxa" w:w="4535"/>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Validation</w:t>
            </w:r>
          </w:p>
        </w:tc>
        <w:tc>
          <w:tcPr>
            <w:tcW w:type="dxa" w:w="13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Checks</w:t>
            </w:r>
          </w:p>
        </w:tc>
        <w:tc>
          <w:tcPr>
            <w:tcW w:type="dxa" w:w="113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Security</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Production HTTP security</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17/17</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Security</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strict audit</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9/9</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Storage</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end-to-end storage</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10/10</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Storage</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MinIO service lifecycle</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4/4</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Disaster recovery</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PostgreSQL backup and restore</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19/19</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Disaster recovery</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MinIO backup and restore</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23/23</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84"/>
            <w:vAlign w:val="center"/>
          </w:tcPr>
          <w:p>
            <w:pPr>
              <w:jc w:val="left"/>
            </w:pPr>
            <w:r>
              <w:rPr>
                <w:rFonts w:ascii="Times New Roman" w:hAnsi="Times New Roman" w:eastAsia="Times New Roman"/>
                <w:sz w:val="17"/>
              </w:rPr>
            </w:r>
            <w:r>
              <w:rPr>
                <w:rFonts w:ascii="Times New Roman" w:hAnsi="Times New Roman" w:eastAsia="Times New Roman"/>
                <w:b w:val="0"/>
                <w:sz w:val="17"/>
              </w:rPr>
              <w:t>Performance</w:t>
            </w:r>
          </w:p>
        </w:tc>
        <w:tc>
          <w:tcPr>
            <w:tcW w:type="dxa" w:w="4535"/>
            <w:vAlign w:val="center"/>
          </w:tcPr>
          <w:p>
            <w:pPr>
              <w:jc w:val="left"/>
            </w:pPr>
            <w:r>
              <w:rPr>
                <w:rFonts w:ascii="Times New Roman" w:hAnsi="Times New Roman" w:eastAsia="Times New Roman"/>
                <w:sz w:val="17"/>
              </w:rPr>
            </w:r>
            <w:r>
              <w:rPr>
                <w:rFonts w:ascii="Times New Roman" w:hAnsi="Times New Roman" w:eastAsia="Times New Roman"/>
                <w:b w:val="0"/>
                <w:sz w:val="17"/>
              </w:rPr>
              <w:t>Optimized 200-user load</w:t>
            </w:r>
          </w:p>
        </w:tc>
        <w:tc>
          <w:tcPr>
            <w:tcW w:type="dxa" w:w="1304"/>
            <w:vAlign w:val="center"/>
          </w:tcPr>
          <w:p>
            <w:pPr>
              <w:jc w:val="left"/>
            </w:pPr>
            <w:r>
              <w:rPr>
                <w:rFonts w:ascii="Times New Roman" w:hAnsi="Times New Roman" w:eastAsia="Times New Roman"/>
                <w:sz w:val="17"/>
              </w:rPr>
            </w:r>
            <w:r>
              <w:rPr>
                <w:rFonts w:ascii="Times New Roman" w:hAnsi="Times New Roman" w:eastAsia="Times New Roman"/>
                <w:b w:val="0"/>
                <w:sz w:val="17"/>
              </w:rPr>
              <w:t>1/1</w:t>
            </w:r>
          </w:p>
        </w:tc>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final matrix contains seven passing validation items and no failed, pending, or review items. According to the project criterion recorded in the matrix, a production-readiness claim is justified only when no item remains in those non-passing states. The platform satisfies that criterion for the tested local production configuration.</w:t>
      </w:r>
    </w:p>
    <w:p>
      <w:pPr>
        <w:pStyle w:val="Heading2"/>
      </w:pPr>
      <w:r>
        <w:rPr>
          <w:rFonts w:ascii="Times New Roman" w:hAnsi="Times New Roman" w:eastAsia="Times New Roman"/>
        </w:rPr>
        <w:t>9. Critical Appraisal, Limitations, and Recommendations</w:t>
      </w:r>
    </w:p>
    <w:p>
      <w:pPr>
        <w:pStyle w:val="Heading3"/>
      </w:pPr>
      <w:r>
        <w:rPr>
          <w:rFonts w:ascii="Times New Roman" w:hAnsi="Times New Roman" w:eastAsia="Times New Roman"/>
        </w:rPr>
        <w:t>9.1 Strengths supported by evidence</w:t>
      </w:r>
    </w:p>
    <w:p>
      <w:pPr>
        <w:pStyle w:val="ListBullet"/>
        <w:ind w:left="283" w:hanging="142"/>
      </w:pPr>
      <w:r>
        <w:rPr>
          <w:rFonts w:ascii="Times New Roman" w:hAnsi="Times New Roman" w:eastAsia="Times New Roman"/>
        </w:rPr>
        <w:t>Authentication is not accepted solely on token syntax; the linked user must exist and remain active.</w:t>
      </w:r>
    </w:p>
    <w:p>
      <w:pPr>
        <w:pStyle w:val="ListBullet"/>
        <w:ind w:left="283" w:hanging="142"/>
      </w:pPr>
      <w:r>
        <w:rPr>
          <w:rFonts w:ascii="Times New Roman" w:hAnsi="Times New Roman" w:eastAsia="Times New Roman"/>
        </w:rPr>
        <w:t>Authorization is declared at route level and denied operations are audited.</w:t>
      </w:r>
    </w:p>
    <w:p>
      <w:pPr>
        <w:pStyle w:val="ListBullet"/>
        <w:ind w:left="283" w:hanging="142"/>
      </w:pPr>
      <w:r>
        <w:rPr>
          <w:rFonts w:ascii="Times New Roman" w:hAnsi="Times New Roman" w:eastAsia="Times New Roman"/>
        </w:rPr>
        <w:t>HTTP hardening was tested through positive and negative origin and host scenarios.</w:t>
      </w:r>
    </w:p>
    <w:p>
      <w:pPr>
        <w:pStyle w:val="ListBullet"/>
        <w:ind w:left="283" w:hanging="142"/>
      </w:pPr>
      <w:r>
        <w:rPr>
          <w:rFonts w:ascii="Times New Roman" w:hAnsi="Times New Roman" w:eastAsia="Times New Roman"/>
        </w:rPr>
        <w:t>Audit coverage was validated through a diagnostic-report workflow rather than only through unit-level assertions.</w:t>
      </w:r>
    </w:p>
    <w:p>
      <w:pPr>
        <w:pStyle w:val="ListBullet"/>
        <w:ind w:left="283" w:hanging="142"/>
      </w:pPr>
      <w:r>
        <w:rPr>
          <w:rFonts w:ascii="Times New Roman" w:hAnsi="Times New Roman" w:eastAsia="Times New Roman"/>
        </w:rPr>
        <w:t>Database and object-storage services are isolated from the host in the production Compose topology.</w:t>
      </w:r>
    </w:p>
    <w:p>
      <w:pPr>
        <w:pStyle w:val="ListBullet"/>
        <w:ind w:left="283" w:hanging="142"/>
      </w:pPr>
      <w:r>
        <w:rPr>
          <w:rFonts w:ascii="Times New Roman" w:hAnsi="Times New Roman" w:eastAsia="Times New Roman"/>
        </w:rPr>
        <w:t>The validation matrix is complete, reproducible, and linked to explicit evidence files.</w:t>
      </w:r>
    </w:p>
    <w:p>
      <w:pPr>
        <w:pStyle w:val="Heading3"/>
      </w:pPr>
      <w:r>
        <w:rPr>
          <w:rFonts w:ascii="Times New Roman" w:hAnsi="Times New Roman" w:eastAsia="Times New Roman"/>
        </w:rPr>
        <w:t>9.2 Limitations that must be reported</w:t>
      </w:r>
    </w:p>
    <w:p>
      <w:pPr>
        <w:pStyle w:val="ListBullet"/>
        <w:ind w:left="283" w:hanging="142"/>
      </w:pPr>
      <w:r>
        <w:rPr>
          <w:rFonts w:ascii="Times New Roman" w:hAnsi="Times New Roman" w:eastAsia="Times New Roman"/>
        </w:rPr>
        <w:t>The current results are from a local production-like Docker environment, not from the final public VM.</w:t>
      </w:r>
    </w:p>
    <w:p>
      <w:pPr>
        <w:pStyle w:val="ListBullet"/>
        <w:ind w:left="283" w:hanging="142"/>
      </w:pPr>
      <w:r>
        <w:rPr>
          <w:rFonts w:ascii="Times New Roman" w:hAnsi="Times New Roman" w:eastAsia="Times New Roman"/>
        </w:rPr>
        <w:t>The presence of the HSTS header does not demonstrate encrypted transport until HTTPS is configured and tested.</w:t>
      </w:r>
    </w:p>
    <w:p>
      <w:pPr>
        <w:pStyle w:val="ListBullet"/>
        <w:ind w:left="283" w:hanging="142"/>
      </w:pPr>
      <w:r>
        <w:rPr>
          <w:rFonts w:ascii="Times New Roman" w:hAnsi="Times New Roman" w:eastAsia="Times New Roman"/>
        </w:rPr>
        <w:t>No multi-factor authentication, account lockout, rate limiting, password breach checking, or password-history mechanism is shown in the supplied source.</w:t>
      </w:r>
    </w:p>
    <w:p>
      <w:pPr>
        <w:pStyle w:val="ListBullet"/>
        <w:ind w:left="283" w:hanging="142"/>
      </w:pPr>
      <w:r>
        <w:rPr>
          <w:rFonts w:ascii="Times New Roman" w:hAnsi="Times New Roman" w:eastAsia="Times New Roman"/>
        </w:rPr>
        <w:t>JWT signing uses a symmetric secret. Automated key rotation and centralized secret management are not evidenced.</w:t>
      </w:r>
    </w:p>
    <w:p>
      <w:pPr>
        <w:pStyle w:val="ListBullet"/>
        <w:ind w:left="283" w:hanging="142"/>
      </w:pPr>
      <w:r>
        <w:rPr>
          <w:rFonts w:ascii="Times New Roman" w:hAnsi="Times New Roman" w:eastAsia="Times New Roman"/>
        </w:rPr>
        <w:t>The audit model is described as immutable, but the supplied source does not demonstrate database-level prevention of update or deletion.</w:t>
      </w:r>
    </w:p>
    <w:p>
      <w:pPr>
        <w:pStyle w:val="ListBullet"/>
        <w:ind w:left="283" w:hanging="142"/>
      </w:pPr>
      <w:r>
        <w:rPr>
          <w:rFonts w:ascii="Times New Roman" w:hAnsi="Times New Roman" w:eastAsia="Times New Roman"/>
        </w:rPr>
        <w:t>safe_record_event protects application availability but can silently lose audit events when the audit write fails.</w:t>
      </w:r>
    </w:p>
    <w:p>
      <w:pPr>
        <w:pStyle w:val="ListBullet"/>
        <w:ind w:left="283" w:hanging="142"/>
      </w:pPr>
      <w:r>
        <w:rPr>
          <w:rFonts w:ascii="Times New Roman" w:hAnsi="Times New Roman" w:eastAsia="Times New Roman"/>
        </w:rPr>
        <w:t>No web application firewall, intrusion-detection integration, SIEM forwarding, or automated vulnerability scan is evidenced.</w:t>
      </w:r>
    </w:p>
    <w:p>
      <w:pPr>
        <w:pStyle w:val="ListBullet"/>
        <w:ind w:left="283" w:hanging="142"/>
      </w:pPr>
      <w:r>
        <w:rPr>
          <w:rFonts w:ascii="Times New Roman" w:hAnsi="Times New Roman" w:eastAsia="Times New Roman"/>
        </w:rPr>
        <w:t>Passing functional security tests does not establish legal compliance with HIPAA, GDPR, Chinese data-protection law, or any other regulatory framework.</w:t>
      </w:r>
    </w:p>
    <w:p>
      <w:pPr>
        <w:pStyle w:val="Heading3"/>
      </w:pPr>
      <w:r>
        <w:rPr>
          <w:rFonts w:ascii="Times New Roman" w:hAnsi="Times New Roman" w:eastAsia="Times New Roman"/>
        </w:rPr>
        <w:t>9.3 Planned security validation on the UESTC VM</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1134"/>
            <w:vAlign w:val="center"/>
            <w:shd w:fill="D9E1F2"/>
          </w:tcPr>
          <w:p>
            <w:pPr>
              <w:jc w:val="left"/>
            </w:pPr>
            <w:r>
              <w:rPr>
                <w:rFonts w:ascii="Times New Roman" w:hAnsi="Times New Roman" w:eastAsia="Times New Roman"/>
                <w:sz w:val="17"/>
              </w:rPr>
            </w:r>
            <w:r>
              <w:rPr>
                <w:rFonts w:ascii="Times New Roman" w:hAnsi="Times New Roman" w:eastAsia="Times New Roman"/>
                <w:b/>
                <w:sz w:val="18"/>
              </w:rPr>
              <w:t>Priority</w:t>
            </w:r>
          </w:p>
        </w:tc>
        <w:tc>
          <w:tcPr>
            <w:tcW w:type="dxa" w:w="7824"/>
            <w:vAlign w:val="center"/>
            <w:shd w:fill="D9E1F2"/>
          </w:tcPr>
          <w:p>
            <w:pPr>
              <w:jc w:val="left"/>
            </w:pPr>
            <w:r>
              <w:rPr>
                <w:rFonts w:ascii="Times New Roman" w:hAnsi="Times New Roman" w:eastAsia="Times New Roman"/>
                <w:sz w:val="17"/>
              </w:rPr>
            </w:r>
            <w:r>
              <w:rPr>
                <w:rFonts w:ascii="Times New Roman" w:hAnsi="Times New Roman" w:eastAsia="Times New Roman"/>
                <w:b/>
                <w:sz w:val="18"/>
              </w:rPr>
              <w:t>Recommended action</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P1</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Configure a real domain, TLS certificate, HTTPS-only redirection, and then retest HSTS.</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P1</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Replace all local secrets with high-entropy production secrets and document a rotation procedure.</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P1</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Add firewall rules that expose only SSH, HTTP, and HTTPS, with administrative access restricted where possible.</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P1</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Implement rate limiting and login-throttling at Nginx or application level.</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P2</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Emit monitoring alerts for failed audit writes and verify audit-retention and tamper-resistance controls.</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P2</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Introduce an external encrypted backup destination and periodically test restoration.</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P2</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Perform dependency, container-image, and dynamic application security scans against the deployed VM.</w:t>
            </w:r>
          </w:p>
        </w:tc>
      </w:tr>
      <w:tr>
        <w:trPr>
          <w:cantSplit/>
        </w:trPr>
        <w:tc>
          <w:tcPr>
            <w:tcW w:type="dxa" w:w="1134"/>
            <w:vAlign w:val="center"/>
          </w:tcPr>
          <w:p>
            <w:pPr>
              <w:jc w:val="left"/>
            </w:pPr>
            <w:r>
              <w:rPr>
                <w:rFonts w:ascii="Times New Roman" w:hAnsi="Times New Roman" w:eastAsia="Times New Roman"/>
                <w:sz w:val="17"/>
              </w:rPr>
            </w:r>
            <w:r>
              <w:rPr>
                <w:rFonts w:ascii="Times New Roman" w:hAnsi="Times New Roman" w:eastAsia="Times New Roman"/>
                <w:b w:val="0"/>
                <w:sz w:val="18"/>
              </w:rPr>
              <w:t>P3</w:t>
            </w:r>
          </w:p>
        </w:tc>
        <w:tc>
          <w:tcPr>
            <w:tcW w:type="dxa" w:w="7824"/>
            <w:vAlign w:val="center"/>
          </w:tcPr>
          <w:p>
            <w:pPr>
              <w:jc w:val="left"/>
            </w:pPr>
            <w:r>
              <w:rPr>
                <w:rFonts w:ascii="Times New Roman" w:hAnsi="Times New Roman" w:eastAsia="Times New Roman"/>
                <w:sz w:val="17"/>
              </w:rPr>
            </w:r>
            <w:r>
              <w:rPr>
                <w:rFonts w:ascii="Times New Roman" w:hAnsi="Times New Roman" w:eastAsia="Times New Roman"/>
                <w:b w:val="0"/>
                <w:sz w:val="18"/>
              </w:rPr>
              <w:t>Evaluate multi-factor authentication for privileged and clinical roles.</w:t>
            </w:r>
          </w:p>
        </w:tc>
      </w:tr>
    </w:tbl>
    <w:p/>
    <w:p>
      <w:pPr>
        <w:pStyle w:val="Heading2"/>
      </w:pPr>
      <w:r>
        <w:rPr>
          <w:rFonts w:ascii="Times New Roman" w:hAnsi="Times New Roman" w:eastAsia="Times New Roman"/>
        </w:rPr>
        <w:t>10. Evidence Traceability and Conclusion</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798"/>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Chapter claim or component</w:t>
            </w:r>
          </w:p>
        </w:tc>
        <w:tc>
          <w:tcPr>
            <w:tcW w:type="dxa" w:w="51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Primary project evidence</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Password hashing and JWT</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backend/app/core/security.py</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Authenticated-user resolution</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backend/app/api/dependencies/auth.py</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RBAC and denied-access audit</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backend/app/api/dependencies/rbac.py</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Audit service</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backend/app/services/audit_service.py</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Audit schema</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backend/app/models/audit_log.py</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User and role models</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backend/app/models/user.py; backend/app/models/role.py</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HTTP security validation</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tests/security/production_security_results.csv</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JWT validation</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tests/security/jwt_security_results.csv</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RBAC inventory</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tests/security/rbac_matrix.csv</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Diagnostic-report audit validation</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tests/security/diagnostic_report_audit_results.csv</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Overall validation status</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docs/evidence/final_validation_matrix.md</w:t>
            </w:r>
          </w:p>
        </w:tc>
      </w:tr>
      <w:tr>
        <w:trPr>
          <w:cantSplit/>
        </w:trPr>
        <w:tc>
          <w:tcPr>
            <w:tcW w:type="dxa" w:w="3798"/>
            <w:vAlign w:val="center"/>
          </w:tcPr>
          <w:p>
            <w:pPr>
              <w:jc w:val="left"/>
            </w:pPr>
            <w:r>
              <w:rPr>
                <w:rFonts w:ascii="Times New Roman" w:hAnsi="Times New Roman" w:eastAsia="Times New Roman"/>
                <w:sz w:val="17"/>
              </w:rPr>
            </w:r>
            <w:r>
              <w:rPr>
                <w:rFonts w:ascii="Times New Roman" w:hAnsi="Times New Roman" w:eastAsia="Times New Roman"/>
                <w:b w:val="0"/>
                <w:sz w:val="17"/>
              </w:rPr>
              <w:t>Network isolation</w:t>
            </w:r>
          </w:p>
        </w:tc>
        <w:tc>
          <w:tcPr>
            <w:tcW w:type="dxa" w:w="5159"/>
            <w:vAlign w:val="center"/>
          </w:tcPr>
          <w:p>
            <w:pPr>
              <w:jc w:val="left"/>
            </w:pPr>
            <w:r>
              <w:rPr>
                <w:rFonts w:ascii="Times New Roman" w:hAnsi="Times New Roman" w:eastAsia="Times New Roman"/>
                <w:sz w:val="17"/>
              </w:rPr>
            </w:r>
            <w:r>
              <w:rPr>
                <w:rFonts w:ascii="Times New Roman" w:hAnsi="Times New Roman" w:eastAsia="Times New Roman"/>
                <w:b w:val="0"/>
                <w:sz w:val="17"/>
              </w:rPr>
              <w:t>docker-compose.prod.yml and nginx/default.conf, as documented in the implementation source extract</w:t>
            </w:r>
          </w:p>
        </w:tc>
      </w:tr>
    </w:tbl>
    <w:p/>
    <w:p>
      <w:r>
        <w:rPr>
          <w:rFonts w:ascii="Times New Roman" w:hAnsi="Times New Roman" w:eastAsia="Times New Roman"/>
        </w:rPr>
        <w:t>The Healthcare Cloud Platform implements a coherent defense-in-depth baseline. Bcrypt protects stored credentials, signed JWTs establish short-lived authenticated sessions, PostgreSQL-backed identity resolution supports immediate account deactivation, route-level RBAC enforces explicit professional permissions, and audit records provide accountability for denied and healthcare-data operations. HTTP hardening, origin and host restrictions, documentation suppression, and container network segmentation further reduce exposure.</w:t>
      </w:r>
    </w:p>
    <w:p>
      <w:r>
        <w:rPr>
          <w:rFonts w:ascii="Times New Roman" w:hAnsi="Times New Roman" w:eastAsia="Times New Roman"/>
        </w:rPr>
        <w:t>The supplied evidence demonstrates that the implemented controls behaved as expected in the local production configuration. The result is a validated, cloud-ready security baseline. Final claims about public-cloud security must await deployment to the remote VM, activation of HTTPS, external network testing, and completion of the prioritized hardening measures.</w:t>
      </w:r>
    </w:p>
    <w:p>
      <w:r>
        <w:rPr>
          <w:rFonts w:ascii="Times New Roman" w:hAnsi="Times New Roman" w:eastAsia="Times New Roman"/>
        </w:rPr>
      </w:r>
    </w:p>
    <w:p>
      <w:pPr>
        <w:pStyle w:val="Heading2"/>
      </w:pPr>
      <w:r>
        <w:rPr>
          <w:rFonts w:ascii="Times New Roman" w:hAnsi="Times New Roman" w:eastAsia="Times New Roman"/>
        </w:rPr>
        <w:t>Appendix A. Role-to-Module Access Summary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551"/>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Module</w:t>
            </w:r>
          </w:p>
        </w:tc>
        <w:tc>
          <w:tcPr>
            <w:tcW w:type="dxa" w:w="1417"/>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Operations</w:t>
            </w:r>
          </w:p>
        </w:tc>
        <w:tc>
          <w:tcPr>
            <w:tcW w:type="dxa" w:w="498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Roles represented</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auth</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2</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Authentication-dependent; no route-level role list</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diagnostic_reports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3</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encounters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fhir</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8</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Nurse, Pharmacist</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fhir_conditions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2</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Nurse</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observations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patients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Pr>
                <w:rFonts w:ascii="Times New Roman" w:hAnsi="Times New Roman" w:eastAsia="Times New Roman"/>
                <w:sz w:val="17"/>
              </w:rPr>
            </w:r>
            <w:r>
              <w:rPr>
                <w:rFonts w:ascii="Times New Roman" w:hAnsi="Times New Roman" w:eastAsia="Times New Roman"/>
                <w:b w:val="0"/>
                <w:sz w:val="17"/>
              </w:rPr>
              <w:t>prescriptions</w:t>
            </w:r>
          </w:p>
        </w:tc>
        <w:tc>
          <w:tcPr>
            <w:tcW w:type="dxa" w:w="1417"/>
            <w:vAlign w:val="center"/>
          </w:tcPr>
          <w:p>
            <w:pPr>
              <w:jc w:val="left"/>
            </w:pPr>
            <w:r>
              <w:rPr>
                <w:rFonts w:ascii="Times New Roman" w:hAnsi="Times New Roman" w:eastAsia="Times New Roman"/>
                <w:sz w:val="17"/>
              </w:rPr>
            </w:r>
            <w:r>
              <w:rPr>
                <w:rFonts w:ascii="Times New Roman" w:hAnsi="Times New Roman" w:eastAsia="Times New Roman"/>
                <w:b w:val="0"/>
                <w:sz w:val="17"/>
              </w:rPr>
              <w:t>4</w:t>
            </w:r>
          </w:p>
        </w:tc>
        <w:tc>
          <w:tcPr>
            <w:tcW w:type="dxa" w:w="4989"/>
            <w:vAlign w:val="center"/>
          </w:tcPr>
          <w:p>
            <w:pPr>
              <w:jc w:val="left"/>
            </w:pPr>
            <w:r>
              <w:rPr>
                <w:rFonts w:ascii="Times New Roman" w:hAnsi="Times New Roman" w:eastAsia="Times New Roman"/>
                <w:sz w:val="17"/>
              </w:rPr>
            </w:r>
            <w:r>
              <w:rPr>
                <w:rFonts w:ascii="Times New Roman" w:hAnsi="Times New Roman" w:eastAsia="Times New Roman"/>
                <w:b w:val="0"/>
                <w:sz w:val="17"/>
              </w:rPr>
              <w:t>Admin, Data Manager, Doctor, Nurse, Pharmacist</w:t>
            </w:r>
          </w:p>
        </w:tc>
      </w:tr>
    </w:tbl>
    <w:p/>
    <w:p>
      <w:pPr>
        <w:pStyle w:val="Heading1"/>
        <w:pageBreakBefore w:val="1"/>
        <w:keepNext/>
      </w:pPr>
      <w:r>
        <w:rPr>
          <w:rFonts w:ascii="Times New Roman" w:hAnsi="Times New Roman" w:eastAsia="Times New Roman"/>
        </w:rPr>
        <w:t>Chapter 5. Healthcare Data Model, FHIR Interoperability and Synthea Data Ingestion</w:t>
      </w:r>
    </w:p>
    <w:p>
      <w:pPr>
        <w:pStyle w:val="Heading2"/>
      </w:pPr>
      <w:r>
        <w:rPr>
          <w:rFonts w:ascii="Times New Roman" w:hAnsi="Times New Roman" w:eastAsia="Times New Roman"/>
        </w:rPr>
        <w:t>Executive Summary</w:t>
      </w:r>
    </w:p>
    <w:p>
      <w:r>
        <w:rPr>
          <w:rFonts w:ascii="Times New Roman" w:hAnsi="Times New Roman" w:eastAsia="Times New Roman"/>
        </w:rPr>
        <w:t>The Healthcare Cloud Platform implements a normalized relational model for patients, encounters, conditions, observations, prescriptions, diagnostic-report metadata, users, roles, and audit logs. Clinical records are stored in PostgreSQL, while binary diagnostic objects are stored privately in MinIO and referenced through bucket, object-key, size, content-type, and SHA-256 metadata.</w:t>
      </w:r>
    </w:p>
    <w:p>
      <w:r>
        <w:rPr>
          <w:rFonts w:ascii="Times New Roman" w:hAnsi="Times New Roman" w:eastAsia="Times New Roman"/>
        </w:rPr>
        <w:t>The supplied validated table inventory contains 117,581 patients, 121,649 encounters, 643,513 conditions, 592,173 observations, and 66,458 prescriptions. Foreign keys preserve core subject, encounter, prescriber, uploader, role, and audit relationships.</w:t>
      </w:r>
    </w:p>
    <w:p>
      <w:r>
        <w:rPr>
          <w:rFonts w:ascii="Times New Roman" w:hAnsi="Times New Roman" w:eastAsia="Times New Roman"/>
        </w:rPr>
        <w:t>The interoperability layer exposes JSON resources named Patient, Encounter, Observation, MedicationRequest, and Condition, together with search bundles, a minimal CapabilityStatement, and a Patient/$everything collection. The implementation is explicitly lightweight and FHIR-inspired. The source does not support a claim of full HL7 FHIR conformance.</w:t>
      </w:r>
    </w:p>
    <w:p>
      <w:r>
        <w:rPr>
          <w:rFonts w:ascii="Times New Roman" w:hAnsi="Times New Roman" w:eastAsia="Times New Roman"/>
        </w:rPr>
        <w:t>The Synthea import pipeline validates required files and headers, imports patients before dependent entities, maps external identifiers to internal keys, performs create-or-update logic, and tracks created, updated, skipped, and skip-reason counts. The uploaded source demonstrates ingestion for patients, encounters, observations, and medications. It does not show the importer that produced the condition records present in the database.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Domain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Implemented evidence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Important qualification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Relational model</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Nine application and security entities plus Alembic migration state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SQLAlchemy relationships are mostly represented by foreign keys rather than rich ORM relationships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FHIR surface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 Encounter, Observation, MedicationRequest, Condition and Bundle-like responses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FHIR-inspired JSON, not demonstrated full conformance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Hybrid storage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metadata plus private MinIO objects and SHA-256 verification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Binary files are not represented through a FHIR Binary or full DiagnosticReport resource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Synthea ingestion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Patients, encounters, observations and medications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Condition ingestion source is absent from the uploaded extract</w:t>
            </w:r>
          </w:p>
        </w:tc>
      </w:tr>
    </w:tbl>
    <w:p/>
    <w:p>
      <w:pPr>
        <w:pStyle w:val="Heading2"/>
      </w:pPr>
      <w:r>
        <w:rPr>
          <w:rFonts w:ascii="Times New Roman" w:hAnsi="Times New Roman" w:eastAsia="Times New Roman"/>
        </w:rPr>
        <w:t>1. Healthcare Data Architecture</w:t>
      </w:r>
    </w:p>
    <w:p>
      <w:r>
        <w:rPr>
          <w:rFonts w:ascii="Times New Roman" w:hAnsi="Times New Roman" w:eastAsia="Times New Roman"/>
        </w:rPr>
        <w:t>The platform separates structured clinical and security data from binary objects. PostgreSQL is the authoritative store for identifiers, relationships, timestamps, codes, statuses, values, user roles, audit events, and diagnostic-report metadata. MinIO stores the report bytes. The application backend is the only component exposed to clients for report upload and download.</w:t>
      </w:r>
    </w:p>
    <w:p>
      <w:pPr>
        <w:jc w:val="center"/>
      </w:pPr>
      <w:r>
        <w:rPr>
          <w:rFonts w:ascii="Times New Roman" w:hAnsi="Times New Roman" w:eastAsia="Times New Roman"/>
        </w:rPr>
        <w:drawing>
          <wp:inline xmlns:a="http://schemas.openxmlformats.org/drawingml/2006/main" xmlns:pic="http://schemas.openxmlformats.org/drawingml/2006/picture">
            <wp:extent cx="6309360" cy="4083453"/>
            <wp:docPr id="10" name="Picture 1"/>
            <wp:cNvGraphicFramePr>
              <a:graphicFrameLocks noChangeAspect="1"/>
            </wp:cNvGraphicFramePr>
            <a:graphic>
              <a:graphicData uri="http://schemas.openxmlformats.org/drawingml/2006/picture">
                <pic:pic>
                  <pic:nvPicPr>
                    <pic:cNvPr id="10" name="relational_data_model.png"/>
                    <pic:cNvPicPr/>
                  </pic:nvPicPr>
                  <pic:blipFill>
                    <a:blip r:embed="rId23"/>
                    <a:stretch>
                      <a:fillRect/>
                    </a:stretch>
                  </pic:blipFill>
                  <pic:spPr>
                    <a:xfrm>
                      <a:off x="0" y="0"/>
                      <a:ext cx="6309360" cy="4083453"/>
                    </a:xfrm>
                    <a:prstGeom prst="rect"/>
                  </pic:spPr>
                </pic:pic>
              </a:graphicData>
            </a:graphic>
          </wp:inline>
        </w:drawing>
      </w:r>
    </w:p>
    <w:p>
      <w:pPr>
        <w:pStyle w:val="AcademicCaption"/>
      </w:pPr>
      <w:r>
        <w:rPr>
          <w:rFonts w:ascii="Times New Roman" w:hAnsi="Times New Roman" w:eastAsia="Times New Roman"/>
        </w:rPr>
        <w:t>Figure 1. Relational healthcare data model and principal foreign-key paths.</w:t>
      </w:r>
    </w:p>
    <w:p>
      <w:r>
        <w:rPr>
          <w:rFonts w:ascii="Times New Roman" w:hAnsi="Times New Roman" w:eastAsia="Times New Roman"/>
        </w:rPr>
        <w:t>The database design follows a patient-centered structure. Patient is the principal subject entity. Encounters are mandatory children of patients. Conditions, observations, prescriptions, and diagnostic reports are linked to a patient and may optionally reference an encounter. Prescriptions may reference a prescriber, diagnostic reports may reference an uploader, and audit records may reference the user responsible for an event.</w:t>
      </w:r>
    </w:p>
    <w:p>
      <w:pPr>
        <w:pStyle w:val="Heading2"/>
      </w:pPr>
      <w:r>
        <w:rPr>
          <w:rFonts w:ascii="Times New Roman" w:hAnsi="Times New Roman" w:eastAsia="Times New Roman"/>
        </w:rPr>
        <w:t>2. Core PostgreSQL Clinical Entities</w:t>
      </w:r>
    </w:p>
    <w:p>
      <w:pPr>
        <w:pStyle w:val="Heading3"/>
      </w:pPr>
      <w:r>
        <w:rPr>
          <w:rFonts w:ascii="Times New Roman" w:hAnsi="Times New Roman" w:eastAsia="Times New Roman"/>
        </w:rPr>
        <w:t>2.1 Patient</w:t>
      </w:r>
    </w:p>
    <w:p>
      <w:r>
        <w:rPr>
          <w:rFonts w:ascii="Times New Roman" w:hAnsi="Times New Roman" w:eastAsia="Times New Roman"/>
        </w:rPr>
        <w:t>The Patient table uses an integer primary key and a globally unique medical record number. The combination of source_system and external_id is also unique, supporting multi-source ingestion without treating external identifiers as globally unique. Demographic fields include name, date of birth, gender, phone, email, address, city, state, postal code, and country.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Patient design element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Implementation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Primary identifier</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Integer id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Clinical identifier</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Unique medical_record_number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Source identity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Unique pair: source_system + external_id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Demographics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Name, birth date, gender, contact and address fields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Lifecycle metadata</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created_at and updated_at</w:t>
            </w:r>
          </w:p>
        </w:tc>
      </w:tr>
    </w:tbl>
    <w:p/>
    <w:p>
      <w:pPr>
        <w:pStyle w:val="Heading3"/>
      </w:pPr>
      <w:r>
        <w:rPr>
          <w:rFonts w:ascii="Times New Roman" w:hAnsi="Times New Roman" w:eastAsia="Times New Roman"/>
        </w:rPr>
        <w:t>2.2 Encounter</w:t>
      </w:r>
    </w:p>
    <w:p>
      <w:r>
        <w:rPr>
          <w:rFonts w:ascii="Times New Roman" w:hAnsi="Times New Roman" w:eastAsia="Times New Roman"/>
        </w:rPr>
        <w:t>Encounter requires a valid patient_id and records encounter type, status, start time, optional end time, and optional location. API validation prevents an end time earlier than the start time. The source-system and external-identifier pair is unique.</w:t>
      </w:r>
    </w:p>
    <w:p>
      <w:pPr>
        <w:pStyle w:val="Heading3"/>
      </w:pPr>
      <w:r>
        <w:rPr>
          <w:rFonts w:ascii="Times New Roman" w:hAnsi="Times New Roman" w:eastAsia="Times New Roman"/>
        </w:rPr>
        <w:t>2.3 Condition</w:t>
      </w:r>
    </w:p>
    <w:p>
      <w:r>
        <w:rPr>
          <w:rFonts w:ascii="Times New Roman" w:hAnsi="Times New Roman" w:eastAsia="Times New Roman"/>
        </w:rPr>
        <w:t>Condition records contain patient and optional encounter relationships, code and code-system values, display text, clinical status, optional verification status, onset, abatement, and recorded times. Indexes support searches by patient, code, status, onset time, source system, external identifier, and encounter.</w:t>
      </w:r>
    </w:p>
    <w:p>
      <w:pPr>
        <w:pStyle w:val="Heading3"/>
      </w:pPr>
      <w:r>
        <w:rPr>
          <w:rFonts w:ascii="Times New Roman" w:hAnsi="Times New Roman" w:eastAsia="Times New Roman"/>
        </w:rPr>
        <w:t>2.4 Observation</w:t>
      </w:r>
    </w:p>
    <w:p>
      <w:r>
        <w:rPr>
          <w:rFonts w:ascii="Times New Roman" w:hAnsi="Times New Roman" w:eastAsia="Times New Roman"/>
        </w:rPr>
        <w:t>Observation supports numeric and textual results. A create request must supply at least one of value_numeric or value_text. Numeric values use Numeric(18,6). The record also supports unit, reference range, category, code, code system, display name, status, observation time, and issue time. A composite patient-and-observed-time index supports chronological patient queries.</w:t>
      </w:r>
    </w:p>
    <w:p>
      <w:pPr>
        <w:pStyle w:val="Heading3"/>
      </w:pPr>
      <w:r>
        <w:rPr>
          <w:rFonts w:ascii="Times New Roman" w:hAnsi="Times New Roman" w:eastAsia="Times New Roman"/>
        </w:rPr>
        <w:t>2.5 Prescription</w:t>
      </w:r>
    </w:p>
    <w:p>
      <w:r>
        <w:rPr>
          <w:rFonts w:ascii="Times New Roman" w:hAnsi="Times New Roman" w:eastAsia="Times New Roman"/>
        </w:rPr>
        <w:t>Prescription links a medication order to a patient, an optional encounter, and an optional prescriber. It records medication identity, dosage, unit, route, frequency, instructions, status, authored time, and optional treatment dates. Validation requires the end date not to precede the start date and requires a dosage unit whenever a dosage amount is present.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Entity</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Validated rows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Key integrity feature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Patients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117,581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Unique MRN and source identity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Encounters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121,649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Required patient relation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Conditions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643,513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Patient plus optional encounter</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Observations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592,173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Numeric or textual clinical result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Prescriptions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66,458</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Patient, optional encounter and prescriber</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760720" cy="3709988"/>
            <wp:docPr id="11" name="Picture 2"/>
            <wp:cNvGraphicFramePr>
              <a:graphicFrameLocks noChangeAspect="1"/>
            </wp:cNvGraphicFramePr>
            <a:graphic>
              <a:graphicData uri="http://schemas.openxmlformats.org/drawingml/2006/picture">
                <pic:pic>
                  <pic:nvPicPr>
                    <pic:cNvPr id="11" name="clinical_dataset_scale.png"/>
                    <pic:cNvPicPr/>
                  </pic:nvPicPr>
                  <pic:blipFill>
                    <a:blip r:embed="rId24"/>
                    <a:stretch>
                      <a:fillRect/>
                    </a:stretch>
                  </pic:blipFill>
                  <pic:spPr>
                    <a:xfrm>
                      <a:off x="0" y="0"/>
                      <a:ext cx="5760720" cy="3709988"/>
                    </a:xfrm>
                    <a:prstGeom prst="rect"/>
                  </pic:spPr>
                </pic:pic>
              </a:graphicData>
            </a:graphic>
          </wp:inline>
        </w:drawing>
      </w:r>
    </w:p>
    <w:p>
      <w:pPr>
        <w:pStyle w:val="AcademicCaption"/>
      </w:pPr>
      <w:r>
        <w:rPr>
          <w:rFonts w:ascii="Times New Roman" w:hAnsi="Times New Roman" w:eastAsia="Times New Roman"/>
        </w:rPr>
        <w:t>Figure 2. Core clinical dataset scale based on the validated database inventory.</w:t>
      </w:r>
    </w:p>
    <w:p>
      <w:pPr>
        <w:pStyle w:val="Heading2"/>
      </w:pPr>
      <w:r>
        <w:rPr>
          <w:rFonts w:ascii="Times New Roman" w:hAnsi="Times New Roman" w:eastAsia="Times New Roman"/>
        </w:rPr>
        <w:t>3. Security and Accountability Entities</w:t>
      </w:r>
    </w:p>
    <w:p>
      <w:pPr>
        <w:pStyle w:val="Heading3"/>
      </w:pPr>
      <w:r>
        <w:rPr>
          <w:rFonts w:ascii="Times New Roman" w:hAnsi="Times New Roman" w:eastAsia="Times New Roman"/>
        </w:rPr>
        <w:t>3.1 Roles and users</w:t>
      </w:r>
    </w:p>
    <w:p>
      <w:r>
        <w:rPr>
          <w:rFonts w:ascii="Times New Roman" w:hAnsi="Times New Roman" w:eastAsia="Times New Roman"/>
        </w:rPr>
        <w:t>Role contains a unique name and optional description. User contains unique username and email fields, a hashed password, an active-state flag, and a mandatory foreign key to Role. The demonstrated design supports the six operational roles used elsewhere in the project.</w:t>
      </w:r>
    </w:p>
    <w:p>
      <w:pPr>
        <w:pStyle w:val="Heading3"/>
      </w:pPr>
      <w:r>
        <w:rPr>
          <w:rFonts w:ascii="Times New Roman" w:hAnsi="Times New Roman" w:eastAsia="Times New Roman"/>
        </w:rPr>
        <w:t>3.2 Audit logs</w:t>
      </w:r>
    </w:p>
    <w:p>
      <w:r>
        <w:rPr>
          <w:rFonts w:ascii="Times New Roman" w:hAnsi="Times New Roman" w:eastAsia="Times New Roman"/>
        </w:rPr>
        <w:t>AuditLog stores action, outcome, resource type, resource identifier, HTTP method, endpoint, IP address, user agent, details, and creation time. User linkage is optional so that events can still be recorded when a user identity is unavailable. Composite indexes support user-time and action-time investigations.</w:t>
      </w:r>
    </w:p>
    <w:p>
      <w:r>
        <w:rPr>
          <w:rFonts w:ascii="Times New Roman" w:hAnsi="Times New Roman" w:eastAsia="Times New Roman"/>
        </w:rPr>
        <w:t>The model documentation calls audit records immutable, but the uploaded database definition does not show a database trigger, append-only permission model, or update/delete prohibition. Immutability is therefore an intended application property rather than a demonstrated database-enforced guarantee.</w:t>
      </w:r>
    </w:p>
    <w:p>
      <w:pPr>
        <w:pStyle w:val="Heading2"/>
      </w:pPr>
      <w:r>
        <w:rPr>
          <w:rFonts w:ascii="Times New Roman" w:hAnsi="Times New Roman" w:eastAsia="Times New Roman"/>
        </w:rPr>
        <w:t>4. Hybrid Diagnostic-Report Storage</w:t>
      </w:r>
    </w:p>
    <w:p>
      <w:pPr>
        <w:jc w:val="center"/>
      </w:pPr>
      <w:r>
        <w:rPr>
          <w:rFonts w:ascii="Times New Roman" w:hAnsi="Times New Roman" w:eastAsia="Times New Roman"/>
        </w:rPr>
        <w:drawing>
          <wp:inline xmlns:a="http://schemas.openxmlformats.org/drawingml/2006/main" xmlns:pic="http://schemas.openxmlformats.org/drawingml/2006/picture">
            <wp:extent cx="5943600" cy="3816838"/>
            <wp:docPr id="12" name="Picture 3"/>
            <wp:cNvGraphicFramePr>
              <a:graphicFrameLocks noChangeAspect="1"/>
            </wp:cNvGraphicFramePr>
            <a:graphic>
              <a:graphicData uri="http://schemas.openxmlformats.org/drawingml/2006/picture">
                <pic:pic>
                  <pic:nvPicPr>
                    <pic:cNvPr id="12" name="hybrid_storage_architecture.png"/>
                    <pic:cNvPicPr/>
                  </pic:nvPicPr>
                  <pic:blipFill>
                    <a:blip r:embed="rId25"/>
                    <a:stretch>
                      <a:fillRect/>
                    </a:stretch>
                  </pic:blipFill>
                  <pic:spPr>
                    <a:xfrm>
                      <a:off x="0" y="0"/>
                      <a:ext cx="5943600" cy="3816838"/>
                    </a:xfrm>
                    <a:prstGeom prst="rect"/>
                  </pic:spPr>
                </pic:pic>
              </a:graphicData>
            </a:graphic>
          </wp:inline>
        </w:drawing>
      </w:r>
    </w:p>
    <w:p>
      <w:pPr>
        <w:pStyle w:val="AcademicCaption"/>
      </w:pPr>
      <w:r>
        <w:rPr>
          <w:rFonts w:ascii="Times New Roman" w:hAnsi="Times New Roman" w:eastAsia="Times New Roman"/>
        </w:rPr>
        <w:t>Figure 3. Hybrid persistence for diagnostic-report metadata and binary objects.</w:t>
      </w:r>
    </w:p>
    <w:p>
      <w:r>
        <w:rPr>
          <w:rFonts w:ascii="Times New Roman" w:hAnsi="Times New Roman" w:eastAsia="Times New Roman"/>
        </w:rPr>
        <w:t>DiagnosticReport stores patient, optional encounter, and optional uploader relationships together with report type, status, title, conclusion, issue time, original filename, content type, byte size, and SHA-256 digest. The combination of bucket_name and object_key is unique.</w:t>
      </w:r>
    </w:p>
    <w:p>
      <w:r>
        <w:rPr>
          <w:rFonts w:ascii="Times New Roman" w:hAnsi="Times New Roman" w:eastAsia="Times New Roman"/>
        </w:rPr>
        <w:t>Uploads are restricted to PDF, plain text, JPEG, and PNG, with a 10 MB application-level maximum. The endpoint validates patient and encounter consistency before storage. Downloads pass through the backend, retrieve bytes from private MinIO, recompute SHA-256 when a checksum is stored, and return HTTP 409 if integrity verification fails.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Control</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Implementation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Storage separation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Metadata in PostgreSQL; object bytes in MinIO</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uniqueness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Unique bucket_name + object_key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Allowed content types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PDF, plain text, JPEG and PNG</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Maximum application upload size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10 MB</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Download integrity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SHA-256 comparison before response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Client access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Backend-mediated; MinIO remains private</w:t>
            </w:r>
          </w:p>
        </w:tc>
      </w:tr>
    </w:tbl>
    <w:p/>
    <w:p>
      <w:r>
        <w:rPr>
          <w:rFonts w:ascii="Times New Roman" w:hAnsi="Times New Roman" w:eastAsia="Times New Roman"/>
        </w:rPr>
        <w:t>Nginx permits request bodies up to 25 MB, while the application accepts diagnostic files only up to 10 MB. The stricter application limit is authoritative for this endpoint.</w:t>
      </w:r>
    </w:p>
    <w:p>
      <w:pPr>
        <w:pStyle w:val="Heading2"/>
      </w:pPr>
      <w:r>
        <w:rPr>
          <w:rFonts w:ascii="Times New Roman" w:hAnsi="Times New Roman" w:eastAsia="Times New Roman"/>
        </w:rPr>
        <w:t>5. FHIR-Inspired Resource Representation</w:t>
      </w:r>
    </w:p>
    <w:p>
      <w:pPr>
        <w:jc w:val="center"/>
      </w:pPr>
      <w:r>
        <w:rPr>
          <w:rFonts w:ascii="Times New Roman" w:hAnsi="Times New Roman" w:eastAsia="Times New Roman"/>
        </w:rPr>
        <w:drawing>
          <wp:inline xmlns:a="http://schemas.openxmlformats.org/drawingml/2006/main" xmlns:pic="http://schemas.openxmlformats.org/drawingml/2006/picture">
            <wp:extent cx="6126480" cy="3883896"/>
            <wp:docPr id="13" name="Picture 4"/>
            <wp:cNvGraphicFramePr>
              <a:graphicFrameLocks noChangeAspect="1"/>
            </wp:cNvGraphicFramePr>
            <a:graphic>
              <a:graphicData uri="http://schemas.openxmlformats.org/drawingml/2006/picture">
                <pic:pic>
                  <pic:nvPicPr>
                    <pic:cNvPr id="13" name="fhir_interoperability_surface.png"/>
                    <pic:cNvPicPr/>
                  </pic:nvPicPr>
                  <pic:blipFill>
                    <a:blip r:embed="rId26"/>
                    <a:stretch>
                      <a:fillRect/>
                    </a:stretch>
                  </pic:blipFill>
                  <pic:spPr>
                    <a:xfrm>
                      <a:off x="0" y="0"/>
                      <a:ext cx="6126480" cy="3883896"/>
                    </a:xfrm>
                    <a:prstGeom prst="rect"/>
                  </pic:spPr>
                </pic:pic>
              </a:graphicData>
            </a:graphic>
          </wp:inline>
        </w:drawing>
      </w:r>
    </w:p>
    <w:p>
      <w:pPr>
        <w:pStyle w:val="AcademicCaption"/>
      </w:pPr>
      <w:r>
        <w:rPr>
          <w:rFonts w:ascii="Times New Roman" w:hAnsi="Times New Roman" w:eastAsia="Times New Roman"/>
        </w:rPr>
        <w:t>Figure 4. Implemented FHIR-inspired interoperability surface.</w:t>
      </w:r>
    </w:p>
    <w:p>
      <w:pPr>
        <w:pStyle w:val="Heading3"/>
      </w:pPr>
      <w:r>
        <w:rPr>
          <w:rFonts w:ascii="Times New Roman" w:hAnsi="Times New Roman" w:eastAsia="Times New Roman"/>
        </w:rPr>
        <w:t>5.1 Capability metadata</w:t>
      </w:r>
    </w:p>
    <w:p>
      <w:r>
        <w:rPr>
          <w:rFonts w:ascii="Times New Roman" w:hAnsi="Times New Roman" w:eastAsia="Times New Roman"/>
        </w:rPr>
        <w:t>GET /fhir/metadata returns a JSON object labeled CapabilityStatement with active status, instance kind, software name and version, and JSON format. This provides lightweight discovery but does not enumerate REST resources, interactions, search parameters, security declarations, implementation guides, or FHIR version. It is not sufficient evidence of a conformant FHIR CapabilityStatement.</w:t>
      </w:r>
    </w:p>
    <w:p>
      <w:pPr>
        <w:pStyle w:val="Heading3"/>
      </w:pPr>
      <w:r>
        <w:rPr>
          <w:rFonts w:ascii="Times New Roman" w:hAnsi="Times New Roman" w:eastAsia="Times New Roman"/>
        </w:rPr>
        <w:t>5.2 Patient resource and search</w:t>
      </w:r>
    </w:p>
    <w:p>
      <w:r>
        <w:rPr>
          <w:rFonts w:ascii="Times New Roman" w:hAnsi="Times New Roman" w:eastAsia="Times New Roman"/>
        </w:rPr>
        <w:t>Patient mapping exposes resourceType, id, identifier, name, gender, and birthDate. Patient search accepts an optional name substring and a maximum _count of 100, returning a searchset-like Bundle. The reported Bundle total equals the number of returned rows rather than the full number of matches because the query does not execute a separate count.</w:t>
      </w:r>
    </w:p>
    <w:p>
      <w:pPr>
        <w:pStyle w:val="Heading3"/>
      </w:pPr>
      <w:r>
        <w:rPr>
          <w:rFonts w:ascii="Times New Roman" w:hAnsi="Times New Roman" w:eastAsia="Times New Roman"/>
        </w:rPr>
        <w:t>5.3 Encounter, Observation and MedicationRequest</w:t>
      </w:r>
    </w:p>
    <w:p>
      <w:r>
        <w:rPr>
          <w:rFonts w:ascii="Times New Roman" w:hAnsi="Times New Roman" w:eastAsia="Times New Roman"/>
        </w:rPr>
        <w:t>Encounter mapping exposes id, status, and a Patient reference. Observation exposes status, subject, code, and either valueQuantity or valueString. MedicationRequest exposes id, status, subject, medication text, and authoredOn.</w:t>
      </w:r>
    </w:p>
    <w:p>
      <w:r>
        <w:rPr>
          <w:rFonts w:ascii="Times New Roman" w:hAnsi="Times New Roman" w:eastAsia="Times New Roman"/>
        </w:rPr>
        <w:t>These representations omit several fields commonly expected in interoperable implementations. Examples include Encounter class and period, Observation category, effective time and encounter reference, and MedicationRequest intent, requester and dosageInstruction. The omissions reinforce the project's own description of the API as FHIR-inspired rather than fully compliant.</w:t>
      </w:r>
    </w:p>
    <w:p>
      <w:pPr>
        <w:pStyle w:val="Heading3"/>
      </w:pPr>
      <w:r>
        <w:rPr>
          <w:rFonts w:ascii="Times New Roman" w:hAnsi="Times New Roman" w:eastAsia="Times New Roman"/>
        </w:rPr>
        <w:t>5.4 Condition resources</w:t>
      </w:r>
    </w:p>
    <w:p>
      <w:r>
        <w:rPr>
          <w:rFonts w:ascii="Times New Roman" w:hAnsi="Times New Roman" w:eastAsia="Times New Roman"/>
        </w:rPr>
        <w:t>Condition mapping is more detailed. It includes clinicalStatus coding, optional verificationStatus, coded condition identity, subject, optional encounter, onset, abatement, and recorded date. Search supports patient, code, clinical status and _count. Unlike the Patient and Observation search implementations, Condition search calculates total before limiting the result set.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Endpoint</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Purpose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Observed limitation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/fhir/metadata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CapabilityStatement-like metadata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Minimal discovery only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/fhir/Patient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Name search Bundle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total reports returned count, not all matches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/fhir/Patient/{id}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 read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Lightweight subset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/fhir/Patient/{id}/$everything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Collection Bundle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Excludes Conditions and DiagnosticReports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/fhir/Encounter/{id}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Encounter read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Limited resource content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/fhir/Observation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Patient/code search Bundle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No full-match count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/fhir/Observation/{id}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Observation read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Limited resource content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/fhir/MedicationRequest/{id}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MedicationRequest read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No search endpoint in supplied FHIR router</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/fhir/Condition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Condition search Bundle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Supports patient, code and clinical status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GET /fhir/Condition/{id}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Condition read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Most detailed FHIR-inspired mapping</w:t>
            </w:r>
          </w:p>
        </w:tc>
      </w:tr>
    </w:tbl>
    <w:p/>
    <w:p>
      <w:pPr>
        <w:pStyle w:val="Heading2"/>
      </w:pPr>
      <w:r>
        <w:rPr>
          <w:rFonts w:ascii="Times New Roman" w:hAnsi="Times New Roman" w:eastAsia="Times New Roman"/>
        </w:rPr>
        <w:t>6. Patient $everything Aggregation</w:t>
      </w:r>
    </w:p>
    <w:p>
      <w:r>
        <w:rPr>
          <w:rFonts w:ascii="Times New Roman" w:hAnsi="Times New Roman" w:eastAsia="Times New Roman"/>
        </w:rPr>
        <w:t>The Patient/$everything endpoint verifies that the patient exists and then assembles one collection Bundle containing the patient, all patient encounters, all patient observations, and all patient prescriptions. Resource entries are appended sequentially, and total equals the number of resources in the collection.</w:t>
      </w:r>
    </w:p>
    <w:p>
      <w:r>
        <w:rPr>
          <w:rFonts w:ascii="Times New Roman" w:hAnsi="Times New Roman" w:eastAsia="Times New Roman"/>
        </w:rPr>
        <w:t>The implementation does not include Condition resources or DiagnosticReport metadata and does not support date filters, pagination, continuation links, or resource-type selection. For large longitudinal records, loading all related rows in one request may also create response-size and query-cost concerns.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Included in current $everything</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Not included in current $everything</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Patient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Condition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Encounter</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DiagnosticReport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Observation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AuditLog</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MedicationRequest derived from Prescription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Binary report objects</w:t>
            </w:r>
          </w:p>
        </w:tc>
      </w:tr>
    </w:tbl>
    <w:p/>
    <w:p>
      <w:pPr>
        <w:pStyle w:val="Heading2"/>
      </w:pPr>
      <w:r>
        <w:rPr>
          <w:rFonts w:ascii="Times New Roman" w:hAnsi="Times New Roman" w:eastAsia="Times New Roman"/>
        </w:rPr>
        <w:t>7. Native REST APIs and Data-Integrity Validation</w:t>
      </w:r>
    </w:p>
    <w:p>
      <w:r>
        <w:rPr>
          <w:rFonts w:ascii="Times New Roman" w:hAnsi="Times New Roman" w:eastAsia="Times New Roman"/>
        </w:rPr>
        <w:t>In addition to the FHIR-inspired read layer, the platform exposes native REST endpoints with Pydantic schemas, pagination, RBAC, audit recording, and domain validation.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Module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Supported operations in supplied source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Key integrity checks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Create, list, read, partial update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MRN and external-identity conflict handling</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Encounters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Create, list, read, partial update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 existence and time-range validation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Observations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Create, list, read, partial update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Patient/encounter ownership and value presence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Prescriptions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Create, list, read, partial update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Patient, encounter, prescriber, dosage and date checks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Diagnostic reports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Upload, metadata read, download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File type, size, patient/encounter and SHA-256 checks</w:t>
            </w:r>
          </w:p>
        </w:tc>
      </w:tr>
    </w:tbl>
    <w:p/>
    <w:p>
      <w:r>
        <w:rPr>
          <w:rFonts w:ascii="Times New Roman" w:hAnsi="Times New Roman" w:eastAsia="Times New Roman"/>
        </w:rPr>
        <w:t>These native endpoints contain stronger validation than the FHIR-inspired read surface. For example, observation creation confirms that an encounter belongs to the specified patient, and prescription creation confirms patient, encounter and active prescriber validity.</w:t>
      </w:r>
    </w:p>
    <w:p>
      <w:pPr>
        <w:pStyle w:val="Heading2"/>
      </w:pPr>
      <w:r>
        <w:rPr>
          <w:rFonts w:ascii="Times New Roman" w:hAnsi="Times New Roman" w:eastAsia="Times New Roman"/>
        </w:rPr>
        <w:t>8. Synthea Data-Ingestion Workflow</w:t>
      </w:r>
    </w:p>
    <w:p>
      <w:pPr>
        <w:jc w:val="center"/>
      </w:pPr>
      <w:r>
        <w:rPr>
          <w:rFonts w:ascii="Times New Roman" w:hAnsi="Times New Roman" w:eastAsia="Times New Roman"/>
        </w:rPr>
        <w:drawing>
          <wp:inline xmlns:a="http://schemas.openxmlformats.org/drawingml/2006/main" xmlns:pic="http://schemas.openxmlformats.org/drawingml/2006/picture">
            <wp:extent cx="6035040" cy="4044201"/>
            <wp:docPr id="14" name="Picture 5"/>
            <wp:cNvGraphicFramePr>
              <a:graphicFrameLocks noChangeAspect="1"/>
            </wp:cNvGraphicFramePr>
            <a:graphic>
              <a:graphicData uri="http://schemas.openxmlformats.org/drawingml/2006/picture">
                <pic:pic>
                  <pic:nvPicPr>
                    <pic:cNvPr id="14" name="synthea_ingestion_pipeline.png"/>
                    <pic:cNvPicPr/>
                  </pic:nvPicPr>
                  <pic:blipFill>
                    <a:blip r:embed="rId27"/>
                    <a:stretch>
                      <a:fillRect/>
                    </a:stretch>
                  </pic:blipFill>
                  <pic:spPr>
                    <a:xfrm>
                      <a:off x="0" y="0"/>
                      <a:ext cx="6035040" cy="4044201"/>
                    </a:xfrm>
                    <a:prstGeom prst="rect"/>
                  </pic:spPr>
                </pic:pic>
              </a:graphicData>
            </a:graphic>
          </wp:inline>
        </w:drawing>
      </w:r>
    </w:p>
    <w:p>
      <w:pPr>
        <w:pStyle w:val="AcademicCaption"/>
      </w:pPr>
      <w:r>
        <w:rPr>
          <w:rFonts w:ascii="Times New Roman" w:hAnsi="Times New Roman" w:eastAsia="Times New Roman"/>
        </w:rPr>
        <w:t>Figure 5. Synthea CSV ingestion workflow.</w:t>
      </w:r>
    </w:p>
    <w:p>
      <w:pPr>
        <w:pStyle w:val="Heading3"/>
      </w:pPr>
      <w:r>
        <w:rPr>
          <w:rFonts w:ascii="Times New Roman" w:hAnsi="Times New Roman" w:eastAsia="Times New Roman"/>
        </w:rPr>
        <w:t>8.1 Pre-flight validation</w:t>
      </w:r>
    </w:p>
    <w:p>
      <w:r>
        <w:rPr>
          <w:rFonts w:ascii="Times New Roman" w:hAnsi="Times New Roman" w:eastAsia="Times New Roman"/>
        </w:rPr>
        <w:t>The check_synthea_files script expects patients.csv, encounters.csv, observations.csv, and medications.csv. It verifies file presence, required headers, and data-row counts before import.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CSV file</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Required source fields shown in the validator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patients.csv</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Id, FIRST, LAST, BIRTHDATE, GENDER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encounters.csv</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Id, PATIENT, START, ENCOUNTERCLASS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observations.csv</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DATE, PATIENT, CODE, DESCRIPTION, VALUE, UNITS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medications.csv</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START, PATIENT, CODE, DESCRIPTION</w:t>
            </w:r>
          </w:p>
        </w:tc>
      </w:tr>
    </w:tbl>
    <w:p/>
    <w:p>
      <w:pPr>
        <w:pStyle w:val="Heading3"/>
      </w:pPr>
      <w:r>
        <w:rPr>
          <w:rFonts w:ascii="Times New Roman" w:hAnsi="Times New Roman" w:eastAsia="Times New Roman"/>
        </w:rPr>
        <w:t>8.2 Import order</w:t>
      </w:r>
    </w:p>
    <w:p>
      <w:r>
        <w:rPr>
          <w:rFonts w:ascii="Times New Roman" w:hAnsi="Times New Roman" w:eastAsia="Times New Roman"/>
        </w:rPr>
        <w:t>The combined pipeline imports patients first, followed by encounters, observations, and medications. This order is necessary because dependent importers resolve patient and encounter external identifiers before creating child records.</w:t>
      </w:r>
    </w:p>
    <w:p>
      <w:pPr>
        <w:pStyle w:val="Heading3"/>
      </w:pPr>
      <w:r>
        <w:rPr>
          <w:rFonts w:ascii="Times New Roman" w:hAnsi="Times New Roman" w:eastAsia="Times New Roman"/>
        </w:rPr>
        <w:t>8.3 Idempotent source identity</w:t>
      </w:r>
    </w:p>
    <w:p>
      <w:r>
        <w:rPr>
          <w:rFonts w:ascii="Times New Roman" w:hAnsi="Times New Roman" w:eastAsia="Times New Roman"/>
        </w:rPr>
        <w:t>Patient and encounter importers use Synthea identifiers directly as external_id with source_system set to synthea. Observation and medication files do not rely on a single source row identifier. Their importers construct deterministic SHA-256-based identifiers from selected source fields. Existing records with the same source identity are updated rather than duplicated.</w:t>
      </w:r>
    </w:p>
    <w:p>
      <w:pPr>
        <w:pStyle w:val="Heading3"/>
      </w:pPr>
      <w:r>
        <w:rPr>
          <w:rFonts w:ascii="Times New Roman" w:hAnsi="Times New Roman" w:eastAsia="Times New Roman"/>
        </w:rPr>
        <w:t>8.4 Transformations and batching</w:t>
      </w:r>
    </w:p>
    <w:p>
      <w:r>
        <w:rPr>
          <w:rFonts w:ascii="Times New Roman" w:hAnsi="Times New Roman" w:eastAsia="Times New Roman"/>
        </w:rPr>
        <w:t>Importers normalize optional strings, parse ISO date/time values, convert timezone-aware values to UTC and remove timezone information before persistence, map Synthea gender values, select default coding systems, derive record status, and separate numeric from textual observation values. Observation and medication importers commit in batches of 1,000 processed rows and report skip reasons.</w:t>
      </w:r>
    </w:p>
    <w:p>
      <w:pPr>
        <w:pStyle w:val="Heading3"/>
      </w:pPr>
      <w:r>
        <w:rPr>
          <w:rFonts w:ascii="Times New Roman" w:hAnsi="Times New Roman" w:eastAsia="Times New Roman"/>
        </w:rPr>
        <w:t>8.5 Conditions ingestion gap</w:t>
      </w:r>
    </w:p>
    <w:p>
      <w:r>
        <w:rPr>
          <w:rFonts w:ascii="Times New Roman" w:hAnsi="Times New Roman" w:eastAsia="Times New Roman"/>
        </w:rPr>
        <w:t>The validated database contains 643,513 Condition rows and the API contains a Condition model and FHIR router. However, the uploaded source does not include a Synthea condition importer or an all-pipeline step for conditions. The chapter therefore cannot attribute those rows to a specific demonstrated ingestion procedure. The missing importer should be documented or added to the evidence set.</w:t>
      </w:r>
    </w:p>
    <w:p>
      <w:pPr>
        <w:pStyle w:val="Heading2"/>
      </w:pPr>
      <w:r>
        <w:rPr>
          <w:rFonts w:ascii="Times New Roman" w:hAnsi="Times New Roman" w:eastAsia="Times New Roman"/>
        </w:rPr>
        <w:t>9. Database Migration Management</w:t>
      </w:r>
    </w:p>
    <w:p>
      <w:r>
        <w:rPr>
          <w:rFonts w:ascii="Times New Roman" w:hAnsi="Times New Roman" w:eastAsia="Times New Roman"/>
        </w:rPr>
        <w:t>Alembic manages schema evolution. The current recorded revision is 685666386ae6, which adds the conditions table and is marked as head. Earlier migrations shown in the source create patients, encounters, observations, prescriptions, and diagnostic reports.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Revision</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Schema contribution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67172335d89c</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Patients table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b734f3f99abc</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Encounters table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5cda57afee5d</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Observations table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dd10de0050e3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Prescriptions table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f3c250badef9</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reports table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685666386ae6</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Conditions table; current head</w:t>
            </w:r>
          </w:p>
        </w:tc>
      </w:tr>
    </w:tbl>
    <w:p/>
    <w:p>
      <w:r>
        <w:rPr>
          <w:rFonts w:ascii="Times New Roman" w:hAnsi="Times New Roman" w:eastAsia="Times New Roman"/>
        </w:rPr>
        <w:t>The supplied encounter downgrade migration attempts to drop indexes that are not all created in the shown upgrade function. This should be reviewed because a downgrade may fail when an index name is absent. Migration downgrade paths require the same level of testing as upgrade paths.</w:t>
      </w:r>
    </w:p>
    <w:p>
      <w:r>
        <w:rPr>
          <w:rFonts w:ascii="Times New Roman" w:hAnsi="Times New Roman" w:eastAsia="Times New Roman"/>
        </w:rPr>
        <w:t>The base_imports module imports Condition after the __all__ declaration and does not include Condition in __all__. Direct module import still executes the final import, but the organization is inconsistent and should be cleaned to avoid migration-discovery confusion.</w:t>
      </w:r>
    </w:p>
    <w:p>
      <w:pPr>
        <w:pStyle w:val="Heading2"/>
      </w:pPr>
      <w:r>
        <w:rPr>
          <w:rFonts w:ascii="Times New Roman" w:hAnsi="Times New Roman" w:eastAsia="Times New Roman"/>
        </w:rPr>
        <w:t>10. Interoperability and Data-Quality Limitations</w:t>
      </w:r>
    </w:p>
    <w:p>
      <w:pPr>
        <w:pStyle w:val="ListBullet"/>
      </w:pPr>
      <w:r>
        <w:rPr>
          <w:rFonts w:ascii="Times New Roman" w:hAnsi="Times New Roman" w:eastAsia="Times New Roman"/>
        </w:rPr>
        <w:t>The resource mappings are intentionally lightweight and do not demonstrate full HL7 FHIR conformance.</w:t>
      </w:r>
    </w:p>
    <w:p>
      <w:pPr>
        <w:pStyle w:val="ListBullet"/>
      </w:pPr>
      <w:r>
        <w:rPr>
          <w:rFonts w:ascii="Times New Roman" w:hAnsi="Times New Roman" w:eastAsia="Times New Roman"/>
        </w:rPr>
        <w:t>No FHIR version is declared in the minimal CapabilityStatement-like response.</w:t>
      </w:r>
    </w:p>
    <w:p>
      <w:pPr>
        <w:pStyle w:val="ListBullet"/>
      </w:pPr>
      <w:r>
        <w:rPr>
          <w:rFonts w:ascii="Times New Roman" w:hAnsi="Times New Roman" w:eastAsia="Times New Roman"/>
        </w:rPr>
        <w:t>FHIR resources do not show profiles, meta.profile, narrative text, OperationOutcome responses, or terminology validation.</w:t>
      </w:r>
    </w:p>
    <w:p>
      <w:pPr>
        <w:pStyle w:val="ListBullet"/>
      </w:pPr>
      <w:r>
        <w:rPr>
          <w:rFonts w:ascii="Times New Roman" w:hAnsi="Times New Roman" w:eastAsia="Times New Roman"/>
        </w:rPr>
        <w:t>Patient and Observation search totals report returned rows rather than all matching rows.</w:t>
      </w:r>
    </w:p>
    <w:p>
      <w:pPr>
        <w:pStyle w:val="ListBullet"/>
      </w:pPr>
      <w:r>
        <w:rPr>
          <w:rFonts w:ascii="Times New Roman" w:hAnsi="Times New Roman" w:eastAsia="Times New Roman"/>
        </w:rPr>
        <w:t>Patient/$everything omits Conditions and DiagnosticReports and has no pagination or date filtering.</w:t>
      </w:r>
    </w:p>
    <w:p>
      <w:pPr>
        <w:pStyle w:val="ListBullet"/>
      </w:pPr>
      <w:r>
        <w:rPr>
          <w:rFonts w:ascii="Times New Roman" w:hAnsi="Times New Roman" w:eastAsia="Times New Roman"/>
        </w:rPr>
        <w:t>Diagnostic reports are available only through the native REST API, not as a FHIR DiagnosticReport resource.</w:t>
      </w:r>
    </w:p>
    <w:p>
      <w:pPr>
        <w:pStyle w:val="ListBullet"/>
      </w:pPr>
      <w:r>
        <w:rPr>
          <w:rFonts w:ascii="Times New Roman" w:hAnsi="Times New Roman" w:eastAsia="Times New Roman"/>
        </w:rPr>
        <w:t>The uploaded source does not demonstrate a Condition ingestion pipeline.</w:t>
      </w:r>
    </w:p>
    <w:p>
      <w:pPr>
        <w:pStyle w:val="ListBullet"/>
      </w:pPr>
      <w:r>
        <w:rPr>
          <w:rFonts w:ascii="Times New Roman" w:hAnsi="Times New Roman" w:eastAsia="Times New Roman"/>
        </w:rPr>
        <w:t>Timestamps are stored in timezone-capable database columns, while importers convert aware values to UTC and then remove tzinfo before persistence. This behavior should be standardized and tested.</w:t>
      </w:r>
    </w:p>
    <w:p>
      <w:pPr>
        <w:pStyle w:val="ListBullet"/>
      </w:pPr>
      <w:r>
        <w:rPr>
          <w:rFonts w:ascii="Times New Roman" w:hAnsi="Times New Roman" w:eastAsia="Times New Roman"/>
        </w:rPr>
        <w:t>Source-system uniqueness depends on both source_system and external_id. Null combinations require careful handling because SQL uniqueness semantics may permit multiple null external identifiers.</w:t>
      </w:r>
    </w:p>
    <w:p>
      <w:pPr>
        <w:pStyle w:val="ListBullet"/>
      </w:pPr>
      <w:r>
        <w:rPr>
          <w:rFonts w:ascii="Times New Roman" w:hAnsi="Times New Roman" w:eastAsia="Times New Roman"/>
        </w:rPr>
        <w:t>Most SQLAlchemy models define foreign keys but do not expose ORM relationship collections for clinical navigation.</w:t>
      </w:r>
    </w:p>
    <w:p>
      <w:pPr>
        <w:pStyle w:val="Heading2"/>
      </w:pPr>
      <w:r>
        <w:rPr>
          <w:rFonts w:ascii="Times New Roman" w:hAnsi="Times New Roman" w:eastAsia="Times New Roman"/>
        </w:rPr>
        <w:t>11. Recommended Improvements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Priority</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Recommended action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Document the exact FHIR release and explicitly state the supported subset.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Expand CapabilityStatement content to list resources, interactions, search parameters, formats and security.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Add Condition and DiagnosticReport to Patient/$everything, with pagination or date bounds.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Provide and validate the missing Condition ingestion workflow.</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Add a FHIR DiagnosticReport representation and a controlled Binary or attachment retrieval strategy.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Correct Bundle total behavior and add pagination links for search endpoints.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Add required or commonly expected fields such as MedicationRequest.intent and Encounter.class/period.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Standardize UTC timezone persistence and round-trip tests.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Test all Alembic downgrade paths and correct inconsistent index operations.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Add terminology validation for LOINC, RxNorm and condition code systems where feasible.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Add ORM relationships for patient-centered navigation while retaining explicit query controls.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Create data-quality reports for skipped imports, duplicate source rows and unresolved encounters.</w:t>
            </w:r>
          </w:p>
        </w:tc>
      </w:tr>
    </w:tbl>
    <w:p/>
    <w:p>
      <w:pPr>
        <w:pStyle w:val="Heading2"/>
      </w:pPr>
      <w:r>
        <w:rPr>
          <w:rFonts w:ascii="Times New Roman" w:hAnsi="Times New Roman" w:eastAsia="Times New Roman"/>
        </w:rPr>
        <w:t>12. Conclusion</w:t>
      </w:r>
    </w:p>
    <w:p>
      <w:r>
        <w:rPr>
          <w:rFonts w:ascii="Times New Roman" w:hAnsi="Times New Roman" w:eastAsia="Times New Roman"/>
        </w:rPr>
        <w:t>The Healthcare Cloud Platform provides a substantial patient-centered data layer with relational integrity, source-aware ingestion, application validation, auditability, and hybrid object storage. The validated database contains 1,541,374 core clinical rows across five major clinical entities.</w:t>
      </w:r>
    </w:p>
    <w:p>
      <w:r>
        <w:rPr>
          <w:rFonts w:ascii="Times New Roman" w:hAnsi="Times New Roman" w:eastAsia="Times New Roman"/>
        </w:rPr>
        <w:t>The Synthea pipeline demonstrates reproducible ingestion for patients, encounters, observations, and medications. Deterministic external identifiers, create-or-update logic, relationship resolution, batch commits, and skip accounting support repeatable imports.</w:t>
      </w:r>
    </w:p>
    <w:p>
      <w:r>
        <w:rPr>
          <w:rFonts w:ascii="Times New Roman" w:hAnsi="Times New Roman" w:eastAsia="Times New Roman"/>
        </w:rPr>
        <w:t>The interoperability layer provides a useful FHIR-inspired read interface but remains a partial mapping. The scientifically accurate claim is that the platform exposes selected FHIR-named resources and Bundle-like responses, not that it is fully FHIR compliant. Addressing CapabilityStatement completeness, missing resource fields, Bundle semantics, $everything coverage, diagnostic-report representation, and the missing condition ingestion evidence would materially strengthen the interoperability contribution.</w:t>
      </w:r>
    </w:p>
    <w:p>
      <w:r>
        <w:rPr>
          <w:rFonts w:ascii="Times New Roman" w:hAnsi="Times New Roman" w:eastAsia="Times New Roman"/>
        </w:rPr>
        <w:br w:type="page"/>
      </w:r>
    </w:p>
    <w:p>
      <w:pPr>
        <w:pStyle w:val="Heading2"/>
      </w:pPr>
      <w:r>
        <w:rPr>
          <w:rFonts w:ascii="Times New Roman" w:hAnsi="Times New Roman" w:eastAsia="Times New Roman"/>
        </w:rPr>
        <w:t>Appendix A. Validated Table Inventory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Table or entity</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Rows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Restore evidence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Patients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117,581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Encounters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121,649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Conditions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643,513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Observations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592,173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Prescriptions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66,458</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5</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Audit logs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40,535</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Users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Roles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difference in supplied restore comparison</w:t>
            </w:r>
          </w:p>
        </w:tc>
      </w:tr>
    </w:tbl>
    <w:p/>
    <w:p>
      <w:pPr>
        <w:pStyle w:val="Heading2"/>
      </w:pPr>
      <w:r>
        <w:rPr>
          <w:rFonts w:ascii="Times New Roman" w:hAnsi="Times New Roman" w:eastAsia="Times New Roman"/>
        </w:rPr>
        <w:t>Appendix B.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Claim area</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Primary source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Clinical models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backend/app/models/patient.py, encounter.py, condition.py, observation.py, prescription.py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Diagnostic-report model</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backend/app/models/diagnostic_report.py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Security entities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backend/app/models/user.py, role.py, audit_log.py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FHIR-inspired API</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backend/app/api/v1/endpoints/fhir.py and fhir_conditions.py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Native clinical APIs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patients.py, encounters.py, observations.py, prescriptions.py, diagnostic_reports.py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Object storage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backend/app/services/storage_service.py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Synthea pre-flight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backend/app/scripts/check_synthea_files.py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Combined import pipeline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backend/app/scripts/import_synthea_all.py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Importers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backend/app/services/ingestion/synthea_*_importer.py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Migration state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Alembic revisions and 685666386ae6 head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Validated scale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docs/tables/backup_restore_validation.csv</w:t>
            </w:r>
          </w:p>
        </w:tc>
      </w:tr>
    </w:tbl>
    <w:p/>
    <w:p>
      <w:pPr>
        <w:pStyle w:val="Heading2"/>
      </w:pPr>
      <w:r>
        <w:rPr>
          <w:rFonts w:ascii="Times New Roman" w:hAnsi="Times New Roman" w:eastAsia="Times New Roman"/>
        </w:rPr>
        <w:t>Appendix C. Key Source-Review Findings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Finding</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Evidence-based interpretation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FHIR compliance wording</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Models and documentation consistently state lightweight FHIR-inspired design without full compliance.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Condition ingestion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Database and API evidence exist, but no importer is included in the supplied source extract.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Patient/$everything</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Includes patient, encounters, observations and prescriptions only.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Bundle total inconsistency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Condition search counts all matches; Patient and Observation searches count only returned rows.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Migration hygiene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Encounter downgrade and base_imports organization require review.</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Hybrid file integrity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Diagnostic-report download recomputes SHA-256 before returning stored bytes.</w:t>
            </w:r>
          </w:p>
        </w:tc>
      </w:tr>
    </w:tbl>
    <w:p/>
    <w:p>
      <w:pPr>
        <w:pStyle w:val="Heading1"/>
        <w:pageBreakBefore w:val="1"/>
        <w:keepNext/>
      </w:pPr>
      <w:r>
        <w:rPr>
          <w:rFonts w:ascii="Times New Roman" w:hAnsi="Times New Roman" w:eastAsia="Times New Roman"/>
        </w:rPr>
        <w:t>Chapter 6. Performance, Scalability and Cost-Efficiency Evaluation</w:t>
      </w:r>
    </w:p>
    <w:p>
      <w:pPr>
        <w:pStyle w:val="Heading2"/>
      </w:pPr>
      <w:r>
        <w:rPr>
          <w:rFonts w:ascii="Times New Roman" w:hAnsi="Times New Roman" w:eastAsia="Times New Roman"/>
        </w:rPr>
        <w:t>Executive Summary</w:t>
      </w:r>
    </w:p>
    <w:p>
      <w:r>
        <w:rPr>
          <w:rFonts w:ascii="Times New Roman" w:hAnsi="Times New Roman" w:eastAsia="Times New Roman"/>
        </w:rPr>
        <w:t>This chapter evaluates the performance and scalability of the Healthcare Cloud Platform using an authenticated Locust workload. Five scenarios were consolidated: 10, 50, 100, an initial 200-user run, and an optimized 200-user run. The workload exercised the health endpoint and representative FHIR read operations for patients, complete patient records, encounters, and conditions. Each simulated user authenticated once and then reused a bearer token.</w:t>
      </w:r>
    </w:p>
    <w:p>
      <w:r>
        <w:rPr>
          <w:rFonts w:ascii="Times New Roman" w:hAnsi="Times New Roman" w:eastAsia="Times New Roman"/>
        </w:rPr>
        <w:t>The platform completed the 10-user, 50-user, 100-user, and optimized 200-user scenarios with zero failed requests. Throughput increased from 7.94 requests/s at 10 users to 146.77 requests/s at 200 optimized users. The initial 200-user test exposed a severe bottleneck: 357 failures, a 23.99% failure rate, a mean latency of 33,132.66 ms, and throughput of only 5.23 requests/s. After remediation, failures fell to zero, mean latency fell to 29.27 ms, and throughput rose by 141.54 requests/s.</w:t>
      </w:r>
    </w:p>
    <w:p>
      <w:pPr/>
      <w:r>
        <w:rPr>
          <w:rFonts w:ascii="Times New Roman" w:hAnsi="Times New Roman" w:eastAsia="Times New Roman"/>
        </w:rPr>
        <w:t>Phase I supports a scalability claim for the measured local Docker environment up to 200 concurrent users. Phase II is a planned resource-constrained validation on the UESTC VM and will repeat the 10-, 50-, 100-, and 200-user scenarios under documented CPU and memory allocations, synchronized monitoring, mixed workloads, and endurance conditions. The local results are therefore an experimental baseline, not the final cross-environment performance conclusion. The final monetary cost-effectiveness result will use the verified VM price and measured remote utilization.</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Scenario</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Requests</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7"/>
              </w:rPr>
              <w:t>Failures</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Mean latency</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P95</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RPS</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10 users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465</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0</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26.72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71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7.94</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50 users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4,557</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0</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19.48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59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38.35</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100 users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13,695</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0</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39.27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130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76.46</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200 users, initial</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1,488</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357</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33,132.66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90,000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5.23</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200 users, optimized</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43,814</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0</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29.27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110 ms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7"/>
              </w:rPr>
              <w:t>146.77</w:t>
            </w:r>
          </w:p>
        </w:tc>
      </w:tr>
    </w:tbl>
    <w:p/>
    <w:p>
      <w:pPr>
        <w:pStyle w:val="Heading2"/>
      </w:pPr>
      <w:r>
        <w:rPr>
          <w:rFonts w:ascii="Times New Roman" w:hAnsi="Times New Roman" w:eastAsia="Times New Roman"/>
        </w:rPr>
        <w:t>1. Evaluation Objectives</w:t>
      </w:r>
    </w:p>
    <w:p>
      <w:r>
        <w:rPr>
          <w:rFonts w:ascii="Times New Roman" w:hAnsi="Times New Roman" w:eastAsia="Times New Roman"/>
        </w:rPr>
        <w:t>The performance evaluation was designed to determine whether the backend could sustain increasing numbers of authenticated concurrent users while maintaining reliability, bounded response time, and increasing useful throughput. The analysis focuses on five questions:</w:t>
      </w:r>
    </w:p>
    <w:p>
      <w:pPr>
        <w:pStyle w:val="ListBullet"/>
      </w:pPr>
      <w:r>
        <w:rPr>
          <w:rFonts w:ascii="Times New Roman" w:hAnsi="Times New Roman" w:eastAsia="Times New Roman"/>
        </w:rPr>
        <w:t>Does throughput increase as the number of concurrent users rises?</w:t>
      </w:r>
    </w:p>
    <w:p>
      <w:pPr>
        <w:pStyle w:val="ListBullet"/>
      </w:pPr>
      <w:r>
        <w:rPr>
          <w:rFonts w:ascii="Times New Roman" w:hAnsi="Times New Roman" w:eastAsia="Times New Roman"/>
        </w:rPr>
        <w:t>Do average and tail latencies remain operationally bounded under successful loads?</w:t>
      </w:r>
    </w:p>
    <w:p>
      <w:pPr>
        <w:pStyle w:val="ListBullet"/>
      </w:pPr>
      <w:r>
        <w:rPr>
          <w:rFonts w:ascii="Times New Roman" w:hAnsi="Times New Roman" w:eastAsia="Times New Roman"/>
        </w:rPr>
        <w:t>At what tested load does the first major bottleneck appear?</w:t>
      </w:r>
    </w:p>
    <w:p>
      <w:pPr>
        <w:pStyle w:val="ListBullet"/>
      </w:pPr>
      <w:r>
        <w:rPr>
          <w:rFonts w:ascii="Times New Roman" w:hAnsi="Times New Roman" w:eastAsia="Times New Roman"/>
        </w:rPr>
        <w:t>Does the optimized configuration remove the measured bottleneck?</w:t>
      </w:r>
    </w:p>
    <w:p>
      <w:pPr>
        <w:pStyle w:val="ListBullet"/>
      </w:pPr>
      <w:r>
        <w:rPr>
          <w:rFonts w:ascii="Times New Roman" w:hAnsi="Times New Roman" w:eastAsia="Times New Roman"/>
        </w:rPr>
        <w:t>What resource and cost-efficiency conclusions are justified by the available evidence?</w:t>
      </w:r>
    </w:p>
    <w:p>
      <w:r>
        <w:rPr>
          <w:rFonts w:ascii="Times New Roman" w:hAnsi="Times New Roman" w:eastAsia="Times New Roman"/>
        </w:rPr>
        <w:t>The principal outcome metric is successful throughput. Raw requests per second can overstate useful capacity when requests fail. For the initial 200-user scenario, reliability-adjusted throughput was 3.98 successful requests/s rather than the raw value of 5.23 requests/s.</w:t>
      </w:r>
    </w:p>
    <w:p>
      <w:pPr>
        <w:pStyle w:val="Heading2"/>
      </w:pPr>
      <w:r>
        <w:rPr>
          <w:rFonts w:ascii="Times New Roman" w:hAnsi="Times New Roman" w:eastAsia="Times New Roman"/>
        </w:rPr>
        <w:t>2. Experimental Workload and Methodology</w:t>
      </w:r>
    </w:p>
    <w:p>
      <w:pPr>
        <w:pStyle w:val="Heading3"/>
      </w:pPr>
      <w:r>
        <w:rPr>
          <w:rFonts w:ascii="Times New Roman" w:hAnsi="Times New Roman" w:eastAsia="Times New Roman"/>
        </w:rPr>
        <w:t>2.1 Load-generation framework</w:t>
      </w:r>
    </w:p>
    <w:p>
      <w:r>
        <w:rPr>
          <w:rFonts w:ascii="Times New Roman" w:hAnsi="Times New Roman" w:eastAsia="Times New Roman"/>
        </w:rPr>
        <w:t>Locust was used to model concurrent authenticated API users. Each virtual user executed the on_start routine once, submitted credentials to the login endpoint, retrieved a JWT access token, and attached the bearer token to subsequent requests. A missing load-test password caused the test user to fail immediately, preventing accidental unauthenticated execution.</w:t>
      </w:r>
    </w:p>
    <w:p>
      <w:r>
        <w:rPr>
          <w:rFonts w:ascii="Times New Roman" w:hAnsi="Times New Roman" w:eastAsia="Times New Roman"/>
        </w:rPr>
        <w:t>The simulated think time was uniformly selected between 0.5 and 2.0 seconds. This introduces a more realistic pause between requests than an unbounded tight loop, although it remains a synthetic workload rather than an observational model of actual hospital staff behavior.</w:t>
      </w:r>
    </w:p>
    <w:p>
      <w:pPr>
        <w:pStyle w:val="Heading3"/>
      </w:pPr>
      <w:r>
        <w:rPr>
          <w:rFonts w:ascii="Times New Roman" w:hAnsi="Times New Roman" w:eastAsia="Times New Roman"/>
        </w:rPr>
        <w:t>2.2 Task composition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cantSplit/>
        </w:trPr>
        <w:tc>
          <w:tcPr>
            <w:tcW w:type="dxa" w:w="367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Request</w:t>
            </w:r>
          </w:p>
        </w:tc>
        <w:tc>
          <w:tcPr>
            <w:tcW w:type="dxa" w:w="108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Weight</w:t>
            </w:r>
          </w:p>
        </w:tc>
        <w:tc>
          <w:tcPr>
            <w:tcW w:type="dxa" w:w="144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Approx. share</w:t>
            </w:r>
          </w:p>
        </w:tc>
        <w:tc>
          <w:tcPr>
            <w:tcW w:type="dxa" w:w="295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Purpose</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/health</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Public service-health check</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/api/v1/fhir/Patient/{id}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4</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28.57%</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patient</w:t>
            </w:r>
          </w:p>
        </w:tc>
      </w:tr>
      <w:tr>
        <w:trPr>
          <w:cantSplit/>
        </w:trPr>
        <w:tc>
          <w:tcPr>
            <w:tcW w:type="dxa" w:w="3672"/>
            <w:vAlign w:val="center"/>
          </w:tcPr>
          <w:p>
            <w:pPr>
              <w:keepLines/>
              <w:jc w:val="left"/>
            </w:pPr>
            <w:r>
              <w:rPr>
                <w:rFonts w:ascii="Times New Roman" w:hAnsi="Times New Roman" w:eastAsia="Times New Roman"/>
                <w:sz w:val="15"/>
              </w:rPr>
              <w:t>GET /api/v1/fhir/Patient/{id}/</w:t>
              <w:br/>
              <w:t>$everything</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aggregated patient record</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/api/v1/fhir/Encounter/{id}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14.29%</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encounter</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/api/v1/fhir/Condition/{id}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condition</w:t>
            </w:r>
          </w:p>
        </w:tc>
      </w:tr>
      <w:tr>
        <w:trPr>
          <w:cantSplit/>
        </w:trPr>
        <w:tc>
          <w:tcPr>
            <w:tcW w:type="dxa" w:w="3672"/>
            <w:vAlign w:val="center"/>
          </w:tcPr>
          <w:p>
            <w:pPr>
              <w:keepLines/>
              <w:jc w:val="left"/>
            </w:pPr>
            <w:r>
              <w:rPr>
                <w:rFonts w:ascii="Times New Roman" w:hAnsi="Times New Roman" w:eastAsia="Times New Roman"/>
                <w:sz w:val="15"/>
              </w:rPr>
              <w:t>GET /api/v1/fhir/Condition</w:t>
              <w:br/>
              <w:t>?patient={id}&amp;_count=20</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Search patient conditions</w:t>
            </w:r>
          </w:p>
        </w:tc>
      </w:tr>
    </w:tbl>
    <w:p/>
    <w:p>
      <w:r>
        <w:rPr>
          <w:rFonts w:ascii="Times New Roman" w:hAnsi="Times New Roman" w:eastAsia="Times New Roman"/>
        </w:rPr>
        <w:t>The task weights total 14. Patient retrieval is the most frequent operation, while condition retrieval and condition search jointly represent 42.86% of task selections. The workload is therefore read-dominant and FHIR-oriented. It does not measure the same behavior as a write-heavy clinical transaction workload involving report uploads, prescription creation, or concurrent database updates.</w:t>
      </w:r>
    </w:p>
    <w:p>
      <w:pPr>
        <w:pStyle w:val="Heading3"/>
      </w:pPr>
      <w:r>
        <w:rPr>
          <w:rFonts w:ascii="Times New Roman" w:hAnsi="Times New Roman" w:eastAsia="Times New Roman"/>
        </w:rPr>
        <w:t>2.3 Consolidation procedure</w:t>
      </w:r>
    </w:p>
    <w:p>
      <w:r>
        <w:rPr>
          <w:rFonts w:ascii="Times New Roman" w:hAnsi="Times New Roman" w:eastAsia="Times New Roman"/>
        </w:rPr>
        <w:t>The consolidation script reads Locust CSV files, identifies the aggregated result row, normalizes column names, and extracts request count, failure count, average latency, median latency, P95, P99, and requests per second. The failure rate is calculated as failed requests divided by total requests. The initial and optimized 200-user runs are intentionally retained as separate scenarios so that the original bottleneck and its remediation remain auditable.</w:t>
      </w:r>
    </w:p>
    <w:p>
      <w:pPr>
        <w:pStyle w:val="Heading2"/>
      </w:pPr>
      <w:r>
        <w:rPr>
          <w:rFonts w:ascii="Times New Roman" w:hAnsi="Times New Roman" w:eastAsia="Times New Roman"/>
        </w:rPr>
        <w:t>3. Consolidated Performance Results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rPr>
          <w:tblHeader w:val="true"/>
          <w:cantSplit/>
        </w:trPr>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Scenario</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Users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Requests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Failures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Failure rate</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Avg ms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Median ms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P95 ms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P99 ms</w:t>
            </w:r>
          </w:p>
        </w:tc>
        <w:tc>
          <w:tcPr>
            <w:tcW w:type="dxa" w:w="952"/>
            <w:vAlign w:val="center"/>
            <w:shd w:fill="D9E1F2"/>
          </w:tcPr>
          <w:p>
            <w:pPr>
              <w:jc w:val="left"/>
            </w:pPr>
            <w:r>
              <w:rPr>
                <w:rFonts w:ascii="Times New Roman" w:hAnsi="Times New Roman" w:eastAsia="Times New Roman"/>
                <w:sz w:val="17"/>
              </w:rPr>
            </w:r>
            <w:r>
              <w:rPr>
                <w:rFonts w:ascii="Times New Roman" w:hAnsi="Times New Roman" w:eastAsia="Times New Roman"/>
                <w:b/>
                <w:sz w:val="15"/>
              </w:rPr>
              <w:t>RPS</w:t>
            </w:r>
          </w:p>
        </w:tc>
      </w:tr>
      <w:tr>
        <w:trPr>
          <w:cantSplit/>
        </w:trPr>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10 users</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465</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26.72</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16.00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71.00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290.00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7.94</w:t>
            </w:r>
          </w:p>
        </w:tc>
      </w:tr>
      <w:tr>
        <w:trPr>
          <w:cantSplit/>
        </w:trPr>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50 users</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50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4557</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19.48</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59.00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230.00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38.35</w:t>
            </w:r>
          </w:p>
        </w:tc>
      </w:tr>
      <w:tr>
        <w:trPr>
          <w:cantSplit/>
        </w:trPr>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100 users</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13695</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39.27</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15.00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130.00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450.00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76.46</w:t>
            </w:r>
          </w:p>
        </w:tc>
      </w:tr>
      <w:tr>
        <w:trPr>
          <w:cantSplit/>
        </w:trPr>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200 users initial</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1488</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357</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23.99%</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33,132.66</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29,000.00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90,000.00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91,000.00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5.23</w:t>
            </w:r>
          </w:p>
        </w:tc>
      </w:tr>
      <w:tr>
        <w:trPr>
          <w:cantSplit/>
        </w:trPr>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200 users optimized</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43814</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29.27</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13.00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110.00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240.00</w:t>
            </w:r>
          </w:p>
        </w:tc>
        <w:tc>
          <w:tcPr>
            <w:tcW w:type="dxa" w:w="952"/>
            <w:vAlign w:val="center"/>
          </w:tcPr>
          <w:p>
            <w:pPr>
              <w:jc w:val="left"/>
            </w:pPr>
            <w:r>
              <w:rPr>
                <w:rFonts w:ascii="Times New Roman" w:hAnsi="Times New Roman" w:eastAsia="Times New Roman"/>
                <w:sz w:val="17"/>
              </w:rPr>
            </w:r>
            <w:r>
              <w:rPr>
                <w:rFonts w:ascii="Times New Roman" w:hAnsi="Times New Roman" w:eastAsia="Times New Roman"/>
                <w:b w:val="0"/>
                <w:sz w:val="15"/>
              </w:rPr>
              <w:t>146.77</w:t>
            </w:r>
          </w:p>
        </w:tc>
      </w:tr>
    </w:tbl>
    <w:p/>
    <w:p>
      <w:r>
        <w:rPr>
          <w:rFonts w:ascii="Times New Roman" w:hAnsi="Times New Roman" w:eastAsia="Times New Roman"/>
        </w:rPr>
        <w:t>Four scenarios completed without failures. The optimized 200-user run is the strongest validated result, combining the highest tested concurrency with the highest throughput and zero failures. The initial 200-user run is qualitatively different from the other scenarios because latency rose from tens of milliseconds to tens of seconds and failures became substantial.</w:t>
      </w:r>
    </w:p>
    <w:p>
      <w:pPr>
        <w:pStyle w:val="Heading2"/>
      </w:pPr>
      <w:r>
        <w:rPr>
          <w:rFonts w:ascii="Times New Roman" w:hAnsi="Times New Roman" w:eastAsia="Times New Roman"/>
        </w:rPr>
        <w:t>4. Scaling Behavior at 10, 50, and 100 Users</w:t>
      </w:r>
    </w:p>
    <w:p>
      <w:pPr>
        <w:pStyle w:val="Heading3"/>
      </w:pPr>
      <w:r>
        <w:rPr>
          <w:rFonts w:ascii="Times New Roman" w:hAnsi="Times New Roman" w:eastAsia="Times New Roman"/>
        </w:rPr>
        <w:t>4.1 Ten concurrent users</w:t>
      </w:r>
    </w:p>
    <w:p>
      <w:r>
        <w:rPr>
          <w:rFonts w:ascii="Times New Roman" w:hAnsi="Times New Roman" w:eastAsia="Times New Roman"/>
        </w:rPr>
        <w:t>At 10 concurrent users, the platform processed 465 requests with no failures. Mean response time was 26.72 ms, median response time was 16 ms, P95 was 71 ms, P99 was 290 ms, and throughput was 7.94 requests/s. This scenario establishes the low-load baseline.</w:t>
      </w:r>
    </w:p>
    <w:p>
      <w:pPr>
        <w:pStyle w:val="Heading3"/>
      </w:pPr>
      <w:r>
        <w:rPr>
          <w:rFonts w:ascii="Times New Roman" w:hAnsi="Times New Roman" w:eastAsia="Times New Roman"/>
        </w:rPr>
        <w:t>4.2 Fifty concurrent users</w:t>
      </w:r>
    </w:p>
    <w:p>
      <w:r>
        <w:rPr>
          <w:rFonts w:ascii="Times New Roman" w:hAnsi="Times New Roman" w:eastAsia="Times New Roman"/>
        </w:rPr>
        <w:t>At 50 concurrent users, the platform processed 4,557 requests with no failures. Throughput rose to 38.35 requests/s. Mean latency decreased to 19.48 ms and P95 decreased to 59 ms. The lower measured latency relative to the 10-user run does not prove that additional concurrency inherently improves latency. It may reflect run-to-run variation, warm caches, connection reuse, or measurement timing.</w:t>
      </w:r>
    </w:p>
    <w:p>
      <w:pPr>
        <w:pStyle w:val="Heading3"/>
      </w:pPr>
      <w:r>
        <w:rPr>
          <w:rFonts w:ascii="Times New Roman" w:hAnsi="Times New Roman" w:eastAsia="Times New Roman"/>
        </w:rPr>
        <w:t>4.3 One hundred concurrent users</w:t>
      </w:r>
    </w:p>
    <w:p>
      <w:r>
        <w:rPr>
          <w:rFonts w:ascii="Times New Roman" w:hAnsi="Times New Roman" w:eastAsia="Times New Roman"/>
        </w:rPr>
        <w:t>At 100 concurrent users, 13,695 requests completed with no failures. Throughput reached 76.46 requests/s. Mean response time was 39.27 ms, P95 was 130 ms, and P99 was 450 ms. Compared with the 50-user scenario, throughput approximately doubled while tail latency increased but remained below half a second at P99.</w:t>
      </w:r>
    </w:p>
    <w:p>
      <w:pPr>
        <w:jc w:val="center"/>
      </w:pPr>
      <w:r>
        <w:rPr>
          <w:rFonts w:ascii="Times New Roman" w:hAnsi="Times New Roman" w:eastAsia="Times New Roman"/>
        </w:rPr>
        <w:drawing>
          <wp:inline xmlns:a="http://schemas.openxmlformats.org/drawingml/2006/main" xmlns:pic="http://schemas.openxmlformats.org/drawingml/2006/picture">
            <wp:extent cx="6035040" cy="3692024"/>
            <wp:docPr id="15" name="Picture 1"/>
            <wp:cNvGraphicFramePr>
              <a:graphicFrameLocks noChangeAspect="1"/>
            </wp:cNvGraphicFramePr>
            <a:graphic>
              <a:graphicData uri="http://schemas.openxmlformats.org/drawingml/2006/picture">
                <pic:pic>
                  <pic:nvPicPr>
                    <pic:cNvPr id="15" name="throughput_scaling.png"/>
                    <pic:cNvPicPr/>
                  </pic:nvPicPr>
                  <pic:blipFill>
                    <a:blip r:embed="rId28"/>
                    <a:stretch>
                      <a:fillRect/>
                    </a:stretch>
                  </pic:blipFill>
                  <pic:spPr>
                    <a:xfrm>
                      <a:off x="0" y="0"/>
                      <a:ext cx="6035040" cy="3692024"/>
                    </a:xfrm>
                    <a:prstGeom prst="rect"/>
                  </pic:spPr>
                </pic:pic>
              </a:graphicData>
            </a:graphic>
          </wp:inline>
        </w:drawing>
      </w:r>
    </w:p>
    <w:p>
      <w:pPr>
        <w:pStyle w:val="AcademicCaption"/>
      </w:pPr>
      <w:r>
        <w:rPr>
          <w:rFonts w:ascii="Times New Roman" w:hAnsi="Times New Roman" w:eastAsia="Times New Roman"/>
        </w:rPr>
        <w:t>Figure 1. Throughput scaling for all zero-failure scenarios.</w:t>
      </w:r>
    </w:p>
    <w:p>
      <w:pPr>
        <w:jc w:val="center"/>
      </w:pPr>
      <w:r>
        <w:rPr>
          <w:rFonts w:ascii="Times New Roman" w:hAnsi="Times New Roman" w:eastAsia="Times New Roman"/>
        </w:rPr>
        <w:drawing>
          <wp:inline xmlns:a="http://schemas.openxmlformats.org/drawingml/2006/main" xmlns:pic="http://schemas.openxmlformats.org/drawingml/2006/picture">
            <wp:extent cx="6035040" cy="3692024"/>
            <wp:docPr id="16" name="Picture 2"/>
            <wp:cNvGraphicFramePr>
              <a:graphicFrameLocks noChangeAspect="1"/>
            </wp:cNvGraphicFramePr>
            <a:graphic>
              <a:graphicData uri="http://schemas.openxmlformats.org/drawingml/2006/picture">
                <pic:pic>
                  <pic:nvPicPr>
                    <pic:cNvPr id="16" name="latency_scaling.png"/>
                    <pic:cNvPicPr/>
                  </pic:nvPicPr>
                  <pic:blipFill>
                    <a:blip r:embed="rId29"/>
                    <a:stretch>
                      <a:fillRect/>
                    </a:stretch>
                  </pic:blipFill>
                  <pic:spPr>
                    <a:xfrm>
                      <a:off x="0" y="0"/>
                      <a:ext cx="6035040" cy="3692024"/>
                    </a:xfrm>
                    <a:prstGeom prst="rect"/>
                  </pic:spPr>
                </pic:pic>
              </a:graphicData>
            </a:graphic>
          </wp:inline>
        </w:drawing>
      </w:r>
    </w:p>
    <w:p>
      <w:pPr>
        <w:pStyle w:val="AcademicCaption"/>
      </w:pPr>
      <w:r>
        <w:rPr>
          <w:rFonts w:ascii="Times New Roman" w:hAnsi="Times New Roman" w:eastAsia="Times New Roman"/>
        </w:rPr>
        <w:t>Figure 2. Average, P95, and P99 latency scaling for zero-failure scenarios.</w:t>
      </w:r>
    </w:p>
    <w:p>
      <w:pPr>
        <w:pStyle w:val="Heading2"/>
      </w:pPr>
      <w:r>
        <w:rPr>
          <w:rFonts w:ascii="Times New Roman" w:hAnsi="Times New Roman" w:eastAsia="Times New Roman"/>
        </w:rPr>
        <w:t>5. Initial 200-User Bottleneck</w:t>
      </w:r>
    </w:p>
    <w:p>
      <w:r>
        <w:rPr>
          <w:rFonts w:ascii="Times New Roman" w:hAnsi="Times New Roman" w:eastAsia="Times New Roman"/>
        </w:rPr>
        <w:t>The first 200-user test exposed a severe loss of capacity. Only 1,488 requests were recorded, 357 failed, and the failure rate reached 23.99%. Mean response time increased to 33,132.66 ms, the median reached 29,000 ms, P95 reached 90,000 ms, and P99 reached 91,000 ms. Raw throughput fell to 5.23 requests/s, below even the 10-user result.</w:t>
      </w:r>
    </w:p>
    <w:p>
      <w:r>
        <w:rPr>
          <w:rFonts w:ascii="Times New Roman" w:hAnsi="Times New Roman" w:eastAsia="Times New Roman"/>
        </w:rPr>
        <w:t>The project evidence identifies this result as an original connection-pool bottleneck. The supplied extract does not document the exact parameter changes used during remediation. Therefore, the chapter treats the bottleneck classification and the before-and-after outcome as supported, but does not attribute the improvement to an undocumented pool size, overflow setting, worker count, or timeout value.</w:t>
      </w:r>
    </w:p>
    <w:p>
      <w:r>
        <w:rPr>
          <w:rFonts w:ascii="Times New Roman" w:hAnsi="Times New Roman" w:eastAsia="Times New Roman"/>
        </w:rPr>
        <w:t>Reliability-adjusted throughput was 3.98 successful requests/s. This value is more informative than the raw 5.23 requests/s because nearly one quarter of requests failed. The latency-adjusted efficiency metric calculated by the project script was only 0.1165, confirming that the run produced little useful work relative to its latency.</w:t>
      </w:r>
    </w:p>
    <w:p>
      <w:pPr>
        <w:jc w:val="center"/>
      </w:pPr>
      <w:r>
        <w:rPr>
          <w:rFonts w:ascii="Times New Roman" w:hAnsi="Times New Roman" w:eastAsia="Times New Roman"/>
        </w:rPr>
        <w:drawing>
          <wp:inline xmlns:a="http://schemas.openxmlformats.org/drawingml/2006/main" xmlns:pic="http://schemas.openxmlformats.org/drawingml/2006/picture">
            <wp:extent cx="5669280" cy="3779520"/>
            <wp:docPr id="17" name="Picture 3"/>
            <wp:cNvGraphicFramePr>
              <a:graphicFrameLocks noChangeAspect="1"/>
            </wp:cNvGraphicFramePr>
            <a:graphic>
              <a:graphicData uri="http://schemas.openxmlformats.org/drawingml/2006/picture">
                <pic:pic>
                  <pic:nvPicPr>
                    <pic:cNvPr id="17" name="failure_elimination.png"/>
                    <pic:cNvPicPr/>
                  </pic:nvPicPr>
                  <pic:blipFill>
                    <a:blip r:embed="rId30"/>
                    <a:stretch>
                      <a:fillRect/>
                    </a:stretch>
                  </pic:blipFill>
                  <pic:spPr>
                    <a:xfrm>
                      <a:off x="0" y="0"/>
                      <a:ext cx="5669280" cy="3779520"/>
                    </a:xfrm>
                    <a:prstGeom prst="rect"/>
                  </pic:spPr>
                </pic:pic>
              </a:graphicData>
            </a:graphic>
          </wp:inline>
        </w:drawing>
      </w:r>
    </w:p>
    <w:p>
      <w:pPr>
        <w:pStyle w:val="AcademicCaption"/>
      </w:pPr>
      <w:r>
        <w:rPr>
          <w:rFonts w:ascii="Times New Roman" w:hAnsi="Times New Roman" w:eastAsia="Times New Roman"/>
        </w:rPr>
        <w:t>Figure 3. Failed requests before and after remediation at 200 concurrent users.</w:t>
      </w:r>
    </w:p>
    <w:p>
      <w:pPr>
        <w:pStyle w:val="Heading2"/>
      </w:pPr>
      <w:r>
        <w:rPr>
          <w:rFonts w:ascii="Times New Roman" w:hAnsi="Times New Roman" w:eastAsia="Times New Roman"/>
        </w:rPr>
        <w:t>6. Optimized 200-User Outcome</w:t>
      </w:r>
    </w:p>
    <w:p>
      <w:r>
        <w:rPr>
          <w:rFonts w:ascii="Times New Roman" w:hAnsi="Times New Roman" w:eastAsia="Times New Roman"/>
        </w:rPr>
        <w:t>The optimized 200-user test processed 43,814 requests without a single failure. Throughput reached 146.77 requests/s, mean response time was 29.27 ms, median response time was 13 ms, P95 was 110 ms, and P99 was 240 ms. This result surpassed the lower-load scenarios while retaining zero failures.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Metric</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Initial</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Optimized</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Change</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Failed requests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357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-357</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Failure rate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23.99%</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0.00%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-23.99 percentage points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Throughput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5.23 RPS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146.77 RPS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+141.54 RPS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Mean latency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33,132.66 ms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29.27 ms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99.91% improvement</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P95 latency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90,000 ms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110 ms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99.88% improvement</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P99 latency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91,000 ms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240 ms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99.74% improvement</w:t>
            </w:r>
          </w:p>
        </w:tc>
      </w:tr>
    </w:tbl>
    <w:p/>
    <w:p>
      <w:r>
        <w:rPr>
          <w:rFonts w:ascii="Times New Roman" w:hAnsi="Times New Roman" w:eastAsia="Times New Roman"/>
        </w:rPr>
        <w:t>Relative raw-throughput growth was 2706.31%. The resource-analysis script reports a 3,587.69% change for reliability-adjusted throughput because its denominator is successful throughput rather than raw throughput. Both calculations are valid for their stated definitions, but they must not be presented as the same metric.</w:t>
      </w:r>
    </w:p>
    <w:p>
      <w:pPr>
        <w:jc w:val="center"/>
      </w:pPr>
      <w:r>
        <w:rPr>
          <w:rFonts w:ascii="Times New Roman" w:hAnsi="Times New Roman" w:eastAsia="Times New Roman"/>
        </w:rPr>
        <w:drawing>
          <wp:inline xmlns:a="http://schemas.openxmlformats.org/drawingml/2006/main" xmlns:pic="http://schemas.openxmlformats.org/drawingml/2006/picture">
            <wp:extent cx="5669280" cy="3779520"/>
            <wp:docPr id="18" name="Picture 4"/>
            <wp:cNvGraphicFramePr>
              <a:graphicFrameLocks noChangeAspect="1"/>
            </wp:cNvGraphicFramePr>
            <a:graphic>
              <a:graphicData uri="http://schemas.openxmlformats.org/drawingml/2006/picture">
                <pic:pic>
                  <pic:nvPicPr>
                    <pic:cNvPr id="18" name="mean_latency_200_comparison.png"/>
                    <pic:cNvPicPr/>
                  </pic:nvPicPr>
                  <pic:blipFill>
                    <a:blip r:embed="rId31"/>
                    <a:stretch>
                      <a:fillRect/>
                    </a:stretch>
                  </pic:blipFill>
                  <pic:spPr>
                    <a:xfrm>
                      <a:off x="0" y="0"/>
                      <a:ext cx="5669280" cy="3779520"/>
                    </a:xfrm>
                    <a:prstGeom prst="rect"/>
                  </pic:spPr>
                </pic:pic>
              </a:graphicData>
            </a:graphic>
          </wp:inline>
        </w:drawing>
      </w:r>
    </w:p>
    <w:p>
      <w:pPr>
        <w:pStyle w:val="AcademicCaption"/>
      </w:pPr>
      <w:r>
        <w:rPr>
          <w:rFonts w:ascii="Times New Roman" w:hAnsi="Times New Roman" w:eastAsia="Times New Roman"/>
        </w:rPr>
        <w:t>Figure 4. Mean response time before and after remediation. A logarithmic axis is used because the values differ by more than three orders of magnitude.</w:t>
      </w:r>
    </w:p>
    <w:p>
      <w:pPr>
        <w:pStyle w:val="Heading2"/>
      </w:pPr>
      <w:r>
        <w:rPr>
          <w:rFonts w:ascii="Times New Roman" w:hAnsi="Times New Roman" w:eastAsia="Times New Roman"/>
        </w:rPr>
        <w:t>7. Throughput, Latency, and Reliability Analysis</w:t>
      </w:r>
    </w:p>
    <w:p>
      <w:pPr>
        <w:pStyle w:val="Heading3"/>
      </w:pPr>
      <w:r>
        <w:rPr>
          <w:rFonts w:ascii="Times New Roman" w:hAnsi="Times New Roman" w:eastAsia="Times New Roman"/>
        </w:rPr>
        <w:t>7.1 Throughput scaling</w:t>
      </w:r>
    </w:p>
    <w:p>
      <w:r>
        <w:rPr>
          <w:rFonts w:ascii="Times New Roman" w:hAnsi="Times New Roman" w:eastAsia="Times New Roman"/>
        </w:rPr>
        <w:t>Across successful scenarios, throughput rose from 7.94 to 38.35, 76.46, and 146.77 requests/s as concurrency increased from 10 to 50, 100, and 200 users. The relationship is broadly proportional over the tested range, although strict linear scalability cannot be claimed without repeated runs, confidence intervals, and a controlled comparison of identical test durations.</w:t>
      </w:r>
    </w:p>
    <w:p>
      <w:pPr>
        <w:pStyle w:val="Heading3"/>
      </w:pPr>
      <w:r>
        <w:rPr>
          <w:rFonts w:ascii="Times New Roman" w:hAnsi="Times New Roman" w:eastAsia="Times New Roman"/>
        </w:rPr>
        <w:t>7.2 Latency behavior</w:t>
      </w:r>
    </w:p>
    <w:p>
      <w:r>
        <w:rPr>
          <w:rFonts w:ascii="Times New Roman" w:hAnsi="Times New Roman" w:eastAsia="Times New Roman"/>
        </w:rPr>
        <w:t>Mean latency remained between 19.48 and 39.27 ms for all zero-failure scenarios. P95 remained between 59 and 130 ms, while P99 ranged from 230 to 450 ms. The optimized 200-user run produced a lower P99 than the 100-user run. This is a measured result, but it should not be interpreted as a deterministic law of the system because the evidence contains one consolidated result per scenario rather than a distribution across repeated independent experiments.</w:t>
      </w:r>
    </w:p>
    <w:p>
      <w:pPr>
        <w:pStyle w:val="Heading3"/>
      </w:pPr>
      <w:r>
        <w:rPr>
          <w:rFonts w:ascii="Times New Roman" w:hAnsi="Times New Roman" w:eastAsia="Times New Roman"/>
        </w:rPr>
        <w:t>7.3 Reliability</w:t>
      </w:r>
    </w:p>
    <w:p>
      <w:r>
        <w:rPr>
          <w:rFonts w:ascii="Times New Roman" w:hAnsi="Times New Roman" w:eastAsia="Times New Roman"/>
        </w:rPr>
        <w:t>Reliability was binary across the consolidated scenarios: zero failures at 10, 50, 100, and optimized 200 users, contrasted with 357 failures during the initial 200-user run. This clear discontinuity supports the conclusion that the original problem was configuration- or capacity-related rather than a gradual degradation visible at lower loads.</w:t>
      </w:r>
    </w:p>
    <w:p>
      <w:pPr>
        <w:pStyle w:val="Heading2"/>
      </w:pPr>
      <w:r>
        <w:rPr>
          <w:rFonts w:ascii="Times New Roman" w:hAnsi="Times New Roman" w:eastAsia="Times New Roman"/>
        </w:rPr>
        <w:t>8. Resource-Efficiency Observations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Scenario</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Successful RPS</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CPU snapshot %</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6"/>
              </w:rPr>
              <w:t>Memory snapshot MiB</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RPS/CPU%</w:t>
            </w:r>
          </w:p>
        </w:tc>
        <w:tc>
          <w:tcPr>
            <w:tcW w:type="dxa" w:w="1586"/>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RPS/GiB</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10 users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7.94</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50 users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38.35</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36.66</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82.59</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1.0461</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475.49</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100 users</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76.46</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288.31</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87.42</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0.2652</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895.62</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200 users initial</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3.98</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N/A</w:t>
            </w:r>
          </w:p>
        </w:tc>
      </w:tr>
      <w:tr>
        <w:trPr>
          <w:cantSplit/>
        </w:trPr>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200 users optimized</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146.77</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0.35</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102.10</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419.3429</w:t>
            </w:r>
          </w:p>
        </w:tc>
        <w:tc>
          <w:tcPr>
            <w:tcW w:type="dxa" w:w="1586"/>
            <w:vAlign w:val="center"/>
          </w:tcPr>
          <w:p>
            <w:pPr>
              <w:jc w:val="left"/>
            </w:pPr>
            <w:r>
              <w:rPr>
                <w:rFonts w:ascii="Times New Roman" w:hAnsi="Times New Roman" w:eastAsia="Times New Roman"/>
                <w:sz w:val="17"/>
              </w:rPr>
            </w:r>
            <w:r>
              <w:rPr>
                <w:rFonts w:ascii="Times New Roman" w:hAnsi="Times New Roman" w:eastAsia="Times New Roman"/>
                <w:b w:val="0"/>
                <w:sz w:val="16"/>
              </w:rPr>
              <w:t>1472.01</w:t>
            </w:r>
          </w:p>
        </w:tc>
      </w:tr>
    </w:tbl>
    <w:p/>
    <w:p>
      <w:r>
        <w:rPr>
          <w:rFonts w:ascii="Times New Roman" w:hAnsi="Times New Roman" w:eastAsia="Times New Roman"/>
        </w:rPr>
        <w:t>Resource snapshots were available for the 50-user, 100-user, and optimized 200-user scenarios. Memory rose modestly from 82.59 MiB to 87.42 MiB and 102.10 MiB. These values suggest that backend memory consumption remained comparatively small in the recorded snapshots.</w:t>
      </w:r>
    </w:p>
    <w:p>
      <w:r>
        <w:rPr>
          <w:rFonts w:ascii="Times New Roman" w:hAnsi="Times New Roman" w:eastAsia="Times New Roman"/>
        </w:rPr>
        <w:t>The CPU values are not suitable for direct efficiency ranking. The 100-user snapshot reports 288.31%, while the optimized 200-user snapshot reports 0.35%. Docker CPU percentages can exceed 100% on multicore hosts, but the 0.35% value at 146.77 requests/s strongly indicates that the snapshot was not synchronized with a representative steady-state interval. Consequently, the derived value of 419.3429 successful RPS per CPU percentage point must not be used as a headline efficiency claim.</w:t>
      </w:r>
    </w:p>
    <w:p>
      <w:pPr>
        <w:keepNext w:val="0"/>
        <w:jc w:val="center"/>
      </w:pPr>
      <w:r>
        <w:rPr>
          <w:rFonts w:ascii="Times New Roman" w:hAnsi="Times New Roman" w:eastAsia="Times New Roman"/>
        </w:rPr>
        <w:drawing>
          <wp:inline xmlns:a="http://schemas.openxmlformats.org/drawingml/2006/main" xmlns:pic="http://schemas.openxmlformats.org/drawingml/2006/picture">
            <wp:extent cx="4343400" cy="2714625"/>
            <wp:docPr id="19" name="Picture 5"/>
            <wp:cNvGraphicFramePr>
              <a:graphicFrameLocks noChangeAspect="1"/>
            </wp:cNvGraphicFramePr>
            <a:graphic>
              <a:graphicData uri="http://schemas.openxmlformats.org/drawingml/2006/picture">
                <pic:pic>
                  <pic:nvPicPr>
                    <pic:cNvPr id="19" name="memory_snapshots.png"/>
                    <pic:cNvPicPr/>
                  </pic:nvPicPr>
                  <pic:blipFill>
                    <a:blip r:embed="rId32"/>
                    <a:stretch>
                      <a:fillRect/>
                    </a:stretch>
                  </pic:blipFill>
                  <pic:spPr>
                    <a:xfrm>
                      <a:off x="0" y="0"/>
                      <a:ext cx="4343400" cy="2714625"/>
                    </a:xfrm>
                    <a:prstGeom prst="rect"/>
                  </pic:spPr>
                </pic:pic>
              </a:graphicData>
            </a:graphic>
          </wp:inline>
        </w:drawing>
      </w:r>
    </w:p>
    <w:p>
      <w:pPr>
        <w:pStyle w:val="AcademicCaption"/>
        <w:keepLines/>
      </w:pPr>
      <w:r>
        <w:rPr>
          <w:rFonts w:ascii="Times New Roman" w:hAnsi="Times New Roman" w:eastAsia="Times New Roman"/>
        </w:rPr>
        <w:t>Figure 5. Available backend memory snapshots. The measurements are point-in-time observations, not time-averaged resource profiles.</w:t>
      </w:r>
    </w:p>
    <w:p>
      <w:pPr>
        <w:pStyle w:val="Heading2"/>
      </w:pPr>
      <w:r>
        <w:rPr>
          <w:rFonts w:ascii="Times New Roman" w:hAnsi="Times New Roman" w:eastAsia="Times New Roman"/>
        </w:rPr>
        <w:t>9. Cost-Efficiency Methodology</w:t>
      </w:r>
    </w:p>
    <w:p>
      <w:r>
        <w:rPr>
          <w:rFonts w:ascii="Times New Roman" w:hAnsi="Times New Roman" w:eastAsia="Times New Roman"/>
        </w:rPr>
        <w:t>The project analysis defines monetary cost-effectiveness as monthly total cost divided by estimated millions of successful requests. The intended formula is:</w:t>
      </w:r>
    </w:p>
    <w:p>
      <w:pPr>
        <w:jc w:val="center"/>
      </w:pPr>
      <w:r>
        <w:rPr>
          <w:rFonts w:ascii="Times New Roman" w:hAnsi="Times New Roman" w:eastAsia="Times New Roman"/>
          <w:b/>
          <w:sz w:val="22"/>
        </w:rPr>
        <w:t>Cost per million successful requests = Monthly total cost / (Estimated successful monthly requests / 1,000,000)</w:t>
      </w:r>
    </w:p>
    <w:p>
      <w:r>
        <w:rPr>
          <w:rFonts w:ascii="Times New Roman" w:hAnsi="Times New Roman" w:eastAsia="Times New Roman"/>
        </w:rPr>
        <w:t>Monthly total cost should include verified infrastructure and operational costs. Estimated monthly successful requests should be based on a realistic workload profile and utilization factor. The maximum Locust throughput must not be multiplied by every second of a 30-day month unless the deployment is genuinely expected to operate continuously at maximum tested load.</w:t>
      </w:r>
    </w:p>
    <w:p>
      <w:r>
        <w:rPr>
          <w:rFonts w:ascii="Times New Roman" w:hAnsi="Times New Roman" w:eastAsia="Times New Roman"/>
        </w:rPr>
        <w:t>The requested path tests/performance/cost_input_template.csv was missing from the supplied extract. The analysis script is designed to generate the template under tests/performance/results. Regardless of path, the monetary fields were not populated with verified costs. A numerical cost-per-million result would therefore be fabricated and is intentionally not reported.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Model component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Required input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Infrastructure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VM or cloud compute, storage volumes, network transfer, backup storage, domain and certificate services where charged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Operations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Monitoring, maintenance, administration, support, security review, and backup verification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Demand model</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Expected active users, request mix, daily operating hours, peak-to-average ratio, and growth allowance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Reliability adjustment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Only successful requests belong in the denominator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Sensitivity analysis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Evaluate conservative, expected, and high-utilization scenarios</w:t>
            </w:r>
          </w:p>
        </w:tc>
      </w:tr>
    </w:tbl>
    <w:p/>
    <w:p>
      <w:pPr>
        <w:pStyle w:val="Heading2"/>
      </w:pPr>
      <w:r>
        <w:rPr>
          <w:rFonts w:ascii="Times New Roman" w:hAnsi="Times New Roman" w:eastAsia="Times New Roman"/>
        </w:rPr>
        <w:t>10. Limitations and Recommendations</w:t>
      </w:r>
    </w:p>
    <w:p>
      <w:pPr>
        <w:pStyle w:val="Heading3"/>
      </w:pPr>
      <w:r>
        <w:rPr>
          <w:rFonts w:ascii="Times New Roman" w:hAnsi="Times New Roman" w:eastAsia="Times New Roman"/>
        </w:rPr>
        <w:t>10.1 Limitations</w:t>
      </w:r>
    </w:p>
    <w:p>
      <w:pPr>
        <w:pStyle w:val="ListBullet"/>
      </w:pPr>
      <w:r>
        <w:rPr>
          <w:rFonts w:ascii="Times New Roman" w:hAnsi="Times New Roman" w:eastAsia="Times New Roman"/>
        </w:rPr>
        <w:t>The results describe Phase I on one Docker-based environment. Performance on the UESTC VM will be established in the planned Phase II validation when access is granted.</w:t>
      </w:r>
    </w:p>
    <w:p>
      <w:pPr>
        <w:pStyle w:val="ListBullet"/>
      </w:pPr>
      <w:r>
        <w:rPr>
          <w:rFonts w:ascii="Times New Roman" w:hAnsi="Times New Roman" w:eastAsia="Times New Roman"/>
        </w:rPr>
        <w:t>The supplied consolidation contains one result per scenario and no repeated-run confidence intervals.</w:t>
      </w:r>
    </w:p>
    <w:p>
      <w:pPr>
        <w:pStyle w:val="ListBullet"/>
      </w:pPr>
      <w:r>
        <w:rPr>
          <w:rFonts w:ascii="Times New Roman" w:hAnsi="Times New Roman" w:eastAsia="Times New Roman"/>
        </w:rPr>
        <w:t>Test durations and user spawn rates are not included in the extract.</w:t>
      </w:r>
    </w:p>
    <w:p>
      <w:pPr>
        <w:pStyle w:val="ListBullet"/>
      </w:pPr>
      <w:r>
        <w:rPr>
          <w:rFonts w:ascii="Times New Roman" w:hAnsi="Times New Roman" w:eastAsia="Times New Roman"/>
        </w:rPr>
        <w:t>The workload is read-dominant and uses fixed known resource identifiers.</w:t>
      </w:r>
    </w:p>
    <w:p>
      <w:pPr>
        <w:pStyle w:val="ListBullet"/>
      </w:pPr>
      <w:r>
        <w:rPr>
          <w:rFonts w:ascii="Times New Roman" w:hAnsi="Times New Roman" w:eastAsia="Times New Roman"/>
        </w:rPr>
        <w:t>Each virtual user authenticates only once, so sustained login pressure is not evaluated.</w:t>
      </w:r>
    </w:p>
    <w:p>
      <w:pPr>
        <w:pStyle w:val="ListBullet"/>
      </w:pPr>
      <w:r>
        <w:rPr>
          <w:rFonts w:ascii="Times New Roman" w:hAnsi="Times New Roman" w:eastAsia="Times New Roman"/>
        </w:rPr>
        <w:t>The tests do not quantify database query plans, connection-pool occupancy, lock contention, disk I/O, or network latency.</w:t>
      </w:r>
    </w:p>
    <w:p>
      <w:pPr>
        <w:pStyle w:val="ListBullet"/>
      </w:pPr>
      <w:r>
        <w:rPr>
          <w:rFonts w:ascii="Times New Roman" w:hAnsi="Times New Roman" w:eastAsia="Times New Roman"/>
        </w:rPr>
        <w:t>Resource measurements are point-in-time snapshots and are not synchronized time series.</w:t>
      </w:r>
    </w:p>
    <w:p>
      <w:pPr>
        <w:pStyle w:val="ListBullet"/>
      </w:pPr>
      <w:r>
        <w:rPr>
          <w:rFonts w:ascii="Times New Roman" w:hAnsi="Times New Roman" w:eastAsia="Times New Roman"/>
        </w:rPr>
        <w:t>Verified monetary inputs are not yet available because they depend on the institutional VM allocation. Their collection and calculation are scheduled within Phase II.</w:t>
      </w:r>
    </w:p>
    <w:p>
      <w:pPr>
        <w:pStyle w:val="Heading3"/>
      </w:pPr>
      <w:r>
        <w:rPr>
          <w:rFonts w:ascii="Times New Roman" w:hAnsi="Times New Roman" w:eastAsia="Times New Roman"/>
        </w:rPr>
        <w:t>10.2 Recommended next experiments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Priority</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Recommended experiment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Repeat each load level at least three times and report mean, standard deviation, and confidence intervals.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Re-run the same workload on the final VM with synchronized CPU, memory, network, disk, and database metrics.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Record test duration, spawn rate, backend worker count, database pool settings, and host specifications.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write-heavy scenarios for patients, encounters, observations, prescriptions, and diagnostic-report uploads.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mixed-role workloads so that Doctor, Nurse, Lab Staff, Pharmacist, Data Manager, and Admin traffic are represented.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Perform endurance testing to identify connection leakage, memory growth, and long-term stability problems.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Populate the cost template with verified deployment prices and evaluate multiple utilization assumptions.</w:t>
            </w:r>
          </w:p>
        </w:tc>
      </w:tr>
    </w:tbl>
    <w:p/>
    <w:p>
      <w:pPr>
        <w:pStyle w:val="Heading2"/>
      </w:pPr>
      <w:r>
        <w:rPr>
          <w:rFonts w:ascii="Times New Roman" w:hAnsi="Times New Roman" w:eastAsia="Times New Roman"/>
        </w:rPr>
        <w:t>11. Conclusion</w:t>
      </w:r>
    </w:p>
    <w:p>
      <w:r>
        <w:rPr>
          <w:rFonts w:ascii="Times New Roman" w:hAnsi="Times New Roman" w:eastAsia="Times New Roman"/>
        </w:rPr>
        <w:t>The Healthcare Cloud Platform demonstrated reliable scaling from 10 to 200 concurrent users in the tested Docker environment after remediation of the original 200-user bottleneck. The final scenario processed 43,814 requests with zero failures, 146.77 requests/s, a mean response time of 29.27 ms, P95 of 110 ms, and P99 of 240 ms. Relative to the initial 200-user run, 357 failures were eliminated, raw throughput increased by 141.54 requests/s, and mean latency improved by approximately 99.91%.</w:t>
      </w:r>
    </w:p>
    <w:p>
      <w:pPr/>
      <w:r>
        <w:rPr>
          <w:rFonts w:ascii="Times New Roman" w:hAnsi="Times New Roman" w:eastAsia="Times New Roman"/>
        </w:rPr>
        <w:t>These results complete the local scalability baseline and support a bounded cost-efficient design claim. The final thesis-level conclusion will combine this baseline with the planned UESTC VM tests, synchronized resource monitoring, endurance testing, remote recovery measurements, and verified cost inputs.</w:t>
      </w:r>
    </w:p>
    <w:p>
      <w:r>
        <w:rPr>
          <w:rFonts w:ascii="Times New Roman" w:hAnsi="Times New Roman" w:eastAsia="Times New Roman"/>
        </w:rPr>
        <w:br w:type="page"/>
      </w:r>
    </w:p>
    <w:p>
      <w:pPr>
        <w:pStyle w:val="Heading2"/>
      </w:pPr>
      <w:r>
        <w:rPr>
          <w:rFonts w:ascii="Times New Roman" w:hAnsi="Times New Roman" w:eastAsia="Times New Roman"/>
        </w:rP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Claim or component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Primary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Consolidated performance metrics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docs/evidence/performance_consolidated_summary.md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Performance CSV</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docs/tables/performance_consolidated_summary.csv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Resource and cost analysis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docs/evidence/resource_cost_efficiency_summary.md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Resource-efficiency CSV</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docs/tables/resource_cost_efficiency_summary.csv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Locust workload</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tests/performance/locustfile.py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Consolidation logic</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tests/performance/consolidate_performance_results.py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Resource and cost analysis logic</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tests/performance/analyze_resource_cost_efficiency.py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Original result files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locust_10_users_stats.csv; locust_50_users_stats.csv; locust_100_users_stats.csv; locust_200_users_stats.csv; locust_200_users_fixed_stats.csv</w:t>
            </w:r>
          </w:p>
        </w:tc>
      </w:tr>
    </w:tbl>
    <w:p/>
    <w:p>
      <w:pPr>
        <w:pStyle w:val="Heading2"/>
      </w:pPr>
      <w:r>
        <w:rPr>
          <w:rFonts w:ascii="Times New Roman" w:hAnsi="Times New Roman" w:eastAsia="Times New Roman"/>
        </w:rPr>
        <w:t>Appendix B. Derived Calculations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Metric</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Calculation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Result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Initial 200-user reliability-adjusted throughput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5.23 x (1 - 0.239919)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3.98 successful RPS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Failed-request reduction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357 - 0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357 requests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Raw-throughput gain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146.77 - 5.23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141.54 RPS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Raw-throughput relative increase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(146.77 / 5.23 - 1) x 100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2706.31%</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Mean-latency improvement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(33,132.66 - 29.27) / 33,132.66 x 100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99.91%</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P95 improvement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(90,000 - 110) / 90,000 x 100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99.88%</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P99 improvement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(91,000 - 240) / 91,000 x 100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99.74%</w:t>
            </w:r>
          </w:p>
        </w:tc>
      </w:tr>
    </w:tbl>
    <w:p/>
    <w:p>
      <w:pPr>
        <w:pStyle w:val="Heading1"/>
        <w:pageBreakBefore w:val="1"/>
        <w:keepNext/>
      </w:pPr>
      <w:r>
        <w:rPr>
          <w:rFonts w:ascii="Times New Roman" w:hAnsi="Times New Roman" w:eastAsia="Times New Roman"/>
        </w:rPr>
        <w:t>Chapter 7. Backup, Recovery and Data Resilience</w:t>
      </w:r>
    </w:p>
    <w:p>
      <w:pPr>
        <w:pStyle w:val="Heading2"/>
      </w:pPr>
      <w:r>
        <w:rPr>
          <w:rFonts w:ascii="Times New Roman" w:hAnsi="Times New Roman" w:eastAsia="Times New Roman"/>
        </w:rPr>
        <w:t>Executive Summary</w:t>
      </w:r>
    </w:p>
    <w:p>
      <w:r>
        <w:rPr>
          <w:rFonts w:ascii="Times New Roman" w:hAnsi="Times New Roman" w:eastAsia="Times New Roman"/>
        </w:rPr>
        <w:t>This chapter evaluates the backup, restoration, and data-resilience mechanisms implemented for the Healthcare Cloud Platform. Structured healthcare data are stored in PostgreSQL, while binary diagnostic objects are stored in MinIO. The supplied recovery tests do not merely create backup files. They restore the backups into temporary isolated targets and compare the restored state with the source state.</w:t>
      </w:r>
    </w:p>
    <w:p>
      <w:r>
        <w:rPr>
          <w:rFonts w:ascii="Times New Roman" w:hAnsi="Times New Roman" w:eastAsia="Times New Roman"/>
        </w:rPr>
        <w:t>The current PostgreSQL validation produced a 52,847,810-byte custom archive, recorded SHA-256 digest 2ccded46a6fd14c6ec584bf2bed7fee4c82f37518b5908295ec7184430bbaec3, restored the archive into healthcare_cloud_db_restore_test, verified 10 public tables, 30 constraints, 50 indexes, and exact row counts totaling 1,581,949 rows. All 19 checks passed and the temporary restore database was removed.</w:t>
      </w:r>
    </w:p>
    <w:p>
      <w:r>
        <w:rPr>
          <w:rFonts w:ascii="Times New Roman" w:hAnsi="Times New Roman" w:eastAsia="Times New Roman"/>
        </w:rPr>
        <w:t>The MinIO validation inventoried seven objects totaling 488 bytes, copied each object to a local backup directory, recorded metadata and SHA-256 values, restored the objects into a uniquely named temporary bucket, and reverified object count, total size, per-object size, and per-object checksum. All 23 checks passed and the temporary bucket was removed.</w:t>
      </w:r>
    </w:p>
    <w:p>
      <w:r>
        <w:rPr>
          <w:rFonts w:ascii="Times New Roman" w:hAnsi="Times New Roman" w:eastAsia="Times New Roman"/>
        </w:rPr>
        <w:t>These results demonstrate recoverability for the tested local environment and datasets. They do not establish off-site disaster recovery, encrypted backup retention, point-in-time recovery, defined recovery objectives, or recovery from complete host loss.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Validation</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Checks</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Scope</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backup and restore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19/19</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 tables; 30 constraints; 50 indexes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Exact PostgreSQL row comparison</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10/10 tables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1,581,949 rows matched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MinIO backup and restore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23/23</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 objects; 488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Temporary target cleanup</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2/2</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Database and bucket removed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pPr>
        <w:pStyle w:val="Heading2"/>
      </w:pPr>
      <w:r>
        <w:rPr>
          <w:rFonts w:ascii="Times New Roman" w:hAnsi="Times New Roman" w:eastAsia="Times New Roman"/>
        </w:rPr>
        <w:t>1. Resilience Objectives and Data Domains</w:t>
      </w:r>
    </w:p>
    <w:p>
      <w:r>
        <w:rPr>
          <w:rFonts w:ascii="Times New Roman" w:hAnsi="Times New Roman" w:eastAsia="Times New Roman"/>
        </w:rPr>
        <w:t>The recovery design addresses two persistence domains with different data characteristics. PostgreSQL contains relational healthcare records, authentication data, roles, audit records, constraints, indexes, and the Alembic migration state. MinIO contains binary healthcare objects and related object metadata. A complete recovery strategy must protect both domains because restoring only one would produce an inconsistent platform.</w:t>
      </w:r>
    </w:p>
    <w:p>
      <w:pPr>
        <w:pStyle w:val="ListBullet"/>
      </w:pPr>
      <w:r>
        <w:rPr>
          <w:rFonts w:ascii="Times New Roman" w:hAnsi="Times New Roman" w:eastAsia="Times New Roman"/>
        </w:rPr>
        <w:t>Recoverability: backup artifacts must be readable and restorable into isolated targets.</w:t>
      </w:r>
    </w:p>
    <w:p>
      <w:pPr>
        <w:pStyle w:val="ListBullet"/>
      </w:pPr>
      <w:r>
        <w:rPr>
          <w:rFonts w:ascii="Times New Roman" w:hAnsi="Times New Roman" w:eastAsia="Times New Roman"/>
        </w:rPr>
        <w:t>Integrity: restored relational rows and binary object hashes must match their sources.</w:t>
      </w:r>
    </w:p>
    <w:p>
      <w:pPr>
        <w:pStyle w:val="ListBullet"/>
      </w:pPr>
      <w:r>
        <w:rPr>
          <w:rFonts w:ascii="Times New Roman" w:hAnsi="Times New Roman" w:eastAsia="Times New Roman"/>
        </w:rPr>
        <w:t>Completeness: schema objects, tables, object counts, and total object sizes must be verified.</w:t>
      </w:r>
    </w:p>
    <w:p>
      <w:pPr>
        <w:pStyle w:val="ListBullet"/>
      </w:pPr>
      <w:r>
        <w:rPr>
          <w:rFonts w:ascii="Times New Roman" w:hAnsi="Times New Roman" w:eastAsia="Times New Roman"/>
        </w:rPr>
        <w:t>Isolation: validation must not overwrite the production database or source bucket.</w:t>
      </w:r>
    </w:p>
    <w:p>
      <w:pPr>
        <w:pStyle w:val="ListBullet"/>
      </w:pPr>
      <w:r>
        <w:rPr>
          <w:rFonts w:ascii="Times New Roman" w:hAnsi="Times New Roman" w:eastAsia="Times New Roman"/>
        </w:rPr>
        <w:t>Cleanup: temporary recovery targets must be removed after validation.</w:t>
      </w:r>
    </w:p>
    <w:p>
      <w:pPr>
        <w:pStyle w:val="ListBullet"/>
      </w:pPr>
      <w:r>
        <w:rPr>
          <w:rFonts w:ascii="Times New Roman" w:hAnsi="Times New Roman" w:eastAsia="Times New Roman"/>
        </w:rPr>
        <w:t>Evidence: machine-readable CSV files and human-readable summaries must record the result.</w:t>
      </w:r>
    </w:p>
    <w:p>
      <w:pPr>
        <w:jc w:val="center"/>
      </w:pPr>
      <w:r>
        <w:rPr>
          <w:rFonts w:ascii="Times New Roman" w:hAnsi="Times New Roman" w:eastAsia="Times New Roman"/>
        </w:rPr>
        <w:drawing>
          <wp:inline xmlns:a="http://schemas.openxmlformats.org/drawingml/2006/main" xmlns:pic="http://schemas.openxmlformats.org/drawingml/2006/picture">
            <wp:extent cx="6126480" cy="3834307"/>
            <wp:docPr id="20" name="Picture 1"/>
            <wp:cNvGraphicFramePr>
              <a:graphicFrameLocks noChangeAspect="1"/>
            </wp:cNvGraphicFramePr>
            <a:graphic>
              <a:graphicData uri="http://schemas.openxmlformats.org/drawingml/2006/picture">
                <pic:pic>
                  <pic:nvPicPr>
                    <pic:cNvPr id="20" name="recovery_workflow.png"/>
                    <pic:cNvPicPr/>
                  </pic:nvPicPr>
                  <pic:blipFill>
                    <a:blip r:embed="rId33"/>
                    <a:stretch>
                      <a:fillRect/>
                    </a:stretch>
                  </pic:blipFill>
                  <pic:spPr>
                    <a:xfrm>
                      <a:off x="0" y="0"/>
                      <a:ext cx="6126480" cy="3834307"/>
                    </a:xfrm>
                    <a:prstGeom prst="rect"/>
                  </pic:spPr>
                </pic:pic>
              </a:graphicData>
            </a:graphic>
          </wp:inline>
        </w:drawing>
      </w:r>
    </w:p>
    <w:p>
      <w:pPr>
        <w:pStyle w:val="AcademicCaption"/>
      </w:pPr>
      <w:r>
        <w:rPr>
          <w:rFonts w:ascii="Times New Roman" w:hAnsi="Times New Roman" w:eastAsia="Times New Roman"/>
        </w:rPr>
        <w:t>Figure 1. Backup and recovery validation workflow used for PostgreSQL and MinIO.</w:t>
      </w:r>
    </w:p>
    <w:p>
      <w:pPr>
        <w:pStyle w:val="Heading2"/>
      </w:pPr>
      <w:r>
        <w:rPr>
          <w:rFonts w:ascii="Times New Roman" w:hAnsi="Times New Roman" w:eastAsia="Times New Roman"/>
        </w:rPr>
        <w:t>2. Persistent Storage Architecture</w:t>
      </w:r>
    </w:p>
    <w:p>
      <w:r>
        <w:rPr>
          <w:rFonts w:ascii="Times New Roman" w:hAnsi="Times New Roman" w:eastAsia="Times New Roman"/>
        </w:rPr>
        <w:t>The production Docker Compose configuration assigns PostgreSQL and MinIO separate named volumes: postgres_prod_data and minio_prod_data. The services are attached to an internal data network and are not published directly to the host. The backend is connected to both the edge and data networks and mediates application access to persistence services.</w:t>
      </w:r>
    </w:p>
    <w:p>
      <w:pPr>
        <w:jc w:val="center"/>
      </w:pPr>
      <w:r>
        <w:rPr>
          <w:rFonts w:ascii="Times New Roman" w:hAnsi="Times New Roman" w:eastAsia="Times New Roman"/>
        </w:rPr>
        <w:drawing>
          <wp:inline xmlns:a="http://schemas.openxmlformats.org/drawingml/2006/main" xmlns:pic="http://schemas.openxmlformats.org/drawingml/2006/picture">
            <wp:extent cx="6035040" cy="3599975"/>
            <wp:docPr id="21" name="Picture 2"/>
            <wp:cNvGraphicFramePr>
              <a:graphicFrameLocks noChangeAspect="1"/>
            </wp:cNvGraphicFramePr>
            <a:graphic>
              <a:graphicData uri="http://schemas.openxmlformats.org/drawingml/2006/picture">
                <pic:pic>
                  <pic:nvPicPr>
                    <pic:cNvPr id="21" name="persistent_storage_topology.png"/>
                    <pic:cNvPicPr/>
                  </pic:nvPicPr>
                  <pic:blipFill>
                    <a:blip r:embed="rId34"/>
                    <a:stretch>
                      <a:fillRect/>
                    </a:stretch>
                  </pic:blipFill>
                  <pic:spPr>
                    <a:xfrm>
                      <a:off x="0" y="0"/>
                      <a:ext cx="6035040" cy="3599975"/>
                    </a:xfrm>
                    <a:prstGeom prst="rect"/>
                  </pic:spPr>
                </pic:pic>
              </a:graphicData>
            </a:graphic>
          </wp:inline>
        </w:drawing>
      </w:r>
    </w:p>
    <w:p>
      <w:pPr>
        <w:pStyle w:val="AcademicCaption"/>
      </w:pPr>
      <w:r>
        <w:rPr>
          <w:rFonts w:ascii="Times New Roman" w:hAnsi="Times New Roman" w:eastAsia="Times New Roman"/>
        </w:rPr>
        <w:t>Figure 2. Persistent Docker storage topology.</w:t>
      </w:r>
    </w:p>
    <w:p>
      <w:r>
        <w:rPr>
          <w:rFonts w:ascii="Times New Roman" w:hAnsi="Times New Roman" w:eastAsia="Times New Roman"/>
        </w:rPr>
        <w:t>Named volumes preserve service data across normal container replacement and restart operations. They do not constitute independent backups because volume loss, host failure, administrative deletion, ransomware, or storage corruption can affect both the service and its local volume. The validated logical PostgreSQL dump and MinIO object-copy workflow therefore provide a separate recovery layer.</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Service</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Persistent volume</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Primary contents</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Backup form</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PostgreSQL</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postgres_prod_data</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Structured relational records, schema, constraints, indexes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Custom logical dump</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MinIO</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minio_prod_data</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Binary reports and attachments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Object files plus manifest and checksums</w:t>
            </w:r>
          </w:p>
        </w:tc>
      </w:tr>
    </w:tbl>
    <w:p/>
    <w:p>
      <w:pPr>
        <w:pStyle w:val="Heading2"/>
      </w:pPr>
      <w:r>
        <w:rPr>
          <w:rFonts w:ascii="Times New Roman" w:hAnsi="Times New Roman" w:eastAsia="Times New Roman"/>
        </w:rPr>
        <w:t>3. PostgreSQL Backup Procedure</w:t>
      </w:r>
    </w:p>
    <w:p>
      <w:pPr>
        <w:pStyle w:val="Heading3"/>
      </w:pPr>
      <w:r>
        <w:rPr>
          <w:rFonts w:ascii="Times New Roman" w:hAnsi="Times New Roman" w:eastAsia="Times New Roman"/>
        </w:rPr>
        <w:t>3.1 Pre-flight validation</w:t>
      </w:r>
    </w:p>
    <w:p>
      <w:r>
        <w:rPr>
          <w:rFonts w:ascii="Times New Roman" w:hAnsi="Times New Roman" w:eastAsia="Times New Roman"/>
        </w:rPr>
        <w:t>The recovery script first confirms that the PostgreSQL container is running. It then queries the source database for the number of public tables, constraints, and indexes. These source values form part of the restoration oracle used later in the test.</w:t>
      </w:r>
    </w:p>
    <w:p>
      <w:pPr>
        <w:pStyle w:val="Heading3"/>
      </w:pPr>
      <w:r>
        <w:rPr>
          <w:rFonts w:ascii="Times New Roman" w:hAnsi="Times New Roman" w:eastAsia="Times New Roman"/>
        </w:rPr>
        <w:t>3.2 Logical backup creation</w:t>
      </w:r>
    </w:p>
    <w:p>
      <w:r>
        <w:rPr>
          <w:rFonts w:ascii="Times New Roman" w:hAnsi="Times New Roman" w:eastAsia="Times New Roman"/>
        </w:rPr>
        <w:t>The current Python validation invokes pg_dump inside the PostgreSQL container using custom archive format, compression level 6, no ownership statements, and no privilege statements. The archive is created temporarily inside the container and then copied to the host recovery directory.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Setting</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Implementation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Reason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Archive format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pg_dump --format=custom</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Supports pg_restore and archive inspection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Compression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--compress=6</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Reduces host backup size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Ownership handling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--no-owner</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Avoids restoration failures caused by absent source owners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Privilege handling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--no-privileges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Avoids restoring environment-specific grants</w:t>
            </w:r>
          </w:p>
        </w:tc>
      </w:tr>
    </w:tbl>
    <w:p/>
    <w:p>
      <w:pPr>
        <w:pStyle w:val="Heading3"/>
      </w:pPr>
      <w:r>
        <w:rPr>
          <w:rFonts w:ascii="Times New Roman" w:hAnsi="Times New Roman" w:eastAsia="Times New Roman"/>
        </w:rPr>
        <w:t>3.3 Backup integrity and readability</w:t>
      </w:r>
    </w:p>
    <w:p>
      <w:r>
        <w:rPr>
          <w:rFonts w:ascii="Times New Roman" w:hAnsi="Times New Roman" w:eastAsia="Times New Roman"/>
        </w:rPr>
        <w:t>The validated archive size was 52,847,810 bytes. A SHA-256 digest was calculated over the host archive. The script also used pg_restore --list to confirm that the custom archive was readable before attempting restoration.</w:t>
      </w:r>
    </w:p>
    <w:p>
      <w:pPr>
        <w:ind w:left="283" w:right="283"/>
        <w:jc w:val="center"/>
      </w:pPr>
      <w:r>
        <w:rPr>
          <w:rFonts w:ascii="Times New Roman" w:hAnsi="Times New Roman" w:eastAsia="Times New Roman"/>
          <w:sz w:val="18"/>
        </w:rPr>
        <w:t>2ccded46a6fd14c6ec584bf2bed7fee4c82f37518b5908295ec7184430bbaec3</w:t>
      </w:r>
    </w:p>
    <w:p>
      <w:pPr>
        <w:pStyle w:val="Heading2"/>
      </w:pPr>
      <w:r>
        <w:rPr>
          <w:rFonts w:ascii="Times New Roman" w:hAnsi="Times New Roman" w:eastAsia="Times New Roman"/>
        </w:rPr>
        <w:t>4. PostgreSQL Restoration and Validation</w:t>
      </w:r>
    </w:p>
    <w:p>
      <w:pPr>
        <w:pStyle w:val="Heading3"/>
      </w:pPr>
      <w:r>
        <w:rPr>
          <w:rFonts w:ascii="Times New Roman" w:hAnsi="Times New Roman" w:eastAsia="Times New Roman"/>
        </w:rPr>
        <w:t>4.1 Isolated temporary restoration</w:t>
      </w:r>
    </w:p>
    <w:p>
      <w:r>
        <w:rPr>
          <w:rFonts w:ascii="Times New Roman" w:hAnsi="Times New Roman" w:eastAsia="Times New Roman"/>
        </w:rPr>
        <w:t>The script terminates any stale connections to the temporary restore database, removes an earlier test database if present, creates a fresh healthcare_cloud_db_restore_test database, and restores the archive with pg_restore. The --exit-on-error option ensures that restoration stops when a database error occurs.</w:t>
      </w:r>
    </w:p>
    <w:p>
      <w:pPr>
        <w:pStyle w:val="Heading3"/>
      </w:pPr>
      <w:r>
        <w:rPr>
          <w:rFonts w:ascii="Times New Roman" w:hAnsi="Times New Roman" w:eastAsia="Times New Roman"/>
        </w:rPr>
        <w:t>4.2 Structural verification</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8"/>
              </w:rPr>
              <w:t>Structural element</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8"/>
              </w:rPr>
              <w:t>Source</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8"/>
              </w:rPr>
              <w:t>Restored</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8"/>
              </w:rPr>
              <w:t>Result</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Public tables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10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10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Constraints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30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30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Indexes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50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50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8"/>
              </w:rPr>
              <w:t>PASS</w:t>
            </w:r>
          </w:p>
        </w:tc>
      </w:tr>
    </w:tbl>
    <w:p/>
    <w:p>
      <w:r>
        <w:rPr>
          <w:rFonts w:ascii="Times New Roman" w:hAnsi="Times New Roman" w:eastAsia="Times New Roman"/>
        </w:rPr>
        <w:t>Matching row counts alone would not prove that the restored database retained the relational structure needed for correct application behavior. The separate checks for tables, constraints, and indexes therefore strengthen the recovery evidence.</w:t>
      </w:r>
    </w:p>
    <w:p>
      <w:pPr>
        <w:pStyle w:val="Heading3"/>
      </w:pPr>
      <w:r>
        <w:rPr>
          <w:rFonts w:ascii="Times New Roman" w:hAnsi="Times New Roman" w:eastAsia="Times New Roman"/>
        </w:rPr>
        <w:t>4.3 Exact table-row verification</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Table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Source rows</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Restored rows</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Difference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Result</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alembic_version</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audit_logs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40,557</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40,557</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conditions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643,513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643,513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diagnostic_reports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encounters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121,649</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121,649</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observations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592,173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592,173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patients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117,581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117,581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prescriptions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66,458</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66,458</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roles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users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bl>
    <w:p/>
    <w:p>
      <w:r>
        <w:rPr>
          <w:rFonts w:ascii="Times New Roman" w:hAnsi="Times New Roman" w:eastAsia="Times New Roman"/>
        </w:rPr>
        <w:t>All 10 public tables matched exactly, representing 1,581,949 rows across application, audit, security, and migration tables.</w:t>
      </w:r>
    </w:p>
    <w:p>
      <w:pPr>
        <w:keepNext/>
        <w:jc w:val="center"/>
      </w:pPr>
      <w:r>
        <w:rPr>
          <w:rFonts w:ascii="Times New Roman" w:hAnsi="Times New Roman" w:eastAsia="Times New Roman"/>
        </w:rPr>
        <w:drawing>
          <wp:inline xmlns:a="http://schemas.openxmlformats.org/drawingml/2006/main" xmlns:pic="http://schemas.openxmlformats.org/drawingml/2006/picture">
            <wp:extent cx="4480560" cy="2987040"/>
            <wp:docPr id="22" name="Picture 3"/>
            <wp:cNvGraphicFramePr>
              <a:graphicFrameLocks noChangeAspect="1"/>
            </wp:cNvGraphicFramePr>
            <a:graphic>
              <a:graphicData uri="http://schemas.openxmlformats.org/drawingml/2006/picture">
                <pic:pic>
                  <pic:nvPicPr>
                    <pic:cNvPr id="22" name="postgres_row_counts.png"/>
                    <pic:cNvPicPr/>
                  </pic:nvPicPr>
                  <pic:blipFill>
                    <a:blip r:embed="rId35"/>
                    <a:stretch>
                      <a:fillRect/>
                    </a:stretch>
                  </pic:blipFill>
                  <pic:spPr>
                    <a:xfrm>
                      <a:off x="0" y="0"/>
                      <a:ext cx="4480560" cy="2987040"/>
                    </a:xfrm>
                    <a:prstGeom prst="rect"/>
                  </pic:spPr>
                </pic:pic>
              </a:graphicData>
            </a:graphic>
          </wp:inline>
        </w:drawing>
      </w:r>
    </w:p>
    <w:p>
      <w:pPr>
        <w:pStyle w:val="AcademicCaption"/>
        <w:keepLines/>
      </w:pPr>
      <w:r>
        <w:rPr>
          <w:rFonts w:ascii="Times New Roman" w:hAnsi="Times New Roman" w:eastAsia="Times New Roman"/>
        </w:rPr>
        <w:t>Figure 3. Exact PostgreSQL row-count verification. A logarithmic scale is used because table sizes range from 1 to more than 600,000 rows.</w:t>
      </w:r>
    </w:p>
    <w:p>
      <w:pPr>
        <w:pStyle w:val="Heading3"/>
      </w:pPr>
      <w:r>
        <w:rPr>
          <w:rFonts w:ascii="Times New Roman" w:hAnsi="Times New Roman" w:eastAsia="Times New Roman"/>
        </w:rPr>
        <w:t>4.4 Cleanup</w:t>
      </w:r>
    </w:p>
    <w:p>
      <w:r>
        <w:rPr>
          <w:rFonts w:ascii="Times New Roman" w:hAnsi="Times New Roman" w:eastAsia="Times New Roman"/>
        </w:rPr>
        <w:t>After validation, the temporary database is dropped and the temporary container archive is removed. The recorded result confirms successful cleanup. Removing recovery targets is important because stale test databases can consume storage, expose copied healthcare data, and interfere with future validation runs.</w:t>
      </w:r>
    </w:p>
    <w:p>
      <w:pPr>
        <w:pStyle w:val="Heading2"/>
      </w:pPr>
      <w:r>
        <w:rPr>
          <w:rFonts w:ascii="Times New Roman" w:hAnsi="Times New Roman" w:eastAsia="Times New Roman"/>
        </w:rPr>
        <w:t>5. MinIO Backup Procedure</w:t>
      </w:r>
    </w:p>
    <w:p>
      <w:pPr>
        <w:pStyle w:val="Heading3"/>
      </w:pPr>
      <w:r>
        <w:rPr>
          <w:rFonts w:ascii="Times New Roman" w:hAnsi="Times New Roman" w:eastAsia="Times New Roman"/>
        </w:rPr>
        <w:t>5.1 Source inventory</w:t>
      </w:r>
    </w:p>
    <w:p>
      <w:r>
        <w:rPr>
          <w:rFonts w:ascii="Times New Roman" w:hAnsi="Times New Roman" w:eastAsia="Times New Roman"/>
        </w:rPr>
        <w:t>The MinIO script resolves the configured endpoint and source bucket, verifies that the source bucket exists, and recursively lists all objects. The validated source bucket healthcare-files contained seven objects with a combined size of 488 bytes.</w:t>
      </w:r>
    </w:p>
    <w:p>
      <w:pPr>
        <w:pStyle w:val="Heading3"/>
      </w:pPr>
      <w:r>
        <w:rPr>
          <w:rFonts w:ascii="Times New Roman" w:hAnsi="Times New Roman" w:eastAsia="Times New Roman"/>
        </w:rPr>
        <w:t>5.2 Local backup representation</w:t>
      </w:r>
    </w:p>
    <w:p>
      <w:r>
        <w:rPr>
          <w:rFonts w:ascii="Times New Roman" w:hAnsi="Times New Roman" w:eastAsia="Times New Roman"/>
        </w:rPr>
        <w:t>Each MinIO object is downloaded to a local backup directory. The local filename is derived from a SHA-256 hash of the object name, while the original object name is preserved in a manifest and CSV inventory. For every object, the backup records local size, SHA-256 content checksum, ETag, content type, and last-modified timestamp when available.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Manifest element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Recorded information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identity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Original object name and position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Backup file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Relative local .bin file path</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Integrity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SHA-256 digest and byte size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metadata</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ETag, content type, last-modified timestamp</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Backup context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Creation time, endpoint, source bucket, temporary bucket</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577840" cy="3486150"/>
            <wp:docPr id="23" name="Picture 4"/>
            <wp:cNvGraphicFramePr>
              <a:graphicFrameLocks noChangeAspect="1"/>
            </wp:cNvGraphicFramePr>
            <a:graphic>
              <a:graphicData uri="http://schemas.openxmlformats.org/drawingml/2006/picture">
                <pic:pic>
                  <pic:nvPicPr>
                    <pic:cNvPr id="23" name="minio_object_sizes.png"/>
                    <pic:cNvPicPr/>
                  </pic:nvPicPr>
                  <pic:blipFill>
                    <a:blip r:embed="rId36"/>
                    <a:stretch>
                      <a:fillRect/>
                    </a:stretch>
                  </pic:blipFill>
                  <pic:spPr>
                    <a:xfrm>
                      <a:off x="0" y="0"/>
                      <a:ext cx="5577840" cy="3486150"/>
                    </a:xfrm>
                    <a:prstGeom prst="rect"/>
                  </pic:spPr>
                </pic:pic>
              </a:graphicData>
            </a:graphic>
          </wp:inline>
        </w:drawing>
      </w:r>
    </w:p>
    <w:p>
      <w:pPr>
        <w:pStyle w:val="AcademicCaption"/>
      </w:pPr>
      <w:r>
        <w:rPr>
          <w:rFonts w:ascii="Times New Roman" w:hAnsi="Times New Roman" w:eastAsia="Times New Roman"/>
        </w:rPr>
        <w:t>Figure 4. Sizes of the seven MinIO objects included in the validated backup.</w:t>
      </w:r>
    </w:p>
    <w:p>
      <w:pPr>
        <w:pStyle w:val="Heading2"/>
      </w:pPr>
      <w:r>
        <w:rPr>
          <w:rFonts w:ascii="Times New Roman" w:hAnsi="Times New Roman" w:eastAsia="Times New Roman"/>
        </w:rPr>
        <w:t>6. MinIO Restoration and Object-Integrity Validation</w:t>
      </w:r>
    </w:p>
    <w:p>
      <w:pPr>
        <w:pStyle w:val="Heading3"/>
      </w:pPr>
      <w:r>
        <w:rPr>
          <w:rFonts w:ascii="Times New Roman" w:hAnsi="Times New Roman" w:eastAsia="Times New Roman"/>
        </w:rPr>
        <w:t>6.1 Temporary bucket creation</w:t>
      </w:r>
    </w:p>
    <w:p>
      <w:r>
        <w:rPr>
          <w:rFonts w:ascii="Times New Roman" w:hAnsi="Times New Roman" w:eastAsia="Times New Roman"/>
        </w:rPr>
        <w:t>A unique temporary bucket name is generated from the source bucket name and a random suffix. If an object with the same temporary bucket name somehow exists, the script removes its objects and bucket before creating a clean restore target. This avoids overwriting the source bucket.</w:t>
      </w:r>
    </w:p>
    <w:p>
      <w:pPr>
        <w:pStyle w:val="Heading3"/>
      </w:pPr>
      <w:r>
        <w:rPr>
          <w:rFonts w:ascii="Times New Roman" w:hAnsi="Times New Roman" w:eastAsia="Times New Roman"/>
        </w:rPr>
        <w:t>6.2 Object restoration</w:t>
      </w:r>
    </w:p>
    <w:p>
      <w:r>
        <w:rPr>
          <w:rFonts w:ascii="Times New Roman" w:hAnsi="Times New Roman" w:eastAsia="Times New Roman"/>
        </w:rPr>
        <w:t>The script uploads each locally backed-up file to the temporary bucket under its original object name and content type. It then compares the restored object count and aggregate restored size with the backup inventory. Both values matched: seven restored objects and 488 restored bytes.</w:t>
      </w:r>
    </w:p>
    <w:p>
      <w:pPr>
        <w:pStyle w:val="Heading3"/>
      </w:pPr>
      <w:r>
        <w:rPr>
          <w:rFonts w:ascii="Times New Roman" w:hAnsi="Times New Roman" w:eastAsia="Times New Roman"/>
        </w:rPr>
        <w:t>6.3 Per-object integrity checks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Object</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Size</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SHA-256 prefix</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Result</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1</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77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8e13b3b62dcfcd5e...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2</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97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733a5f7961289e7a...</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3</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77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8e13b3b62dcfcd5e...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4</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77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8e13b3b62dcfcd5e...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5</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46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476559fb6977b2b0...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6</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57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75e916658673c9e2...</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Object 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57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75e916658673c9e2...</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bl>
    <w:p/>
    <w:p>
      <w:r>
        <w:rPr>
          <w:rFonts w:ascii="Times New Roman" w:hAnsi="Times New Roman" w:eastAsia="Times New Roman"/>
        </w:rPr>
        <w:t>For each restored object, the script downloads the restored content, recomputes SHA-256, and verifies both the digest and byte size against the local backup record. All seven restored objects passed.</w:t>
      </w:r>
    </w:p>
    <w:p>
      <w:pPr>
        <w:pStyle w:val="Heading3"/>
      </w:pPr>
      <w:r>
        <w:rPr>
          <w:rFonts w:ascii="Times New Roman" w:hAnsi="Times New Roman" w:eastAsia="Times New Roman"/>
        </w:rPr>
        <w:t>6.4 Temporary bucket cleanup</w:t>
      </w:r>
    </w:p>
    <w:p>
      <w:r>
        <w:rPr>
          <w:rFonts w:ascii="Times New Roman" w:hAnsi="Times New Roman" w:eastAsia="Times New Roman"/>
        </w:rPr>
        <w:t>The script removes every restored object and then removes the temporary bucket. Cleanup is performed in a finally block so that it is attempted even when another validation step fails. The recorded result confirms successful removal.</w:t>
      </w:r>
    </w:p>
    <w:p>
      <w:pPr>
        <w:pStyle w:val="Heading2"/>
      </w:pPr>
      <w:r>
        <w:rPr>
          <w:rFonts w:ascii="Times New Roman" w:hAnsi="Times New Roman" w:eastAsia="Times New Roman"/>
        </w:rPr>
        <w:t>7. Consolidated Validation Results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PostgreSQL validation area</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Expected</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Result</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container</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running</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running</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Backup file created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non-empty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52,847,810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Backup SHA-256</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64 hexadecimal characters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valid digest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Archive readability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readable pg_restore archive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readable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Temporary restore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successful</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successful</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Public table count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Constraint count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30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30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Index count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50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50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Exact table rows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 matching tables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 matching tables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Temporary database cleanup</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removed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removed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MinIO validation area</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Expected</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Result</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Source bucket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accessible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present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Source inventory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completed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 objects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Backup object count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Backup total size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488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488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Temporary bucket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created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created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Restored object count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Restored total size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488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488 bytes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Per-object integrity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 verified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 verified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Temporary bucket cleanup</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removed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removed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final project validation matrix records PostgreSQL backup and restore as PASS with 19/19 checks and MinIO backup and restore as PASS with 23/23 checks. No failed, pending, or review status remained in the overall matrix.</w:t>
      </w:r>
    </w:p>
    <w:p>
      <w:pPr>
        <w:pStyle w:val="Heading2"/>
      </w:pPr>
      <w:r>
        <w:rPr>
          <w:rFonts w:ascii="Times New Roman" w:hAnsi="Times New Roman" w:eastAsia="Times New Roman"/>
        </w:rPr>
        <w:t>8. Recovery Limitations and Risk Analysis</w:t>
      </w:r>
    </w:p>
    <w:p>
      <w:pPr>
        <w:pStyle w:val="ListBullet"/>
      </w:pPr>
      <w:r>
        <w:rPr>
          <w:rFonts w:ascii="Times New Roman" w:hAnsi="Times New Roman" w:eastAsia="Times New Roman"/>
        </w:rPr>
        <w:t>The PostgreSQL and MinIO backups are stored on the same local host used for validation. This does not protect against complete host loss.</w:t>
      </w:r>
    </w:p>
    <w:p>
      <w:pPr>
        <w:pStyle w:val="ListBullet"/>
      </w:pPr>
      <w:r>
        <w:rPr>
          <w:rFonts w:ascii="Times New Roman" w:hAnsi="Times New Roman" w:eastAsia="Times New Roman"/>
        </w:rPr>
        <w:t>The evidence does not show encryption of backup archives at rest.</w:t>
      </w:r>
    </w:p>
    <w:p>
      <w:pPr>
        <w:pStyle w:val="ListBullet"/>
      </w:pPr>
      <w:r>
        <w:rPr>
          <w:rFonts w:ascii="Times New Roman" w:hAnsi="Times New Roman" w:eastAsia="Times New Roman"/>
        </w:rPr>
        <w:t>No remote backup repository, immutable storage, or offline backup copy is demonstrated.</w:t>
      </w:r>
    </w:p>
    <w:p>
      <w:pPr>
        <w:pStyle w:val="ListBullet"/>
      </w:pPr>
      <w:r>
        <w:rPr>
          <w:rFonts w:ascii="Times New Roman" w:hAnsi="Times New Roman" w:eastAsia="Times New Roman"/>
        </w:rPr>
        <w:t>The PostgreSQL method is a full logical backup. Point-in-time recovery through WAL archiving is not implemented in the supplied evidence.</w:t>
      </w:r>
    </w:p>
    <w:p>
      <w:pPr>
        <w:pStyle w:val="ListBullet"/>
      </w:pPr>
      <w:r>
        <w:rPr>
          <w:rFonts w:ascii="Times New Roman" w:hAnsi="Times New Roman" w:eastAsia="Times New Roman"/>
        </w:rPr>
        <w:t>Recovery time objective (RTO) and recovery point objective (RPO) are not formally defined or measured.</w:t>
      </w:r>
    </w:p>
    <w:p>
      <w:pPr>
        <w:pStyle w:val="ListBullet"/>
      </w:pPr>
      <w:r>
        <w:rPr>
          <w:rFonts w:ascii="Times New Roman" w:hAnsi="Times New Roman" w:eastAsia="Times New Roman"/>
        </w:rPr>
        <w:t>The MinIO validation sample contains only seven objects totaling 488 bytes, which is sufficient for functional validation but not for large-scale recovery timing.</w:t>
      </w:r>
    </w:p>
    <w:p>
      <w:pPr>
        <w:pStyle w:val="ListBullet"/>
      </w:pPr>
      <w:r>
        <w:rPr>
          <w:rFonts w:ascii="Times New Roman" w:hAnsi="Times New Roman" w:eastAsia="Times New Roman"/>
        </w:rPr>
        <w:t>The tests validate row counts, schema-object counts, and checksums, but do not perform application-level semantic verification of every restored record.</w:t>
      </w:r>
    </w:p>
    <w:p>
      <w:pPr>
        <w:pStyle w:val="ListBullet"/>
      </w:pPr>
      <w:r>
        <w:rPr>
          <w:rFonts w:ascii="Times New Roman" w:hAnsi="Times New Roman" w:eastAsia="Times New Roman"/>
        </w:rPr>
        <w:t>Backup retention, rotation, expiration, and periodic scheduling are not documented in the supplied source.</w:t>
      </w:r>
    </w:p>
    <w:p>
      <w:pPr>
        <w:pStyle w:val="ListBullet"/>
      </w:pPr>
      <w:r>
        <w:rPr>
          <w:rFonts w:ascii="Times New Roman" w:hAnsi="Times New Roman" w:eastAsia="Times New Roman"/>
        </w:rPr>
        <w:t>The earlier evidence files contain an older nine-table PostgreSQL result. This chapter uses the newer detailed 10-table, 19-check validation as the current result.</w:t>
      </w:r>
    </w:p>
    <w:p>
      <w:pPr>
        <w:pStyle w:val="Heading3"/>
      </w:pPr>
      <w:r>
        <w:rPr>
          <w:rFonts w:ascii="Times New Roman" w:hAnsi="Times New Roman" w:eastAsia="Times New Roman"/>
        </w:rPr>
        <w:t>8.1 Interpretation of the two PostgreSQL summaries</w:t>
      </w:r>
    </w:p>
    <w:p>
      <w:r>
        <w:rPr>
          <w:rFonts w:ascii="Times New Roman" w:hAnsi="Times New Roman" w:eastAsia="Times New Roman"/>
        </w:rPr>
        <w:t>The supplied evidence includes an earlier PostgreSQL summary with nine tables and a 52,847,270-byte archive, and a later detailed result with ten tables and a 52,847,810-byte archive. The later test includes the Alembic migration table, verifies constraints and indexes, reports 19 checks, and confirms cleanup. It is therefore treated as the authoritative current result. The earlier artifact should be retained only as historical validation evidence.</w:t>
      </w:r>
    </w:p>
    <w:p>
      <w:pPr>
        <w:pStyle w:val="Heading2"/>
      </w:pPr>
      <w:r>
        <w:rPr>
          <w:rFonts w:ascii="Times New Roman" w:hAnsi="Times New Roman" w:eastAsia="Times New Roman"/>
        </w:rPr>
        <w:t>9. Remote Backup and Disaster-Recovery Recommendations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Priority</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Recommendation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Copy PostgreSQL and MinIO backups to a physically or logically separate remote destination.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Encrypt backup archives and manifests before remote transfer, with keys stored separately.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Define target RPO and RTO values and measure actual backup and restoration durations.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Schedule automatic backups and alert when a job, upload, checksum, or restoration test fails.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Implement backup retention rules with daily, weekly, and monthly generations.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Evaluate PostgreSQL WAL archiving and point-in-time recovery for lower data-loss exposure.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Enable MinIO versioning or an equivalent object-version strategy where operationally appropriate.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 recovery on the final VM and on a second clean host to demonstrate independence from the source environment.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Run periodic large-data recovery tests with representative report sizes and object counts.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Document a recovery runbook with responsible roles, escalation contacts, and acceptance criteria.</w:t>
            </w:r>
          </w:p>
        </w:tc>
      </w:tr>
    </w:tbl>
    <w:p/>
    <w:p>
      <w:pPr>
        <w:pStyle w:val="Heading3"/>
      </w:pPr>
      <w:r>
        <w:rPr>
          <w:rFonts w:ascii="Times New Roman" w:hAnsi="Times New Roman" w:eastAsia="Times New Roman"/>
        </w:rPr>
        <w:t>9.1 Suggested recovery acceptance criteria</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Criterion</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Required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Backup success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Archive or object set created, non-empty, and checksum recorded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Restore success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Fresh isolated target created and restoration completed without error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Database completeness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Tables, constraints, indexes, and exact row counts match</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completeness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count, total size, per-object size, and SHA-256 match</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Application readiness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 starts and representative API queries succeed against the restored environment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Cleanup</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Temporary targets removed and sensitive local test copies controlled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Operational evidence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Timestamped manifest, result CSV, summary, and alert status retained</w:t>
            </w:r>
          </w:p>
        </w:tc>
      </w:tr>
    </w:tbl>
    <w:p/>
    <w:p>
      <w:pPr>
        <w:pStyle w:val="Heading2"/>
      </w:pPr>
      <w:r>
        <w:rPr>
          <w:rFonts w:ascii="Times New Roman" w:hAnsi="Times New Roman" w:eastAsia="Times New Roman"/>
        </w:rPr>
        <w:t>10. Conclusion</w:t>
      </w:r>
    </w:p>
    <w:p>
      <w:r>
        <w:rPr>
          <w:rFonts w:ascii="Times New Roman" w:hAnsi="Times New Roman" w:eastAsia="Times New Roman"/>
        </w:rPr>
        <w:t>The Healthcare Cloud Platform implements and validates two complementary recovery workflows. PostgreSQL recovery uses a compressed custom logical archive, SHA-256 verification, archive readability testing, isolated restoration, structural comparison, exact row-count verification, and cleanup. MinIO recovery uses recursive source inventory, local object copies, manifests, per-object checksums, isolated bucket restoration, count and size comparison, checksum verification, and cleanup.</w:t>
      </w:r>
    </w:p>
    <w:p>
      <w:r>
        <w:rPr>
          <w:rFonts w:ascii="Times New Roman" w:hAnsi="Times New Roman" w:eastAsia="Times New Roman"/>
        </w:rPr>
        <w:t>The current evidence demonstrates exact restoration of 1,581,949 PostgreSQL rows across ten tables and exact restoration of seven MinIO objects. PostgreSQL passed 19 of 19 checks, while MinIO passed 23 of 23 checks. These results justify a local recoverability claim for the measured dataset and configuration.</w:t>
      </w:r>
    </w:p>
    <w:p>
      <w:r>
        <w:rPr>
          <w:rFonts w:ascii="Times New Roman" w:hAnsi="Times New Roman" w:eastAsia="Times New Roman"/>
        </w:rPr>
        <w:t>A complete disaster-recovery claim requires additional controls: remote and encrypted backup copies, scheduled execution, retention rules, defined RPO and RTO targets, recovery timing, point-in-time recovery where required, and validation on a clean remote host. The implemented workflow provides a strong and auditable foundation for those next steps.</w:t>
      </w:r>
    </w:p>
    <w:p>
      <w:r>
        <w:rPr>
          <w:rFonts w:ascii="Times New Roman" w:hAnsi="Times New Roman" w:eastAsia="Times New Roman"/>
        </w:rPr>
        <w:br w:type="page"/>
      </w:r>
    </w:p>
    <w:p>
      <w:pPr>
        <w:pStyle w:val="Heading2"/>
      </w:pPr>
      <w:r>
        <w:rPr>
          <w:rFonts w:ascii="Times New Roman" w:hAnsi="Times New Roman" w:eastAsia="Times New Roman"/>
        </w:rP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Claim or component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Primary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current summary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docs/evidence/postgres_backup_restore_summary.txt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test results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tests/recovery/postgres_backup_restore_results.csv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validation script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tests/recovery/validate_postgres_backup_restore.py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PowerShell workflow</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tests/recovery/validate_postgres_backup_restore.ps1</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current summary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docs/evidence/minio_backup_restore_summary.txt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test results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tests/recovery/minio_backup_restore_results.csv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validation script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tests/recovery/validate_minio_backup_restore.py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wrapper script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tests/recovery/run_minio_recovery_validation.ps1</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Recovery finalization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tests/recovery/finalize_disaster_recovery.ps1</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Persistent storage configuration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docker-compose.prod.yml</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Application object-integrity service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backend/app/services/storage_service.py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Overall validation status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docs/evidence/final_validation_matrix.md</w:t>
            </w:r>
          </w:p>
        </w:tc>
      </w:tr>
    </w:tbl>
    <w:p/>
    <w:p>
      <w:pPr>
        <w:pStyle w:val="Heading2"/>
      </w:pPr>
      <w:r>
        <w:rPr>
          <w:rFonts w:ascii="Times New Roman" w:hAnsi="Times New Roman" w:eastAsia="Times New Roman"/>
        </w:rPr>
        <w:t>Appendix B. Key Recovery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Metric</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Value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archive size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52,847,810 bytes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SHA-256</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2ccded46a6fd14c6ec584bf2bed7fee4c82f37518b5908295ec7184430bbaec3</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public tables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10</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exact rows verified</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1,581,949</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constraints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30</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indexes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50</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objects verified</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7</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total size verified</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488 bytes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Total recovery checks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42</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Failed recovery checks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0</w:t>
            </w:r>
          </w:p>
        </w:tc>
      </w:tr>
    </w:tbl>
    <w:p/>
    <w:p>
      <w:pPr>
        <w:pStyle w:val="Heading1"/>
        <w:pageBreakBefore w:val="1"/>
        <w:keepNext/>
      </w:pPr>
      <w:r>
        <w:rPr>
          <w:rFonts w:ascii="Times New Roman" w:hAnsi="Times New Roman" w:eastAsia="Times New Roman"/>
        </w:rPr>
        <w:t>Chapter 8. Cloud Deployment Architecture and Production Readiness</w:t>
      </w:r>
    </w:p>
    <w:p>
      <w:pPr>
        <w:pStyle w:val="Heading2"/>
      </w:pPr>
      <w:r>
        <w:rPr>
          <w:rFonts w:ascii="Times New Roman" w:hAnsi="Times New Roman" w:eastAsia="Times New Roman"/>
        </w:rPr>
        <w:t>Executive Summary</w:t>
      </w:r>
    </w:p>
    <w:p>
      <w:r>
        <w:rPr>
          <w:rFonts w:ascii="Times New Roman" w:hAnsi="Times New Roman" w:eastAsia="Times New Roman"/>
        </w:rPr>
        <w:t>The Healthcare Cloud Platform has been packaged as a four-service production stack composed of Nginx, a FastAPI backend, PostgreSQL 16, and MinIO. The backend is built from a Python 3.11 slim image and starts Uvicorn with four workers, a five-second keep-alive timeout, and server-header suppression. Nginx is the only service mapped to a host port, exposing localhost port 8080 and forwarding requests to the backend.</w:t>
      </w:r>
    </w:p>
    <w:p>
      <w:r>
        <w:rPr>
          <w:rFonts w:ascii="Times New Roman" w:hAnsi="Times New Roman" w:eastAsia="Times New Roman"/>
        </w:rPr>
        <w:t>The deployment uses two Docker networks. The edge network connects Nginx and the backend. The internal data network connects the backend, PostgreSQL, and MinIO. PostgreSQL and MinIO are not published to the host. Named volumes preserve relational and object-storage data across ordinary container recreation.</w:t>
      </w:r>
    </w:p>
    <w:p>
      <w:r>
        <w:rPr>
          <w:rFonts w:ascii="Times New Roman" w:hAnsi="Times New Roman" w:eastAsia="Times New Roman"/>
        </w:rPr>
        <w:t>The running production snapshot shows all four containers active, with the backend and PostgreSQL reported as healthy. The final project matrix reports seven passing validation domains with no failed, pending, or review items. This supports a local production-readiness claim for the tested Docker environment.</w:t>
      </w:r>
    </w:p>
    <w:p>
      <w:r>
        <w:rPr>
          <w:rFonts w:ascii="Times New Roman" w:hAnsi="Times New Roman" w:eastAsia="Times New Roman"/>
        </w:rPr>
        <w:t>The platform has not yet been deployed as an Internet-facing service because the planned UESTC virtual machine has not been released. Remote deployment is the second experimental validation phase and will include HTTPS, domain and firewall configuration, remote secret rotation, off-host backups, monitoring, and repetition of the complete test suite.</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Component</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Technology</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Deployment state</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 status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Reverse proxy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Nginx stable-alpine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Host port 8080 to container port 80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Running</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Application</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Python 3.11 / FastAPI / Uvicorn</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Internal port 8000; 4 workers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Healthy</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Database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16</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Internal data network; named volume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Healthy</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Object storage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MinIO latest image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Internal data network; named volume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Running</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Validation</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 domains</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7 PASS; 0 FAIL; 0 PENDING; 0 REVIEW</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pPr>
        <w:pStyle w:val="Heading2"/>
      </w:pPr>
      <w:r>
        <w:rPr>
          <w:rFonts w:ascii="Times New Roman" w:hAnsi="Times New Roman" w:eastAsia="Times New Roman"/>
        </w:rPr>
        <w:t>1. Deployment Objectives and Status Terminology</w:t>
      </w:r>
    </w:p>
    <w:p>
      <w:r>
        <w:rPr>
          <w:rFonts w:ascii="Times New Roman" w:hAnsi="Times New Roman" w:eastAsia="Times New Roman"/>
        </w:rPr>
        <w:t>The deployment design aims to provide a reproducible application environment, isolate persistence services from direct external access, preserve data across container recreation, expose a single controlled HTTP entry point, and support automated service readiness and restart behavior.</w:t>
      </w:r>
    </w:p>
    <w:p>
      <w:pPr>
        <w:pStyle w:val="ListBullet"/>
      </w:pPr>
      <w:r>
        <w:rPr>
          <w:rFonts w:ascii="Times New Roman" w:hAnsi="Times New Roman" w:eastAsia="Times New Roman"/>
        </w:rPr>
        <w:t>Reproducibility: the application image and service topology are declared in version-controlled files.</w:t>
      </w:r>
    </w:p>
    <w:p>
      <w:pPr>
        <w:pStyle w:val="ListBullet"/>
      </w:pPr>
      <w:r>
        <w:rPr>
          <w:rFonts w:ascii="Times New Roman" w:hAnsi="Times New Roman" w:eastAsia="Times New Roman"/>
        </w:rPr>
        <w:t>Isolation: PostgreSQL and MinIO are restricted to an internal Docker network.</w:t>
      </w:r>
    </w:p>
    <w:p>
      <w:pPr>
        <w:pStyle w:val="ListBullet"/>
      </w:pPr>
      <w:r>
        <w:rPr>
          <w:rFonts w:ascii="Times New Roman" w:hAnsi="Times New Roman" w:eastAsia="Times New Roman"/>
        </w:rPr>
        <w:t>Availability: health checks and restart policies support service recovery after process or host restart.</w:t>
      </w:r>
    </w:p>
    <w:p>
      <w:pPr>
        <w:pStyle w:val="ListBullet"/>
      </w:pPr>
      <w:r>
        <w:rPr>
          <w:rFonts w:ascii="Times New Roman" w:hAnsi="Times New Roman" w:eastAsia="Times New Roman"/>
        </w:rPr>
        <w:t>Persistence: named Docker volumes protect data from normal container replacement.</w:t>
      </w:r>
    </w:p>
    <w:p>
      <w:pPr>
        <w:pStyle w:val="ListBullet"/>
      </w:pPr>
      <w:r>
        <w:rPr>
          <w:rFonts w:ascii="Times New Roman" w:hAnsi="Times New Roman" w:eastAsia="Times New Roman"/>
        </w:rPr>
        <w:t>Traceability: Git history, tags, release artifacts, and validation evidence record the deployed state.</w:t>
      </w:r>
    </w:p>
    <w:p>
      <w:pPr>
        <w:pStyle w:val="Heading3"/>
      </w:pPr>
      <w:r>
        <w:rPr>
          <w:rFonts w:ascii="Times New Roman" w:hAnsi="Times New Roman" w:eastAsia="Times New Roman"/>
        </w:rPr>
        <w:t>1.1 Distinguishing three deployment states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Definition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Project status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Development-ready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Application runs for coding and local debugging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Completed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Local production-ready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Production Compose stack runs with hardening and validation on the local host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Completed and validated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Remote cloud-deployed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Stack runs on a remote VM with domain, TLS, firewall, remote backups, and external validation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Not yet completed</w:t>
            </w:r>
          </w:p>
        </w:tc>
      </w:tr>
    </w:tbl>
    <w:p/>
    <w:p>
      <w:r>
        <w:rPr>
          <w:rFonts w:ascii="Times New Roman" w:hAnsi="Times New Roman" w:eastAsia="Times New Roman"/>
        </w:rPr>
        <w:t>The term cloud-ready is appropriate because the platform is containerized, environment-driven, network-segmented, persistent, health-checked, and versioned. The term cloud-deployed would be premature until the remote VM is available and the stack is installed and validated there.</w:t>
      </w:r>
    </w:p>
    <w:p>
      <w:pPr>
        <w:pStyle w:val="Heading2"/>
      </w:pPr>
      <w:r>
        <w:rPr>
          <w:rFonts w:ascii="Times New Roman" w:hAnsi="Times New Roman" w:eastAsia="Times New Roman"/>
        </w:rPr>
        <w:t>2. Production Container Architecture</w:t>
      </w:r>
    </w:p>
    <w:p>
      <w:pPr>
        <w:jc w:val="center"/>
      </w:pPr>
      <w:r>
        <w:rPr>
          <w:rFonts w:ascii="Times New Roman" w:hAnsi="Times New Roman" w:eastAsia="Times New Roman"/>
        </w:rPr>
        <w:drawing>
          <wp:inline xmlns:a="http://schemas.openxmlformats.org/drawingml/2006/main" xmlns:pic="http://schemas.openxmlformats.org/drawingml/2006/picture">
            <wp:extent cx="6217920" cy="3824326"/>
            <wp:docPr id="24" name="Picture 1"/>
            <wp:cNvGraphicFramePr>
              <a:graphicFrameLocks noChangeAspect="1"/>
            </wp:cNvGraphicFramePr>
            <a:graphic>
              <a:graphicData uri="http://schemas.openxmlformats.org/drawingml/2006/picture">
                <pic:pic>
                  <pic:nvPicPr>
                    <pic:cNvPr id="24" name="local_production_topology.png"/>
                    <pic:cNvPicPr/>
                  </pic:nvPicPr>
                  <pic:blipFill>
                    <a:blip r:embed="rId37"/>
                    <a:stretch>
                      <a:fillRect/>
                    </a:stretch>
                  </pic:blipFill>
                  <pic:spPr>
                    <a:xfrm>
                      <a:off x="0" y="0"/>
                      <a:ext cx="6217920" cy="3824326"/>
                    </a:xfrm>
                    <a:prstGeom prst="rect"/>
                  </pic:spPr>
                </pic:pic>
              </a:graphicData>
            </a:graphic>
          </wp:inline>
        </w:drawing>
      </w:r>
    </w:p>
    <w:p>
      <w:pPr>
        <w:pStyle w:val="AcademicCaption"/>
      </w:pPr>
      <w:r>
        <w:rPr>
          <w:rFonts w:ascii="Times New Roman" w:hAnsi="Times New Roman" w:eastAsia="Times New Roman"/>
        </w:rPr>
        <w:t>Figure 1. Validated local production container topology.</w:t>
      </w:r>
    </w:p>
    <w:p>
      <w:r>
        <w:rPr>
          <w:rFonts w:ascii="Times New Roman" w:hAnsi="Times New Roman" w:eastAsia="Times New Roman"/>
        </w:rPr>
        <w:t>The Compose file defines four services. Nginx occupies the external boundary, the backend mediates all business logic and persistence access, PostgreSQL stores structured healthcare data, and MinIO stores binary reports and attachments. The architecture deliberately avoids publishing PostgreSQL port 5432 and MinIO port 9000 to the host.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Service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Image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Port exposure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Networks</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Function</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nginx</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nginx:stable-alpine</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8080:80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edge</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Reverse proxy and external entry point</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backend</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locally built image</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8000 exposed to containers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edge + data</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FastAPI application and service mediation</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postgres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postgres:16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No host mapping</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data</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Relational persistence</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minio</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minio/minio:latest</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No host mapping</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data</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Binary object storage</w:t>
            </w:r>
          </w:p>
        </w:tc>
      </w:tr>
    </w:tbl>
    <w:p/>
    <w:p>
      <w:pPr>
        <w:pStyle w:val="Heading2"/>
      </w:pPr>
      <w:r>
        <w:rPr>
          <w:rFonts w:ascii="Times New Roman" w:hAnsi="Times New Roman" w:eastAsia="Times New Roman"/>
        </w:rPr>
        <w:t>3. Nginx Reverse-Proxy Configuration</w:t>
      </w:r>
    </w:p>
    <w:p>
      <w:r>
        <w:rPr>
          <w:rFonts w:ascii="Times New Roman" w:hAnsi="Times New Roman" w:eastAsia="Times New Roman"/>
        </w:rPr>
        <w:t>Nginx listens on container port 80 and accepts any host name through server_name _. It forwards all request paths to backend:8000 using HTTP/1.1. The proxy preserves the original Host header and adds X-Real-IP, X-Forwarded-For, and X-Forwarded-Proto so that the application can record request context and determine the originating protocol.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Control</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Configured value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Operational purpose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Client upload limit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25 MB</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Allows diagnostic files while bounding request size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Connection timeout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10 seconds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Limits backend connection establishment delay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Send timeout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60 seconds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Bounds time spent transmitting a proxied request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Read timeout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60 seconds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Bounds time waiting for the backend response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Security headers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nosniff, DENY, no-referrer, restricted permissions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Adds edge-layer browser protections</w:t>
            </w:r>
          </w:p>
        </w:tc>
      </w:tr>
    </w:tbl>
    <w:p/>
    <w:p>
      <w:pPr>
        <w:pStyle w:val="Heading3"/>
      </w:pPr>
      <w:r>
        <w:rPr>
          <w:rFonts w:ascii="Times New Roman" w:hAnsi="Times New Roman" w:eastAsia="Times New Roman"/>
        </w:rPr>
        <w:t>3.1 Current limitation: HTTP only</w:t>
      </w:r>
    </w:p>
    <w:p>
      <w:r>
        <w:rPr>
          <w:rFonts w:ascii="Times New Roman" w:hAnsi="Times New Roman" w:eastAsia="Times New Roman"/>
        </w:rPr>
        <w:t>The supplied Nginx configuration listens only on HTTP port 80 inside the container, and the local host mapping uses port 8080. No certificate, TLS listener, HTTP-to-HTTPS redirect, or automated certificate renewal is configured. This is acceptable for isolated localhost validation, but not for transmitting healthcare data over an untrusted network.</w:t>
      </w:r>
    </w:p>
    <w:p>
      <w:pPr>
        <w:pStyle w:val="Heading2"/>
      </w:pPr>
      <w:r>
        <w:rPr>
          <w:rFonts w:ascii="Times New Roman" w:hAnsi="Times New Roman" w:eastAsia="Times New Roman"/>
        </w:rPr>
        <w:t>4. FastAPI Backend Container</w:t>
      </w:r>
    </w:p>
    <w:p>
      <w:r>
        <w:rPr>
          <w:rFonts w:ascii="Times New Roman" w:hAnsi="Times New Roman" w:eastAsia="Times New Roman"/>
        </w:rPr>
        <w:t>The backend image is based on python:3.11-slim. The build installs packages from requirements.txt, copies the application, copies Alembic migration files, and starts Uvicorn directly.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Backend property</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 configuration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Base image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python:3.11-slim</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Application server</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Uvicorn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Bind address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0.0.0.0:8000</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Workers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4</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Keep-alive timeout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5 seconds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Server header</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Disabled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Migration artifacts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alembic directory and alembic.ini included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Current Alembic revision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685666386ae6 (head)</w:t>
            </w:r>
          </w:p>
        </w:tc>
      </w:tr>
    </w:tbl>
    <w:p/>
    <w:p>
      <w:pPr>
        <w:pStyle w:val="Heading3"/>
      </w:pPr>
      <w:r>
        <w:rPr>
          <w:rFonts w:ascii="Times New Roman" w:hAnsi="Times New Roman" w:eastAsia="Times New Roman"/>
        </w:rPr>
        <w:t>4.1 Dependency packaging</w:t>
      </w:r>
    </w:p>
    <w:p>
      <w:r>
        <w:rPr>
          <w:rFonts w:ascii="Times New Roman" w:hAnsi="Times New Roman" w:eastAsia="Times New Roman"/>
        </w:rPr>
        <w:t>The requirements file includes FastAPI, Uvicorn, SQLAlchemy, psycopg2-binary, Alembic, Pydantic, JWT and password libraries, multipart handling, and the MinIO client. passlib and bcrypt are pinned to explicit versions, while most other packages are not pinned.</w:t>
      </w:r>
    </w:p>
    <w:p>
      <w:r>
        <w:rPr>
          <w:rFonts w:ascii="Times New Roman" w:hAnsi="Times New Roman" w:eastAsia="Times New Roman"/>
        </w:rPr>
        <w:t>Unpinned production dependencies reduce build reproducibility because a later image rebuild may resolve different package versions. A production hardening step should lock all direct and transitive dependencies, record hashes where practical, and scan the resulting image.</w:t>
      </w:r>
    </w:p>
    <w:p>
      <w:pPr>
        <w:pStyle w:val="Heading3"/>
      </w:pPr>
      <w:r>
        <w:rPr>
          <w:rFonts w:ascii="Times New Roman" w:hAnsi="Times New Roman" w:eastAsia="Times New Roman"/>
        </w:rPr>
        <w:t>4.2 Health check</w:t>
      </w:r>
    </w:p>
    <w:p>
      <w:r>
        <w:rPr>
          <w:rFonts w:ascii="Times New Roman" w:hAnsi="Times New Roman" w:eastAsia="Times New Roman"/>
        </w:rPr>
        <w:t>The backend health check calls http://localhost:8000/health from inside the container every 15 seconds. It allows a 20-second startup period, a seven-second timeout, and five retries. Nginx does not start until the backend becomes healthy.</w:t>
      </w:r>
    </w:p>
    <w:p>
      <w:pPr>
        <w:pStyle w:val="Heading2"/>
      </w:pPr>
      <w:r>
        <w:rPr>
          <w:rFonts w:ascii="Times New Roman" w:hAnsi="Times New Roman" w:eastAsia="Times New Roman"/>
        </w:rPr>
        <w:t>5. PostgreSQL and MinIO Services</w:t>
      </w:r>
    </w:p>
    <w:p>
      <w:pPr>
        <w:pStyle w:val="Heading3"/>
      </w:pPr>
      <w:r>
        <w:rPr>
          <w:rFonts w:ascii="Times New Roman" w:hAnsi="Times New Roman" w:eastAsia="Times New Roman"/>
        </w:rPr>
        <w:t>5.1 PostgreSQL</w:t>
      </w:r>
    </w:p>
    <w:p>
      <w:r>
        <w:rPr>
          <w:rFonts w:ascii="Times New Roman" w:hAnsi="Times New Roman" w:eastAsia="Times New Roman"/>
        </w:rPr>
        <w:t>PostgreSQL uses the postgres:16 image and loads its configuration from .env.production. Its data directory is attached to the postgres_prod_data named volume. The health check runs pg_isready against healthcare_cloud_db using healthcare_prod_user every 10 seconds, with five retries and a 10-second startup period.</w:t>
      </w:r>
    </w:p>
    <w:p>
      <w:r>
        <w:rPr>
          <w:rFonts w:ascii="Times New Roman" w:hAnsi="Times New Roman" w:eastAsia="Times New Roman"/>
        </w:rPr>
        <w:t>The database is not exposed through a host port. Only services attached to the internal data network can reach it. This materially reduces the attack surface compared with publishing port 5432 on the VM.</w:t>
      </w:r>
    </w:p>
    <w:p>
      <w:pPr>
        <w:pStyle w:val="Heading3"/>
      </w:pPr>
      <w:r>
        <w:rPr>
          <w:rFonts w:ascii="Times New Roman" w:hAnsi="Times New Roman" w:eastAsia="Times New Roman"/>
        </w:rPr>
        <w:t>5.2 MinIO</w:t>
      </w:r>
    </w:p>
    <w:p>
      <w:r>
        <w:rPr>
          <w:rFonts w:ascii="Times New Roman" w:hAnsi="Times New Roman" w:eastAsia="Times New Roman"/>
        </w:rPr>
        <w:t>MinIO uses minio/minio:latest and starts the object server on port 9000 with the administrative console configured on port 9001. The minio_prod_data named volume stores persistent objects. The service is attached only to the internal data network and has no host port mapping in the production Compose file.</w:t>
      </w:r>
    </w:p>
    <w:p>
      <w:r>
        <w:rPr>
          <w:rFonts w:ascii="Times New Roman" w:hAnsi="Times New Roman" w:eastAsia="Times New Roman"/>
        </w:rPr>
        <w:t>The use of the latest image tag is a reproducibility and supply-chain risk. A future rebuild can pull a different MinIO version without an explicit change to the repository. The deployment should pin MinIO to a tested immutable version or digest.</w:t>
      </w:r>
    </w:p>
    <w:p>
      <w:pPr>
        <w:pStyle w:val="Heading2"/>
      </w:pPr>
      <w:r>
        <w:rPr>
          <w:rFonts w:ascii="Times New Roman" w:hAnsi="Times New Roman" w:eastAsia="Times New Roman"/>
        </w:rPr>
        <w:t>6. Networks, Health Checks, and Restart Behavior</w:t>
      </w:r>
    </w:p>
    <w:p>
      <w:pPr>
        <w:jc w:val="center"/>
      </w:pPr>
      <w:r>
        <w:rPr>
          <w:rFonts w:ascii="Times New Roman" w:hAnsi="Times New Roman" w:eastAsia="Times New Roman"/>
        </w:rPr>
        <w:drawing>
          <wp:inline xmlns:a="http://schemas.openxmlformats.org/drawingml/2006/main" xmlns:pic="http://schemas.openxmlformats.org/drawingml/2006/picture">
            <wp:extent cx="5852160" cy="3849827"/>
            <wp:docPr id="25" name="Picture 2"/>
            <wp:cNvGraphicFramePr>
              <a:graphicFrameLocks noChangeAspect="1"/>
            </wp:cNvGraphicFramePr>
            <a:graphic>
              <a:graphicData uri="http://schemas.openxmlformats.org/drawingml/2006/picture">
                <pic:pic>
                  <pic:nvPicPr>
                    <pic:cNvPr id="25" name="startup_dependencies.png"/>
                    <pic:cNvPicPr/>
                  </pic:nvPicPr>
                  <pic:blipFill>
                    <a:blip r:embed="rId38"/>
                    <a:stretch>
                      <a:fillRect/>
                    </a:stretch>
                  </pic:blipFill>
                  <pic:spPr>
                    <a:xfrm>
                      <a:off x="0" y="0"/>
                      <a:ext cx="5852160" cy="3849827"/>
                    </a:xfrm>
                    <a:prstGeom prst="rect"/>
                  </pic:spPr>
                </pic:pic>
              </a:graphicData>
            </a:graphic>
          </wp:inline>
        </w:drawing>
      </w:r>
    </w:p>
    <w:p>
      <w:pPr>
        <w:pStyle w:val="AcademicCaption"/>
      </w:pPr>
      <w:r>
        <w:rPr>
          <w:rFonts w:ascii="Times New Roman" w:hAnsi="Times New Roman" w:eastAsia="Times New Roman"/>
        </w:rPr>
        <w:t>Figure 2. Container startup and readiness dependencies.</w:t>
      </w:r>
    </w:p>
    <w:p>
      <w:pPr>
        <w:pStyle w:val="Heading3"/>
      </w:pPr>
      <w:r>
        <w:rPr>
          <w:rFonts w:ascii="Times New Roman" w:hAnsi="Times New Roman" w:eastAsia="Times New Roman"/>
        </w:rPr>
        <w:t>6.1 Network segmentation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Network</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Connected services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Security purpose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edge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Nginx and backend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External request path</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Backend, PostgreSQL, MinIO</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Internal persistence path</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data internal flag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true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Prevents direct external routing to data-network services</w:t>
            </w:r>
          </w:p>
        </w:tc>
      </w:tr>
    </w:tbl>
    <w:p/>
    <w:p>
      <w:pPr>
        <w:pStyle w:val="Heading3"/>
      </w:pPr>
      <w:r>
        <w:rPr>
          <w:rFonts w:ascii="Times New Roman" w:hAnsi="Times New Roman" w:eastAsia="Times New Roman"/>
        </w:rPr>
        <w:t>6.2 Dependency semantics</w:t>
      </w:r>
    </w:p>
    <w:p>
      <w:r>
        <w:rPr>
          <w:rFonts w:ascii="Times New Roman" w:hAnsi="Times New Roman" w:eastAsia="Times New Roman"/>
        </w:rPr>
        <w:t>The backend waits for PostgreSQL to become healthy and for MinIO to reach the service_started state. Nginx waits for the backend to become healthy. This ordering reduces failed startup attempts. However, service_started is weaker than a MinIO readiness check, so the backend can start before MinIO has been functionally verified.</w:t>
      </w:r>
    </w:p>
    <w:p>
      <w:pPr>
        <w:pStyle w:val="Heading3"/>
      </w:pPr>
      <w:r>
        <w:rPr>
          <w:rFonts w:ascii="Times New Roman" w:hAnsi="Times New Roman" w:eastAsia="Times New Roman"/>
        </w:rPr>
        <w:t>6.3 Restart policy</w:t>
      </w:r>
    </w:p>
    <w:p>
      <w:r>
        <w:rPr>
          <w:rFonts w:ascii="Times New Roman" w:hAnsi="Times New Roman" w:eastAsia="Times New Roman"/>
        </w:rPr>
        <w:t>All four services use restart: unless-stopped. Docker therefore restarts them after unexpected termination or host restart unless an administrator deliberately stopped the service. This improves basic resilience but does not replace orchestration, alerting, or automated failover.</w:t>
      </w:r>
    </w:p>
    <w:p>
      <w:pPr>
        <w:pStyle w:val="Heading2"/>
      </w:pPr>
      <w:r>
        <w:rPr>
          <w:rFonts w:ascii="Times New Roman" w:hAnsi="Times New Roman" w:eastAsia="Times New Roman"/>
        </w:rPr>
        <w:t>7. Persistent Storage and Environment Management</w:t>
      </w:r>
    </w:p>
    <w:p>
      <w:pPr>
        <w:pStyle w:val="Heading3"/>
      </w:pPr>
      <w:r>
        <w:rPr>
          <w:rFonts w:ascii="Times New Roman" w:hAnsi="Times New Roman" w:eastAsia="Times New Roman"/>
        </w:rPr>
        <w:t>7.1 Named volumes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Volume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Container mount</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Purpose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postgres_prod_data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/var/lib/postgresql/data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PostgreSQL database cluster</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minio_prod_data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 object data</w:t>
            </w:r>
          </w:p>
        </w:tc>
      </w:tr>
    </w:tbl>
    <w:p/>
    <w:p>
      <w:r>
        <w:rPr>
          <w:rFonts w:ascii="Times New Roman" w:hAnsi="Times New Roman" w:eastAsia="Times New Roman"/>
        </w:rPr>
        <w:t>Named volumes preserve data when a container is recreated. They remain local to the Docker host, so independent backup and recovery procedures remain necessary for host-level disaster recovery.</w:t>
      </w:r>
    </w:p>
    <w:p>
      <w:pPr>
        <w:pStyle w:val="Heading3"/>
      </w:pPr>
      <w:r>
        <w:rPr>
          <w:rFonts w:ascii="Times New Roman" w:hAnsi="Times New Roman" w:eastAsia="Times New Roman"/>
        </w:rPr>
        <w:t>7.2 Production environment file</w:t>
      </w:r>
    </w:p>
    <w:p>
      <w:r>
        <w:rPr>
          <w:rFonts w:ascii="Times New Roman" w:hAnsi="Times New Roman" w:eastAsia="Times New Roman"/>
        </w:rPr>
        <w:t>The production services read .env.production, while the repository includes .env.production.example with placeholders for PostgreSQL, JWT, and MinIO secrets. The example sets APP_ENV=production, APP_DEBUG=false, DOCS_ENABLED=false, a 30-minute JWT lifetime, and explicit CORS and allowed-host values.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Configuration group</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Variables represented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Application mode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APP_ENV=production; APP_DEBUG=false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Database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user, password, database, host, port, and DATABASE_URL</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Authentication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JWT secret, algorithm, and token lifetime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storage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endpoint, root credentials, bucket, and secure flag</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HTTP policy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Documentation disabled, CORS origins, allowed hosts</w:t>
            </w:r>
          </w:p>
        </w:tc>
      </w:tr>
    </w:tbl>
    <w:p/>
    <w:p>
      <w:pPr>
        <w:pStyle w:val="Heading3"/>
      </w:pPr>
      <w:r>
        <w:rPr>
          <w:rFonts w:ascii="Times New Roman" w:hAnsi="Times New Roman" w:eastAsia="Times New Roman"/>
        </w:rPr>
        <w:t>7.3 Secret-management limitations</w:t>
      </w:r>
    </w:p>
    <w:p>
      <w:r>
        <w:rPr>
          <w:rFonts w:ascii="Times New Roman" w:hAnsi="Times New Roman" w:eastAsia="Times New Roman"/>
        </w:rPr>
        <w:t>Environment files are appropriate for a controlled prototype, but they are not a dedicated secret management system. The remote deployment should generate new high-entropy values, restrict file permissions, exclude real secret files from Git, and document rotation and incident-response procedures.</w:t>
      </w:r>
    </w:p>
    <w:p>
      <w:pPr>
        <w:pStyle w:val="Heading3"/>
      </w:pPr>
      <w:r>
        <w:rPr>
          <w:rFonts w:ascii="Times New Roman" w:hAnsi="Times New Roman" w:eastAsia="Times New Roman"/>
        </w:rPr>
        <w:t>7.4 Docker build context</w:t>
      </w:r>
    </w:p>
    <w:p>
      <w:r>
        <w:rPr>
          <w:rFonts w:ascii="Times New Roman" w:hAnsi="Times New Roman" w:eastAsia="Times New Roman"/>
        </w:rPr>
        <w:t>A backend-specific .dockerignore excludes virtual environments, caches, test artifacts, logs, and environment files. A root-level .dockerignore was not present in the supplied evidence. The current backend build context is ./backend, so the backend .dockerignore applies to that image. A root-level ignore file would still be useful for future root-context images and repository hygiene.</w:t>
      </w:r>
    </w:p>
    <w:p>
      <w:pPr>
        <w:pStyle w:val="Heading2"/>
      </w:pPr>
      <w:r>
        <w:rPr>
          <w:rFonts w:ascii="Times New Roman" w:hAnsi="Times New Roman" w:eastAsia="Times New Roman"/>
        </w:rPr>
        <w:t>8. Version Control and Release Evidence</w:t>
      </w:r>
    </w:p>
    <w:p>
      <w:r>
        <w:rPr>
          <w:rFonts w:ascii="Times New Roman" w:hAnsi="Times New Roman" w:eastAsia="Times New Roman"/>
        </w:rPr>
        <w:t>The repository is hosted on GitHub under rayhanatou-dot/HealthcareCloudPlatform.git. The recorded history includes commits for production Docker isolation, complete validation, evidence organization, architecture documentation, and four thesis chapters.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Commit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Recorded change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5962739</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backup recovery and data resilience thesis chapter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e618828</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performance scalability and cost efficiency thesis chapter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58d31e8</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security architecture and validation thesis chapter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1984233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system design and implementation thesis chapter</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bd39e4a</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Complete MinIO lifecycle validation and final project verification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202320f</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Complete production validation, security, recovery and performance testing</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a99d3d3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Add isolated production Docker configuration</w:t>
            </w:r>
          </w:p>
        </w:tc>
      </w:tr>
    </w:tbl>
    <w:p/>
    <w:p>
      <w:pPr>
        <w:pStyle w:val="Heading3"/>
      </w:pPr>
      <w:r>
        <w:rPr>
          <w:rFonts w:ascii="Times New Roman" w:hAnsi="Times New Roman" w:eastAsia="Times New Roman"/>
        </w:rPr>
        <w:t>8.1 Tags and release state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Tag</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Interpretation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v1.0.0-local-production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Marks the local production release state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validated-platform-2026-07-30</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Marks the validated platform snapshot</w:t>
            </w:r>
          </w:p>
        </w:tc>
      </w:tr>
    </w:tbl>
    <w:p/>
    <w:p>
      <w:r>
        <w:rPr>
          <w:rFonts w:ascii="Times New Roman" w:hAnsi="Times New Roman" w:eastAsia="Times New Roman"/>
        </w:rPr>
        <w:t>The local-production tag is correctly scoped. It does not imply that the release was deployed to a remote public cloud environment.</w:t>
      </w:r>
    </w:p>
    <w:p>
      <w:pPr>
        <w:pStyle w:val="Heading2"/>
      </w:pPr>
      <w:r>
        <w:rPr>
          <w:rFonts w:ascii="Times New Roman" w:hAnsi="Times New Roman" w:eastAsia="Times New Roman"/>
        </w:rPr>
        <w:t>9. Local Production-Readiness Evidence</w:t>
      </w:r>
    </w:p>
    <w:p>
      <w:r>
        <w:rPr>
          <w:rFonts w:ascii="Times New Roman" w:hAnsi="Times New Roman" w:eastAsia="Times New Roman"/>
        </w:rPr>
        <w:t>The captured production status shows Nginx, backend, PostgreSQL, and MinIO running for approximately eight hours. The backend and PostgreSQL were reported healthy. Nginx exposed host port 8080, while the backend, database, and object store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Validation domain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Measured result</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Production HTTP security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17/17</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strict audit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end-to-end storage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10/10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 service lifecycle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4/4</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PostgreSQL backup and restore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19/19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 backup and restore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23/23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Optimized 200-user load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0 failures; 146.77 RPS; P95 110 ms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completed local matrix reports seven passing domains and no failures, pending items, or review items. This closes Phase I only. Phase II remains pending as an external infrastructure dependency and will generate a separate remote validation matrix.</w:t>
      </w:r>
    </w:p>
    <w:p>
      <w:pPr>
        <w:pStyle w:val="Heading2"/>
      </w:pPr>
      <w:r>
        <w:rPr>
          <w:rFonts w:ascii="Times New Roman" w:hAnsi="Times New Roman" w:eastAsia="Times New Roman"/>
        </w:rPr>
        <w:t>10. Planned UESTC VM Experimental Validation</w:t>
      </w:r>
    </w:p>
    <w:p>
      <w:pPr/>
      <w:r>
        <w:rPr>
          <w:rFonts w:ascii="Times New Roman" w:hAnsi="Times New Roman" w:eastAsia="Times New Roman"/>
        </w:rPr>
        <w:t>For this research, the proposed UESTC VM represents the target resource-constrained environment: a modest single virtual machine expected to host the reverse proxy, application backend, relational database, and object storage without proprietary platform services. The following VM profile is a deployment recommendation derived from the observed architecture and validated workload. It is not a specification supplied by UESTC and must be confirmed before final resource and cost conclusions are reported.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VM property</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Recommended profile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Operating system</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Ubuntu Server 22.04 LTS or 24.04 LTS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CPU</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Minimum 2 vCPU; preferred 4 vCPU for the current four-worker backend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Memory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Minimum 4 GB; preferred 8 GB for database, object storage, proxy, and operating-system headroom</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Storage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At least 50 GB persistent disk, increased according to dataset and backup retention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Network</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Public IP or institutionally routable address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Inbound ports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22 for SSH, 80 for certificate provisioning or redirect, 443 for production HTTPS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Privileges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Permission to install and operate Docker Engine and Docker Compose</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943600" cy="3675738"/>
            <wp:docPr id="26" name="Picture 3"/>
            <wp:cNvGraphicFramePr>
              <a:graphicFrameLocks noChangeAspect="1"/>
            </wp:cNvGraphicFramePr>
            <a:graphic>
              <a:graphicData uri="http://schemas.openxmlformats.org/drawingml/2006/picture">
                <pic:pic>
                  <pic:nvPicPr>
                    <pic:cNvPr id="26" name="remote_vm_profile.png"/>
                    <pic:cNvPicPr/>
                  </pic:nvPicPr>
                  <pic:blipFill>
                    <a:blip r:embed="rId39"/>
                    <a:stretch>
                      <a:fillRect/>
                    </a:stretch>
                  </pic:blipFill>
                  <pic:spPr>
                    <a:xfrm>
                      <a:off x="0" y="0"/>
                      <a:ext cx="5943600" cy="3675738"/>
                    </a:xfrm>
                    <a:prstGeom prst="rect"/>
                  </pic:spPr>
                </pic:pic>
              </a:graphicData>
            </a:graphic>
          </wp:inline>
        </w:drawing>
      </w:r>
    </w:p>
    <w:p>
      <w:pPr>
        <w:pStyle w:val="AcademicCaption"/>
      </w:pPr>
      <w:r>
        <w:rPr>
          <w:rFonts w:ascii="Times New Roman" w:hAnsi="Times New Roman" w:eastAsia="Times New Roman"/>
        </w:rPr>
        <w:t>Figure 3. Recommended remote VM deployment profile. Values are proposed engineering requirements, not confirmed UESTC allocations.</w:t>
      </w:r>
    </w:p>
    <w:p>
      <w:pPr>
        <w:pStyle w:val="Heading3"/>
      </w:pPr>
      <w:r>
        <w:rPr>
          <w:rFonts w:ascii="Times New Roman" w:hAnsi="Times New Roman" w:eastAsia="Times New Roman"/>
        </w:rPr>
        <w:t>10.1 Planned remote deployment and validation sequence</w:t>
      </w:r>
    </w:p>
    <w:p>
      <w:pPr>
        <w:pStyle w:val="ListNumber"/>
      </w:pPr>
      <w:r>
        <w:rPr>
          <w:rFonts w:ascii="Times New Roman" w:hAnsi="Times New Roman" w:eastAsia="Times New Roman"/>
        </w:rPr>
        <w:t>Provision the Ubuntu VM, create an administrative account, configure SSH keys, and apply operating-system updates.</w:t>
      </w:r>
    </w:p>
    <w:p>
      <w:pPr>
        <w:pStyle w:val="ListNumber"/>
      </w:pPr>
      <w:r>
        <w:rPr>
          <w:rFonts w:ascii="Times New Roman" w:hAnsi="Times New Roman" w:eastAsia="Times New Roman"/>
        </w:rPr>
        <w:t>Install Docker Engine and the Docker Compose plugin.</w:t>
      </w:r>
    </w:p>
    <w:p>
      <w:pPr>
        <w:pStyle w:val="ListNumber"/>
      </w:pPr>
      <w:r>
        <w:rPr>
          <w:rFonts w:ascii="Times New Roman" w:hAnsi="Times New Roman" w:eastAsia="Times New Roman"/>
        </w:rPr>
        <w:t>Clone the GitHub repository at the intended release tag or verified commit.</w:t>
      </w:r>
    </w:p>
    <w:p>
      <w:pPr>
        <w:pStyle w:val="ListNumber"/>
      </w:pPr>
      <w:r>
        <w:rPr>
          <w:rFonts w:ascii="Times New Roman" w:hAnsi="Times New Roman" w:eastAsia="Times New Roman"/>
        </w:rPr>
        <w:t>Create .env.production from the example file using new production-only secrets.</w:t>
      </w:r>
    </w:p>
    <w:p>
      <w:pPr>
        <w:pStyle w:val="ListNumber"/>
      </w:pPr>
      <w:r>
        <w:rPr>
          <w:rFonts w:ascii="Times New Roman" w:hAnsi="Times New Roman" w:eastAsia="Times New Roman"/>
        </w:rPr>
        <w:t>Restrict environment-file permissions and verify that it is not tracked by Git.</w:t>
      </w:r>
    </w:p>
    <w:p>
      <w:pPr>
        <w:pStyle w:val="ListNumber"/>
      </w:pPr>
      <w:r>
        <w:rPr>
          <w:rFonts w:ascii="Times New Roman" w:hAnsi="Times New Roman" w:eastAsia="Times New Roman"/>
        </w:rPr>
        <w:t>Configure DNS to point the selected domain to the VM.</w:t>
      </w:r>
    </w:p>
    <w:p>
      <w:pPr>
        <w:pStyle w:val="ListNumber"/>
      </w:pPr>
      <w:r>
        <w:rPr>
          <w:rFonts w:ascii="Times New Roman" w:hAnsi="Times New Roman" w:eastAsia="Times New Roman"/>
        </w:rPr>
        <w:t>Replace the local Nginx configuration with an HTTPS configuration and certificate-renewal process.</w:t>
      </w:r>
    </w:p>
    <w:p>
      <w:pPr>
        <w:pStyle w:val="ListNumber"/>
      </w:pPr>
      <w:r>
        <w:rPr>
          <w:rFonts w:ascii="Times New Roman" w:hAnsi="Times New Roman" w:eastAsia="Times New Roman"/>
        </w:rPr>
        <w:t>Open only required firewall ports and keep PostgreSQL and MinIO unexposed.</w:t>
      </w:r>
    </w:p>
    <w:p>
      <w:pPr>
        <w:pStyle w:val="ListNumber"/>
      </w:pPr>
      <w:r>
        <w:rPr>
          <w:rFonts w:ascii="Times New Roman" w:hAnsi="Times New Roman" w:eastAsia="Times New Roman"/>
        </w:rPr>
        <w:t>Build and start the Compose stack.</w:t>
      </w:r>
    </w:p>
    <w:p>
      <w:pPr>
        <w:pStyle w:val="ListNumber"/>
      </w:pPr>
      <w:r>
        <w:rPr>
          <w:rFonts w:ascii="Times New Roman" w:hAnsi="Times New Roman" w:eastAsia="Times New Roman"/>
        </w:rPr>
        <w:t>Run Alembic migrations against the production database before accepting application traffic.</w:t>
      </w:r>
    </w:p>
    <w:p>
      <w:pPr>
        <w:pStyle w:val="ListNumber"/>
      </w:pPr>
      <w:r>
        <w:rPr>
          <w:rFonts w:ascii="Times New Roman" w:hAnsi="Times New Roman" w:eastAsia="Times New Roman"/>
        </w:rPr>
        <w:t>Create or restore required data and verify the MinIO bucket.</w:t>
      </w:r>
    </w:p>
    <w:p>
      <w:pPr>
        <w:pStyle w:val="ListNumber"/>
      </w:pPr>
      <w:r>
        <w:rPr>
          <w:rFonts w:ascii="Times New Roman" w:hAnsi="Times New Roman" w:eastAsia="Times New Roman"/>
        </w:rPr>
        <w:t>Repeat security, storage, recovery, and performance tests against the remote endpoint.</w:t>
      </w:r>
    </w:p>
    <w:p>
      <w:pPr>
        <w:pStyle w:val="ListNumber"/>
      </w:pPr>
      <w:r>
        <w:rPr>
          <w:rFonts w:ascii="Times New Roman" w:hAnsi="Times New Roman" w:eastAsia="Times New Roman"/>
        </w:rPr>
        <w:t>Enable monitoring, log retention, and remote encrypted backups.</w:t>
      </w:r>
    </w:p>
    <w:p>
      <w:pPr>
        <w:jc w:val="center"/>
      </w:pPr>
      <w:r>
        <w:rPr>
          <w:rFonts w:ascii="Times New Roman" w:hAnsi="Times New Roman" w:eastAsia="Times New Roman"/>
        </w:rPr>
        <w:drawing>
          <wp:inline xmlns:a="http://schemas.openxmlformats.org/drawingml/2006/main" xmlns:pic="http://schemas.openxmlformats.org/drawingml/2006/picture">
            <wp:extent cx="6126480" cy="3715414"/>
            <wp:docPr id="27" name="Picture 4"/>
            <wp:cNvGraphicFramePr>
              <a:graphicFrameLocks noChangeAspect="1"/>
            </wp:cNvGraphicFramePr>
            <a:graphic>
              <a:graphicData uri="http://schemas.openxmlformats.org/drawingml/2006/picture">
                <pic:pic>
                  <pic:nvPicPr>
                    <pic:cNvPr id="27" name="deployment_transition.png"/>
                    <pic:cNvPicPr/>
                  </pic:nvPicPr>
                  <pic:blipFill>
                    <a:blip r:embed="rId40"/>
                    <a:stretch>
                      <a:fillRect/>
                    </a:stretch>
                  </pic:blipFill>
                  <pic:spPr>
                    <a:xfrm>
                      <a:off x="0" y="0"/>
                      <a:ext cx="6126480" cy="3715414"/>
                    </a:xfrm>
                    <a:prstGeom prst="rect"/>
                  </pic:spPr>
                </pic:pic>
              </a:graphicData>
            </a:graphic>
          </wp:inline>
        </w:drawing>
      </w:r>
    </w:p>
    <w:p>
      <w:pPr>
        <w:pStyle w:val="AcademicCaption"/>
      </w:pPr>
      <w:r>
        <w:rPr>
          <w:rFonts w:ascii="Times New Roman" w:hAnsi="Times New Roman" w:eastAsia="Times New Roman"/>
        </w:rPr>
        <w:t>Figure 4. Transition from the validated local environment to a hardened remote deployment.</w:t>
      </w:r>
    </w:p>
    <w:p>
      <w:pPr>
        <w:pStyle w:val="Heading2"/>
      </w:pPr>
      <w:r>
        <w:rPr>
          <w:rFonts w:ascii="Times New Roman" w:hAnsi="Times New Roman" w:eastAsia="Times New Roman"/>
        </w:rPr>
        <w:t>11. Gaps, Risks, and Hardening Priorities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5"/>
              </w:rPr>
              <w:t>Priority</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5"/>
              </w:rPr>
              <w:t>Observed gap or risk</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5"/>
              </w:rPr>
              <w:t>Required action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TLS is absent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Configure HTTPS, redirect HTTP to HTTPS, and verify certificate renewal.</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Production secrets are file-based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Generate new high-entropy secrets, restrict access, and document rotation.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remote deployment evidence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Repeat the full validation suite on the UESTC VM.</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off-host backup in the deployment design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Copy encrypted PostgreSQL and MinIO backups to a separate destination.</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MinIO uses the latest tag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Pin a tested release or immutable image digest.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Most Python dependencies are unpinned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Generate a locked dependency file and scan the built image.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MinIO health check</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Add a readiness test and make backend startup depend on it.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Nginx health check</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Add a proxy-level health check for operational monitoring.</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declared CPU or memory limits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Measure remote usage and define appropriate container constraints.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P2</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separate migration job</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Run Alembic explicitly as a controlled deployment step.</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No centralized logging or alerting</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Forward logs and create alerts for health, security, backup, and capacity events.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P3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Single-host architecture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5"/>
              </w:rPr>
              <w:t>Document recovery procedures and evaluate high availability if service requirements demand it.</w:t>
            </w:r>
          </w:p>
        </w:tc>
      </w:tr>
    </w:tbl>
    <w:p/>
    <w:p>
      <w:pPr>
        <w:pStyle w:val="Heading3"/>
      </w:pPr>
      <w:r>
        <w:rPr>
          <w:rFonts w:ascii="Times New Roman" w:hAnsi="Times New Roman" w:eastAsia="Times New Roman"/>
        </w:rPr>
        <w:t>11.1 Additional source-quality observations</w:t>
      </w:r>
    </w:p>
    <w:p>
      <w:pPr>
        <w:pStyle w:val="ListBullet"/>
      </w:pPr>
      <w:r>
        <w:rPr>
          <w:rFonts w:ascii="Times New Roman" w:hAnsi="Times New Roman" w:eastAsia="Times New Roman"/>
        </w:rPr>
        <w:t>The saved production container inventory contains character-encoding corruption in truncated command text. Regenerate it with UTF-8 output before using it as a thesis figure or appendix.</w:t>
      </w:r>
    </w:p>
    <w:p>
      <w:pPr>
        <w:pStyle w:val="ListBullet"/>
      </w:pPr>
      <w:r>
        <w:rPr>
          <w:rFonts w:ascii="Times New Roman" w:hAnsi="Times New Roman" w:eastAsia="Times New Roman"/>
        </w:rPr>
        <w:t>The development example environment file contains duplicated MinIO comments and duplicate MINIO_CONSOLE_PORT entries. Remove the duplicates to improve configuration clarity.</w:t>
      </w:r>
    </w:p>
    <w:p>
      <w:pPr>
        <w:pStyle w:val="ListBullet"/>
      </w:pPr>
      <w:r>
        <w:rPr>
          <w:rFonts w:ascii="Times New Roman" w:hAnsi="Times New Roman" w:eastAsia="Times New Roman"/>
        </w:rPr>
        <w:t>The production Compose file uses an explicit project invocation during validation, which is appropriate. The same project name should be documented and reused on the remote VM.</w:t>
      </w:r>
    </w:p>
    <w:p>
      <w:pPr>
        <w:pStyle w:val="ListBullet"/>
      </w:pPr>
      <w:r>
        <w:rPr>
          <w:rFonts w:ascii="Times New Roman" w:hAnsi="Times New Roman" w:eastAsia="Times New Roman"/>
        </w:rPr>
        <w:t>The source evidence includes production security scripts that temporarily switch environment mode and then restore it. Remote testing should avoid modifying live configuration without a maintenance procedure.</w:t>
      </w:r>
    </w:p>
    <w:p>
      <w:pPr>
        <w:pStyle w:val="Heading2"/>
      </w:pPr>
      <w:r>
        <w:rPr>
          <w:rFonts w:ascii="Times New Roman" w:hAnsi="Times New Roman" w:eastAsia="Times New Roman"/>
        </w:rPr>
        <w:t>12. Conclusion</w:t>
      </w:r>
    </w:p>
    <w:p>
      <w:pPr/>
      <w:r>
        <w:rPr>
          <w:rFonts w:ascii="Times New Roman" w:hAnsi="Times New Roman" w:eastAsia="Times New Roman"/>
        </w:rPr>
        <w:t>The Healthcare Cloud Platform has a coherent and validated local production architecture that is consistent with the study's resource-constrained deployment objective. The four-service Docker Compose stack separates the external request boundary from internal persistence, uses open-source components, named volumes, service dependencies, and health checks, suppresses direct exposure of PostgreSQL and MinIO, and records its release state through Git commits and tags.</w:t>
      </w:r>
    </w:p>
    <w:p>
      <w:r>
        <w:rPr>
          <w:rFonts w:ascii="Times New Roman" w:hAnsi="Times New Roman" w:eastAsia="Times New Roman"/>
        </w:rPr>
        <w:t>The final local validation matrix reports seven passing domains with no unresolved items. The backend and PostgreSQL were healthy, all four containers were running, recovery tests passed, security controls passed, and the optimized 200-user workload completed with zero failures.</w:t>
      </w:r>
    </w:p>
    <w:p>
      <w:r>
        <w:rPr>
          <w:rFonts w:ascii="Times New Roman" w:hAnsi="Times New Roman" w:eastAsia="Times New Roman"/>
        </w:rPr>
        <w:t>The remaining experimental work is the planned UESTC deployment and resource-constrained validation rather than core application construction. The platform will be installed on the remote VM, configured with new secrets, protected by TLS and firewall rules, connected to remote backups and monitoring, and retested under the actual host and network conditions. Until Phase II is completed, the accurate status is locally production-ready and cloud-ready, with final remote validation pending institutional VM access.</w:t>
      </w:r>
    </w:p>
    <w:p>
      <w:r>
        <w:rPr>
          <w:rFonts w:ascii="Times New Roman" w:hAnsi="Times New Roman" w:eastAsia="Times New Roman"/>
        </w:rPr>
        <w:br w:type="page"/>
      </w:r>
    </w:p>
    <w:p>
      <w:pPr>
        <w:pStyle w:val="Heading2"/>
      </w:pPr>
      <w:r>
        <w:rPr>
          <w:rFonts w:ascii="Times New Roman" w:hAnsi="Times New Roman" w:eastAsia="Times New Roman"/>
        </w:rP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Claim or component</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Primary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Production topology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docker-compose.prod.yml</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 image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backend/Dockerfile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Python dependencies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backend/requirements.txt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Reverse proxy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nginx/default.conf</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Build exclusions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backend/.dockerignore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Environment templates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.env.example and .env.production.example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Service inventory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docs/02_implementation/docker_services.txt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Container snapshot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docs/02_implementation/production_containers.txt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Database migration state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docs/02_implementation/alembic_current.txt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Overall project status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docs/evidence/final_project_status.txt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Validation matrix</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docs/evidence/final_validation_matrix.md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Repository history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git log output in cloud deployment source extract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Release tags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v1.0.0-local-production and validated-platform-2026-07-30</w:t>
            </w:r>
          </w:p>
        </w:tc>
      </w:tr>
    </w:tbl>
    <w:p/>
    <w:p>
      <w:pPr>
        <w:pStyle w:val="Heading2"/>
      </w:pPr>
      <w:r>
        <w:rPr>
          <w:rFonts w:ascii="Times New Roman" w:hAnsi="Times New Roman" w:eastAsia="Times New Roman"/>
        </w:rPr>
        <w:t>Appendix B. Deployment Acceptance Checklist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Acceptance area</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Required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Source version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Release tag or commit recorded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Secrets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New remote-only secrets generated and protected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Database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healthy and Alembic at expected head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Object storage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MinIO healthy, bucket accessible, lifecycle test passed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Proxy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Nginx healthy, domain correct, request-size and timeout policy reviewed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Transport security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Valid HTTPS certificate, redirect active, HSTS verified over HTTPS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Network</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Only required ports exposed; data services remain internal</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Recovery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Remote backup completed and restoration test passed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Security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Production HTTP, JWT, RBAC, and audit validations passed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Performance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Remote baseline and target-load tests passed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Monitoring</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7"/>
              </w:rPr>
              <w:t>Health, logs, capacity, security, and backup alerts active</w:t>
            </w:r>
          </w:p>
        </w:tc>
      </w:tr>
    </w:tbl>
    <w:p/>
    <w:p>
      <w:pPr>
        <w:pStyle w:val="Heading1"/>
        <w:pageBreakBefore w:val="1"/>
        <w:keepNext/>
      </w:pPr>
      <w:r>
        <w:rPr>
          <w:rFonts w:ascii="Times New Roman" w:hAnsi="Times New Roman" w:eastAsia="Times New Roman"/>
        </w:rPr>
        <w:t>Chapter 9. Integrated Validation Results and Discussion</w:t>
      </w:r>
    </w:p>
    <w:p>
      <w:pPr>
        <w:pStyle w:val="Heading2"/>
      </w:pPr>
      <w:r>
        <w:rPr>
          <w:rFonts w:ascii="Times New Roman" w:hAnsi="Times New Roman" w:eastAsia="Times New Roman"/>
        </w:rPr>
        <w:t>Executive Summary</w:t>
      </w:r>
    </w:p>
    <w:p>
      <w:r>
        <w:rPr>
          <w:rFonts w:ascii="Times New Roman" w:hAnsi="Times New Roman" w:eastAsia="Times New Roman"/>
        </w:rPr>
        <w:t>This chapter integrates the completed Phase I local validation evidence for the Healthcare Cloud Platform. Seven local validations were assessed across security, storage, disaster recovery, and performance, producing 83 passing checks out of 83 with no failed, pending, or review status. These outcomes are the local baseline. The planned Phase II UESTC validation will repeat and extend the matrix under the actual resource-constrained remote environment.</w:t>
      </w:r>
    </w:p>
    <w:p>
      <w:r>
        <w:rPr>
          <w:rFonts w:ascii="Times New Roman" w:hAnsi="Times New Roman" w:eastAsia="Times New Roman"/>
        </w:rPr>
        <w:t>Production HTTP validation passed 17 of 17 checks, including backend health, browser security headers, disabled production documentation routes, CORS behavior, trusted-host enforcement, and restoration of the development configuration. Diagnostic-report audit validation passed 9 of 9 checks.</w:t>
      </w:r>
    </w:p>
    <w:p>
      <w:r>
        <w:rPr>
          <w:rFonts w:ascii="Times New Roman" w:hAnsi="Times New Roman" w:eastAsia="Times New Roman"/>
        </w:rPr>
        <w:t>Storage validation demonstrated authorized upload, metadata persistence, PostgreSQL checksum and file-size accuracy, MinIO object integrity, authorized download, unauthenticated rejection, role-based denial, and cleanup. PostgreSQL recovery passed 19 of 19 checks and MinIO recovery passed 23 of 23 checks.</w:t>
      </w:r>
    </w:p>
    <w:p>
      <w:r>
        <w:rPr>
          <w:rFonts w:ascii="Times New Roman" w:hAnsi="Times New Roman" w:eastAsia="Times New Roman"/>
        </w:rPr>
        <w:t>The optimized 200-user workload completed 43,814 requests with no failures, 146.77 requests per second, mean latency of 29.27 ms, P95 of 110 ms, and P99 of 240 ms. This result followed an initial 200-user test with 357 failures and a 23.99% failure rate.</w:t>
      </w:r>
    </w:p>
    <w:p>
      <w:pPr/>
      <w:r>
        <w:rPr>
          <w:rFonts w:ascii="Times New Roman" w:hAnsi="Times New Roman" w:eastAsia="Times New Roman"/>
        </w:rPr>
        <w:t>The evidence supports a local production-readiness claim for the measured Docker environment and a cost-efficient design claim based on open-source components and compact single-host deployment. It does not yet constitute the complete thesis evaluation because the planned UESTC phase, including controlled resource allocations, endurance, remote recovery, and verified cost measurements, remains pending VM access.</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Domain</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Passed</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Total</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Integrated interpretation</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Security</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26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26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HTTP controls and strict audit</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Storage</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14</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14</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End-to-end report storage and MinIO lifecycle</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Disaster recovery</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42</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42</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PostgreSQL and MinIO restoration</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Performance</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Optimized 200-user load</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pPr>
        <w:pStyle w:val="Heading2"/>
      </w:pPr>
      <w:r>
        <w:rPr>
          <w:rFonts w:ascii="Times New Roman" w:hAnsi="Times New Roman" w:eastAsia="Times New Roman"/>
        </w:rPr>
        <w:t>1. Integrated Evaluation Framework</w:t>
      </w:r>
    </w:p>
    <w:p>
      <w:r>
        <w:rPr>
          <w:rFonts w:ascii="Times New Roman" w:hAnsi="Times New Roman" w:eastAsia="Times New Roman"/>
        </w:rPr>
        <w:t>The evaluation treats production readiness as a cross-domain property. A platform cannot be considered ready merely because its API responds, its containers run, or its load test succeeds. Security, integrity, recoverability, and performance must operate together.</w:t>
      </w:r>
    </w:p>
    <w:p>
      <w:pPr>
        <w:jc w:val="center"/>
      </w:pPr>
      <w:r>
        <w:rPr>
          <w:rFonts w:ascii="Times New Roman" w:hAnsi="Times New Roman" w:eastAsia="Times New Roman"/>
        </w:rPr>
        <w:drawing>
          <wp:inline xmlns:a="http://schemas.openxmlformats.org/drawingml/2006/main" xmlns:pic="http://schemas.openxmlformats.org/drawingml/2006/picture">
            <wp:extent cx="6126480" cy="3994399"/>
            <wp:docPr id="28" name="Picture 1"/>
            <wp:cNvGraphicFramePr>
              <a:graphicFrameLocks noChangeAspect="1"/>
            </wp:cNvGraphicFramePr>
            <a:graphic>
              <a:graphicData uri="http://schemas.openxmlformats.org/drawingml/2006/picture">
                <pic:pic>
                  <pic:nvPicPr>
                    <pic:cNvPr id="28" name="integrated_evaluation_framework.png"/>
                    <pic:cNvPicPr/>
                  </pic:nvPicPr>
                  <pic:blipFill>
                    <a:blip r:embed="rId41"/>
                    <a:stretch>
                      <a:fillRect/>
                    </a:stretch>
                  </pic:blipFill>
                  <pic:spPr>
                    <a:xfrm>
                      <a:off x="0" y="0"/>
                      <a:ext cx="6126480" cy="3994399"/>
                    </a:xfrm>
                    <a:prstGeom prst="rect"/>
                  </pic:spPr>
                </pic:pic>
              </a:graphicData>
            </a:graphic>
          </wp:inline>
        </w:drawing>
      </w:r>
    </w:p>
    <w:p>
      <w:pPr>
        <w:pStyle w:val="AcademicCaption"/>
      </w:pPr>
      <w:r>
        <w:rPr>
          <w:rFonts w:ascii="Times New Roman" w:hAnsi="Times New Roman" w:eastAsia="Times New Roman"/>
        </w:rPr>
        <w:t>Figure 1. Integrated evaluation framework used to interpret the seven final validations.</w:t>
      </w:r>
    </w:p>
    <w:p>
      <w:r>
        <w:rPr>
          <w:rFonts w:ascii="Times New Roman" w:hAnsi="Times New Roman" w:eastAsia="Times New Roman"/>
        </w:rPr>
        <w:t>The final matrix applies a strict rule: a production-readiness claim is justified only when no item is marked FAIL, PENDING, or REVIEW. This rule was satisfied in the local validated environment.</w:t>
      </w:r>
    </w:p>
    <w:p>
      <w:pPr>
        <w:pStyle w:val="ListBullet"/>
      </w:pPr>
      <w:r>
        <w:rPr>
          <w:rFonts w:ascii="Times New Roman" w:hAnsi="Times New Roman" w:eastAsia="Times New Roman"/>
        </w:rPr>
        <w:t>Security controls must prevent unauthorized access and unsafe production exposure.</w:t>
      </w:r>
    </w:p>
    <w:p>
      <w:pPr>
        <w:pStyle w:val="ListBullet"/>
      </w:pPr>
      <w:r>
        <w:rPr>
          <w:rFonts w:ascii="Times New Roman" w:hAnsi="Times New Roman" w:eastAsia="Times New Roman"/>
        </w:rPr>
        <w:t>Storage validation must show that metadata and binary objects remain consistent.</w:t>
      </w:r>
    </w:p>
    <w:p>
      <w:pPr>
        <w:pStyle w:val="ListBullet"/>
      </w:pPr>
      <w:r>
        <w:rPr>
          <w:rFonts w:ascii="Times New Roman" w:hAnsi="Times New Roman" w:eastAsia="Times New Roman"/>
        </w:rPr>
        <w:t>Recovery validation must prove that backups can be restored into isolated targets.</w:t>
      </w:r>
    </w:p>
    <w:p>
      <w:pPr>
        <w:pStyle w:val="ListBullet"/>
      </w:pPr>
      <w:r>
        <w:rPr>
          <w:rFonts w:ascii="Times New Roman" w:hAnsi="Times New Roman" w:eastAsia="Times New Roman"/>
        </w:rPr>
        <w:t>Performance validation must measure useful throughput rather than raw request volume alone.</w:t>
      </w:r>
    </w:p>
    <w:p>
      <w:pPr>
        <w:pStyle w:val="ListBullet"/>
      </w:pPr>
      <w:r>
        <w:rPr>
          <w:rFonts w:ascii="Times New Roman" w:hAnsi="Times New Roman" w:eastAsia="Times New Roman"/>
        </w:rPr>
        <w:t>Deployment evidence must show that the intended production services actually run together.</w:t>
      </w:r>
    </w:p>
    <w:p>
      <w:pPr>
        <w:pStyle w:val="Heading2"/>
      </w:pPr>
      <w:r>
        <w:rPr>
          <w:rFonts w:ascii="Times New Roman" w:hAnsi="Times New Roman" w:eastAsia="Times New Roman"/>
        </w:rPr>
        <w:t>2. Final Validation Matrix</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Domain</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Validation</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Checks</w:t>
            </w:r>
          </w:p>
        </w:tc>
        <w:tc>
          <w:tcPr>
            <w:tcW w:type="dxa" w:w="2379"/>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Security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Production HTTP security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17/17</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Security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strict audit</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9/9</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Storage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end-to-end storage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10/10</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Storage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MinIO service lifecycle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4/4</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Disaster recovery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PostgreSQL backup and restore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19/19</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Disaster recovery</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MinIO backup and restore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23/23</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Performance</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Optimized 200-user load</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1/1</w:t>
            </w:r>
          </w:p>
        </w:tc>
        <w:tc>
          <w:tcPr>
            <w:tcW w:type="dxa" w:w="2379"/>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669280" cy="3534963"/>
            <wp:docPr id="29" name="Picture 2"/>
            <wp:cNvGraphicFramePr>
              <a:graphicFrameLocks noChangeAspect="1"/>
            </wp:cNvGraphicFramePr>
            <a:graphic>
              <a:graphicData uri="http://schemas.openxmlformats.org/drawingml/2006/picture">
                <pic:pic>
                  <pic:nvPicPr>
                    <pic:cNvPr id="29" name="validation_checks_by_domain.png"/>
                    <pic:cNvPicPr/>
                  </pic:nvPicPr>
                  <pic:blipFill>
                    <a:blip r:embed="rId42"/>
                    <a:stretch>
                      <a:fillRect/>
                    </a:stretch>
                  </pic:blipFill>
                  <pic:spPr>
                    <a:xfrm>
                      <a:off x="0" y="0"/>
                      <a:ext cx="5669280" cy="3534963"/>
                    </a:xfrm>
                    <a:prstGeom prst="rect"/>
                  </pic:spPr>
                </pic:pic>
              </a:graphicData>
            </a:graphic>
          </wp:inline>
        </w:drawing>
      </w:r>
    </w:p>
    <w:p>
      <w:pPr>
        <w:pStyle w:val="AcademicCaption"/>
      </w:pPr>
      <w:r>
        <w:rPr>
          <w:rFonts w:ascii="Times New Roman" w:hAnsi="Times New Roman" w:eastAsia="Times New Roman"/>
        </w:rPr>
        <w:t>Figure 2. Integrated validation outcomes across security, storage, disaster recovery, and performance.</w:t>
      </w:r>
    </w:p>
    <w:p>
      <w:pPr/>
      <w:r>
        <w:rPr>
          <w:rFonts w:ascii="Times New Roman" w:hAnsi="Times New Roman" w:eastAsia="Times New Roman"/>
        </w:rPr>
        <w:t>The domains are reported using outcome-specific measures rather than a direct comparison of check counts. The performance result consolidates concurrency, request volume, failure rate, throughput, and latency into one validated load scenario; it must not be interpreted as weaker merely because it occupies one line in the final validation matrix.</w:t>
      </w:r>
    </w:p>
    <w:p>
      <w:pPr>
        <w:pStyle w:val="Heading2"/>
      </w:pPr>
      <w:r>
        <w:rPr>
          <w:rFonts w:ascii="Times New Roman" w:hAnsi="Times New Roman" w:eastAsia="Times New Roman"/>
        </w:rPr>
        <w:t>3. Security and Access-Control Results</w:t>
      </w:r>
    </w:p>
    <w:p>
      <w:pPr>
        <w:pStyle w:val="Heading3"/>
      </w:pPr>
      <w:r>
        <w:rPr>
          <w:rFonts w:ascii="Times New Roman" w:hAnsi="Times New Roman" w:eastAsia="Times New Roman"/>
        </w:rPr>
        <w:t>3.1 Production HTTP controls</w:t>
      </w:r>
    </w:p>
    <w:p>
      <w:r>
        <w:rPr>
          <w:rFonts w:ascii="Times New Roman" w:hAnsi="Times New Roman" w:eastAsia="Times New Roman"/>
        </w:rPr>
        <w:t>All 17 production HTTP checks passed. The backend returned HTTP 200 on the health endpoint. The tested responses included X-Content-Type-Options, X-Frame-Options, Referrer-Policy, Content-Security-Policy, Permissions-Policy, Strict-Transport-Security, and Cache-Control.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Control group</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 outcome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Security headers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Required values present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Server disclosure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Uvicorn not disclosed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Swagger, ReDoc and OpenAPI</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404 in production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Trusted CORS origin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Allowed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Untrusted CORS origin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Not allowed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Trusted host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200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Untrusted host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400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Configuration restoration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Development environment healthy after test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presence of a Strict-Transport-Security header in an HTTP validation does not prove that TLS was deployed. HSTS becomes operationally meaningful only when the application is served over HTTPS.</w:t>
      </w:r>
    </w:p>
    <w:p>
      <w:pPr>
        <w:pStyle w:val="Heading3"/>
      </w:pPr>
      <w:r>
        <w:rPr>
          <w:rFonts w:ascii="Times New Roman" w:hAnsi="Times New Roman" w:eastAsia="Times New Roman"/>
        </w:rPr>
        <w:t>3.2 RBAC coverage</w:t>
      </w:r>
    </w:p>
    <w:p>
      <w:r>
        <w:rPr>
          <w:rFonts w:ascii="Times New Roman" w:hAnsi="Times New Roman" w:eastAsia="Times New Roman"/>
        </w:rPr>
        <w:t>The RBAC inventory contains 31 operations. Twenty-nine clinical, FHIR, storage, and update operations have explicit role lists at route or router scope. The login and current-user routes do not use route-level role lists because they serve authentication and identity-resolution functions.</w:t>
      </w:r>
    </w:p>
    <w:p>
      <w:r>
        <w:rPr>
          <w:rFonts w:ascii="Times New Roman" w:hAnsi="Times New Roman" w:eastAsia="Times New Roman"/>
        </w:rPr>
        <w:t>The role matrix demonstrates differentiated permissions. Examples include diagnostic-report upload for Admin, Doctor, and Lab Staff; prescription creation for Admin and Doctor; and prescription updates for Admin, Doctor, and Pharmacist.</w:t>
      </w:r>
    </w:p>
    <w:p>
      <w:pPr>
        <w:pStyle w:val="Heading2"/>
      </w:pPr>
      <w:r>
        <w:rPr>
          <w:rFonts w:ascii="Times New Roman" w:hAnsi="Times New Roman" w:eastAsia="Times New Roman"/>
        </w:rPr>
        <w:t>4. Audit and Diagnostic-Report Validation</w:t>
      </w:r>
    </w:p>
    <w:p>
      <w:r>
        <w:rPr>
          <w:rFonts w:ascii="Times New Roman" w:hAnsi="Times New Roman" w:eastAsia="Times New Roman"/>
        </w:rPr>
        <w:t>The diagnostic-report workflow provides a high-value cross-domain test because it combines RBAC, PostgreSQL metadata, MinIO object storage, SHA-256 integrity, downloads, and audit events.</w:t>
      </w:r>
    </w:p>
    <w:p>
      <w:pPr>
        <w:keepNext/>
        <w:jc w:val="center"/>
      </w:pPr>
      <w:r>
        <w:rPr>
          <w:rFonts w:ascii="Times New Roman" w:hAnsi="Times New Roman" w:eastAsia="Times New Roman"/>
        </w:rPr>
        <w:drawing>
          <wp:inline xmlns:a="http://schemas.openxmlformats.org/drawingml/2006/main" xmlns:pic="http://schemas.openxmlformats.org/drawingml/2006/picture">
            <wp:extent cx="4480560" cy="2739627"/>
            <wp:docPr id="30" name="Picture 3"/>
            <wp:cNvGraphicFramePr>
              <a:graphicFrameLocks noChangeAspect="1"/>
            </wp:cNvGraphicFramePr>
            <a:graphic>
              <a:graphicData uri="http://schemas.openxmlformats.org/drawingml/2006/picture">
                <pic:pic>
                  <pic:nvPicPr>
                    <pic:cNvPr id="30" name="cross_domain_evidence_chain.png"/>
                    <pic:cNvPicPr/>
                  </pic:nvPicPr>
                  <pic:blipFill>
                    <a:blip r:embed="rId43"/>
                    <a:stretch>
                      <a:fillRect/>
                    </a:stretch>
                  </pic:blipFill>
                  <pic:spPr>
                    <a:xfrm>
                      <a:off x="0" y="0"/>
                      <a:ext cx="4480560" cy="2739627"/>
                    </a:xfrm>
                    <a:prstGeom prst="rect"/>
                  </pic:spPr>
                </pic:pic>
              </a:graphicData>
            </a:graphic>
          </wp:inline>
        </w:drawing>
      </w:r>
    </w:p>
    <w:p>
      <w:pPr>
        <w:pStyle w:val="AcademicCaption"/>
        <w:keepLines/>
      </w:pPr>
      <w:r>
        <w:rPr>
          <w:rFonts w:ascii="Times New Roman" w:hAnsi="Times New Roman" w:eastAsia="Times New Roman"/>
        </w:rPr>
        <w:t>Figure 3. Cross-domain evidence chain for a diagnostic-report workflow.</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End-to-end check</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 outcome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Authorized upload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201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Authorized metadata read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200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PostgreSQL metadata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Row present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Database checksum</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Expected and actual SHA-256 matched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Database file size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67 bytes matched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 integrity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Expected and actual SHA-256 matched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Authorized download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200 and matching bytes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Download without JWT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401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Pharmacist download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HTTP 403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Cleanup</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Expected final count retained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strict audit validation passed 9 of 9 checks. The combined evidence shows that a permitted actor can upload and retrieve a report, a prohibited actor is denied, the binary object matches its metadata, and security-relevant actions are recorded.</w:t>
      </w:r>
    </w:p>
    <w:p>
      <w:pPr>
        <w:pStyle w:val="Heading2"/>
      </w:pPr>
      <w:r>
        <w:rPr>
          <w:rFonts w:ascii="Times New Roman" w:hAnsi="Times New Roman" w:eastAsia="Times New Roman"/>
        </w:rPr>
        <w:t>5. PostgreSQL and MinIO Storage Integrity</w:t>
      </w:r>
    </w:p>
    <w:p>
      <w:pPr>
        <w:pStyle w:val="Heading3"/>
      </w:pPr>
      <w:r>
        <w:rPr>
          <w:rFonts w:ascii="Times New Roman" w:hAnsi="Times New Roman" w:eastAsia="Times New Roman"/>
        </w:rPr>
        <w:t>5.1 MinIO lifecycle</w:t>
      </w:r>
    </w:p>
    <w:p>
      <w:r>
        <w:rPr>
          <w:rFonts w:ascii="Times New Roman" w:hAnsi="Times New Roman" w:eastAsia="Times New Roman"/>
        </w:rPr>
        <w:t>The MinIO lifecycle validation passed four checks: bucket existence, bucket access, object upload and download with matching SHA-256, and object deletion.</w:t>
      </w:r>
    </w:p>
    <w:p>
      <w:r>
        <w:rPr>
          <w:rFonts w:ascii="Times New Roman" w:hAnsi="Times New Roman" w:eastAsia="Times New Roman"/>
        </w:rPr>
        <w:t>This validates functional object persistence and cleanup. It does not measure large-object throughput, versioning, retention, encryption at rest, or multi-node MinIO behavior.</w:t>
      </w:r>
    </w:p>
    <w:p>
      <w:pPr>
        <w:pStyle w:val="Heading3"/>
      </w:pPr>
      <w:r>
        <w:rPr>
          <w:rFonts w:ascii="Times New Roman" w:hAnsi="Times New Roman" w:eastAsia="Times New Roman"/>
        </w:rPr>
        <w:t>5.2 PostgreSQL table-level integrity</w:t>
      </w:r>
    </w:p>
    <w:p>
      <w:r>
        <w:rPr>
          <w:rFonts w:ascii="Times New Roman" w:hAnsi="Times New Roman" w:eastAsia="Times New Roman"/>
        </w:rPr>
        <w:t>The supplied table comparison lists nine application and security tables containing 1,581,926 rows. Every listed source count matched the restored count with a difference of zero.</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Table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Source rows</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Restored rows</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Difference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6"/>
              </w:rPr>
              <w:t>Status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patients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117,581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117,581</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encounters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121,649</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121,649</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conditions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643,513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643,513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observations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592,173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592,173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prescriptions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66,458</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66,458</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diagnostic_reports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5</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audit_logs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40,535</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40,535</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users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roles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0</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6"/>
              </w:rPr>
              <w:t>PASS</w:t>
            </w:r>
          </w:p>
        </w:tc>
      </w:tr>
    </w:tbl>
    <w:p/>
    <w:p>
      <w:r>
        <w:rPr>
          <w:rFonts w:ascii="Times New Roman" w:hAnsi="Times New Roman" w:eastAsia="Times New Roman"/>
        </w:rPr>
        <w:t>The newer PostgreSQL summary reports ten verified tables and 19 passing checks. The uploaded integrated extract does not enumerate the tenth table in its table-level CSV. The likely additional table is the Alembic migration table, but this chapter does not treat that inference as a confirmed row-level result.</w:t>
      </w:r>
    </w:p>
    <w:p>
      <w:pPr>
        <w:pStyle w:val="Heading2"/>
      </w:pPr>
      <w:r>
        <w:rPr>
          <w:rFonts w:ascii="Times New Roman" w:hAnsi="Times New Roman" w:eastAsia="Times New Roman"/>
        </w:rPr>
        <w:t>6. Backup and Restoration Results</w:t>
      </w:r>
    </w:p>
    <w:p>
      <w:pPr>
        <w:pStyle w:val="Heading3"/>
      </w:pPr>
      <w:r>
        <w:rPr>
          <w:rFonts w:ascii="Times New Roman" w:hAnsi="Times New Roman" w:eastAsia="Times New Roman"/>
        </w:rPr>
        <w:t>6.1 PostgreSQL recovery</w:t>
      </w:r>
    </w:p>
    <w:p>
      <w:r>
        <w:rPr>
          <w:rFonts w:ascii="Times New Roman" w:hAnsi="Times New Roman" w:eastAsia="Times New Roman"/>
        </w:rPr>
        <w:t>The current PostgreSQL recovery summary reports a 52,847,810-byte custom archive with SHA-256 2ccded46a6fd14c6ec584bf2bed7fee4c82f37518b5908295ec7184430bbaec3. Ten tables matched, all 19 checks passed, and the temporary restore database was removed.</w:t>
      </w:r>
    </w:p>
    <w:p>
      <w:r>
        <w:rPr>
          <w:rFonts w:ascii="Times New Roman" w:hAnsi="Times New Roman" w:eastAsia="Times New Roman"/>
        </w:rPr>
        <w:t>The integrated evidence also contains an earlier nine-table backup result with a slightly different archive size and checksum. This is historical evidence. The later 10-table, 19-check result is the current authoritative summary.</w:t>
      </w:r>
    </w:p>
    <w:p>
      <w:pPr>
        <w:pStyle w:val="Heading3"/>
      </w:pPr>
      <w:r>
        <w:rPr>
          <w:rFonts w:ascii="Times New Roman" w:hAnsi="Times New Roman" w:eastAsia="Times New Roman"/>
        </w:rPr>
        <w:t>6.2 MinIO recovery</w:t>
      </w:r>
    </w:p>
    <w:p>
      <w:r>
        <w:rPr>
          <w:rFonts w:ascii="Times New Roman" w:hAnsi="Times New Roman" w:eastAsia="Times New Roman"/>
        </w:rPr>
        <w:t>The MinIO recovery test backed up seven objects totaling 488 bytes, restored seven objects totaling 488 bytes, verified all 23 checks, and removed the temporary bucket.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Recovery target</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Backup evidence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Restore evidence</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Checks</w:t>
            </w:r>
          </w:p>
        </w:tc>
        <w:tc>
          <w:tcPr>
            <w:tcW w:type="dxa" w:w="1904"/>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PostgreSQL</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52,847,810-byte archive and SHA-256</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10 tables matched; temporary database removed</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19/19</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MinIO</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7 objects; 488 bytes</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7 objects; 488 bytes; temporary bucket removed</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23/23</w:t>
            </w:r>
          </w:p>
        </w:tc>
        <w:tc>
          <w:tcPr>
            <w:tcW w:type="dxa" w:w="1904"/>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recovery evidence proves local functional restoration. It does not demonstrate recovery from total host loss, off-site backups, point-in-time database recovery, encrypted retention, or measured RPO and RTO.</w:t>
      </w:r>
    </w:p>
    <w:p>
      <w:pPr>
        <w:pStyle w:val="Heading2"/>
      </w:pPr>
      <w:r>
        <w:rPr>
          <w:rFonts w:ascii="Times New Roman" w:hAnsi="Times New Roman" w:eastAsia="Times New Roman"/>
        </w:rPr>
        <w:t>7. Performance and Scalability Results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rPr>
          <w:tblHeader w:val="true"/>
          <w:cantSplit/>
        </w:trPr>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Scenario</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Requests</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Failures</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Failure rate</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Avg ms</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P95 ms</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P99 ms</w:t>
            </w:r>
          </w:p>
        </w:tc>
        <w:tc>
          <w:tcPr>
            <w:tcW w:type="dxa" w:w="1190"/>
            <w:vAlign w:val="center"/>
            <w:shd w:fill="D9E1F2"/>
          </w:tcPr>
          <w:p>
            <w:pPr>
              <w:jc w:val="left"/>
            </w:pPr>
            <w:r>
              <w:rPr>
                <w:rFonts w:ascii="Times New Roman" w:hAnsi="Times New Roman" w:eastAsia="Times New Roman"/>
                <w:sz w:val="17"/>
              </w:rPr>
            </w:r>
            <w:r>
              <w:rPr>
                <w:rFonts w:ascii="Times New Roman" w:hAnsi="Times New Roman" w:eastAsia="Times New Roman"/>
                <w:b/>
                <w:sz w:val="15"/>
              </w:rPr>
              <w:t>RPS</w:t>
            </w:r>
          </w:p>
        </w:tc>
      </w:tr>
      <w:tr>
        <w:trPr>
          <w:cantSplit/>
        </w:trPr>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10 users</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465</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26.72</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71</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290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7.94</w:t>
            </w:r>
          </w:p>
        </w:tc>
      </w:tr>
      <w:tr>
        <w:trPr>
          <w:cantSplit/>
        </w:trPr>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50 users</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4557</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19.48</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59</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230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38.35</w:t>
            </w:r>
          </w:p>
        </w:tc>
      </w:tr>
      <w:tr>
        <w:trPr>
          <w:cantSplit/>
        </w:trPr>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100 users</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13695</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39.27</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130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450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76.46</w:t>
            </w:r>
          </w:p>
        </w:tc>
      </w:tr>
      <w:tr>
        <w:trPr>
          <w:cantSplit/>
        </w:trPr>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200 users initial</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1488</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357</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23.99%</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33,132.66</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90,000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91,000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5.23</w:t>
            </w:r>
          </w:p>
        </w:tc>
      </w:tr>
      <w:tr>
        <w:trPr>
          <w:cantSplit/>
        </w:trPr>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200 users optimized</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43814</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0.00%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29.27</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110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240</w:t>
            </w:r>
          </w:p>
        </w:tc>
        <w:tc>
          <w:tcPr>
            <w:tcW w:type="dxa" w:w="1190"/>
            <w:vAlign w:val="center"/>
          </w:tcPr>
          <w:p>
            <w:pPr>
              <w:jc w:val="left"/>
            </w:pPr>
            <w:r>
              <w:rPr>
                <w:rFonts w:ascii="Times New Roman" w:hAnsi="Times New Roman" w:eastAsia="Times New Roman"/>
                <w:sz w:val="17"/>
              </w:rPr>
            </w:r>
            <w:r>
              <w:rPr>
                <w:rFonts w:ascii="Times New Roman" w:hAnsi="Times New Roman" w:eastAsia="Times New Roman"/>
                <w:b w:val="0"/>
                <w:sz w:val="15"/>
              </w:rPr>
              <w:t>146.77</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760720" cy="3591978"/>
            <wp:docPr id="31" name="Picture 4"/>
            <wp:cNvGraphicFramePr>
              <a:graphicFrameLocks noChangeAspect="1"/>
            </wp:cNvGraphicFramePr>
            <a:graphic>
              <a:graphicData uri="http://schemas.openxmlformats.org/drawingml/2006/picture">
                <pic:pic>
                  <pic:nvPicPr>
                    <pic:cNvPr id="31" name="integrated_throughput_scaling.png"/>
                    <pic:cNvPicPr/>
                  </pic:nvPicPr>
                  <pic:blipFill>
                    <a:blip r:embed="rId44"/>
                    <a:stretch>
                      <a:fillRect/>
                    </a:stretch>
                  </pic:blipFill>
                  <pic:spPr>
                    <a:xfrm>
                      <a:off x="0" y="0"/>
                      <a:ext cx="5760720" cy="3591978"/>
                    </a:xfrm>
                    <a:prstGeom prst="rect"/>
                  </pic:spPr>
                </pic:pic>
              </a:graphicData>
            </a:graphic>
          </wp:inline>
        </w:drawing>
      </w:r>
    </w:p>
    <w:p>
      <w:pPr>
        <w:pStyle w:val="AcademicCaption"/>
      </w:pPr>
      <w:r>
        <w:rPr>
          <w:rFonts w:ascii="Times New Roman" w:hAnsi="Times New Roman" w:eastAsia="Times New Roman"/>
        </w:rPr>
        <w:t>Figure 4. Throughput scaling across all zero-failure scenarios.</w:t>
      </w:r>
    </w:p>
    <w:p>
      <w:r>
        <w:rPr>
          <w:rFonts w:ascii="Times New Roman" w:hAnsi="Times New Roman" w:eastAsia="Times New Roman"/>
        </w:rPr>
        <w:t>Throughput increased from 7.94 requests per second at 10 users to 146.77 requests per second at the optimized 200-user load. The successful scenarios completed with zero failures.</w:t>
      </w:r>
    </w:p>
    <w:p>
      <w:pPr>
        <w:jc w:val="center"/>
      </w:pPr>
      <w:r>
        <w:rPr>
          <w:rFonts w:ascii="Times New Roman" w:hAnsi="Times New Roman" w:eastAsia="Times New Roman"/>
        </w:rPr>
        <w:drawing>
          <wp:inline xmlns:a="http://schemas.openxmlformats.org/drawingml/2006/main" xmlns:pic="http://schemas.openxmlformats.org/drawingml/2006/picture">
            <wp:extent cx="5303520" cy="3399692"/>
            <wp:docPr id="32" name="Picture 5"/>
            <wp:cNvGraphicFramePr>
              <a:graphicFrameLocks noChangeAspect="1"/>
            </wp:cNvGraphicFramePr>
            <a:graphic>
              <a:graphicData uri="http://schemas.openxmlformats.org/drawingml/2006/picture">
                <pic:pic>
                  <pic:nvPicPr>
                    <pic:cNvPr id="32" name="integrated_failure_reduction.png"/>
                    <pic:cNvPicPr/>
                  </pic:nvPicPr>
                  <pic:blipFill>
                    <a:blip r:embed="rId45"/>
                    <a:stretch>
                      <a:fillRect/>
                    </a:stretch>
                  </pic:blipFill>
                  <pic:spPr>
                    <a:xfrm>
                      <a:off x="0" y="0"/>
                      <a:ext cx="5303520" cy="3399692"/>
                    </a:xfrm>
                    <a:prstGeom prst="rect"/>
                  </pic:spPr>
                </pic:pic>
              </a:graphicData>
            </a:graphic>
          </wp:inline>
        </w:drawing>
      </w:r>
    </w:p>
    <w:p>
      <w:pPr>
        <w:pStyle w:val="AcademicCaption"/>
      </w:pPr>
      <w:r>
        <w:rPr>
          <w:rFonts w:ascii="Times New Roman" w:hAnsi="Times New Roman" w:eastAsia="Times New Roman"/>
        </w:rPr>
        <w:t>Figure 5. Elimination of failed requests after optimization of the 200-user configuration.</w:t>
      </w:r>
    </w:p>
    <w:p>
      <w:r>
        <w:rPr>
          <w:rFonts w:ascii="Times New Roman" w:hAnsi="Times New Roman" w:eastAsia="Times New Roman"/>
        </w:rPr>
        <w:t>The initial 200-user run produced 357 failures, a 23.99% failure rate, mean latency of 33,132.66 ms, and raw throughput of 5.23 requests per second. After remediation, failures fell to zero, mean latency fell to 29.27 ms, and throughput increased by 141.54 requests per second.</w:t>
      </w:r>
    </w:p>
    <w:p>
      <w:r>
        <w:rPr>
          <w:rFonts w:ascii="Times New Roman" w:hAnsi="Times New Roman" w:eastAsia="Times New Roman"/>
        </w:rPr>
        <w:t>The performance evidence completes the local authenticated-workload baseline. The planned UESTC phase will test the same workload, additional mixed and endurance workloads, and controlled CPU and memory allocations before the final resource-constrained scalability conclusion is made.</w:t>
      </w:r>
    </w:p>
    <w:p>
      <w:pPr>
        <w:pStyle w:val="Heading3"/>
      </w:pPr>
      <w:r>
        <w:rPr>
          <w:rFonts w:ascii="Times New Roman" w:hAnsi="Times New Roman" w:eastAsia="Times New Roman"/>
        </w:rPr>
        <w:t>7.1 Resource and cost-efficiency interpretation</w:t>
      </w:r>
    </w:p>
    <w:p>
      <w:r>
        <w:rPr>
          <w:rFonts w:ascii="Times New Roman" w:hAnsi="Times New Roman" w:eastAsia="Times New Roman"/>
        </w:rPr>
        <w:t>Resource snapshots were available for three scenarios. The optimized 200-user snapshot reported only 0.35% backend CPU while processing 146.77 requests per second. This point-in-time value is not credible as a steady-state CPU measurement and should not be used as a headline efficiency claim.</w:t>
      </w:r>
    </w:p>
    <w:p>
      <w:r>
        <w:rPr>
          <w:rFonts w:ascii="Times New Roman" w:hAnsi="Times New Roman" w:eastAsia="Times New Roman"/>
        </w:rPr>
        <w:t>A monetary cost model was defined. Verified monthly infrastructure and operations costs will be collected during the planned UESTC phase; the monetary result is therefore pending data collection rather than omitted from the study.</w:t>
      </w:r>
    </w:p>
    <w:p>
      <w:pPr>
        <w:pStyle w:val="Heading2"/>
      </w:pPr>
      <w:r>
        <w:rPr>
          <w:rFonts w:ascii="Times New Roman" w:hAnsi="Times New Roman" w:eastAsia="Times New Roman"/>
        </w:rPr>
        <w:t>8. Production-Container Readiness</w:t>
      </w:r>
    </w:p>
    <w:p>
      <w:r>
        <w:rPr>
          <w:rFonts w:ascii="Times New Roman" w:hAnsi="Times New Roman" w:eastAsia="Times New Roman"/>
        </w:rPr>
        <w:t>The production snapshot shows four active containers: Nginx, the FastAPI backend, PostgreSQL, and MinIO. The backend and PostgreSQL were reported healthy. Nginx exposed host port 8080, while the backend, database, and MinIO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Container</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Observed status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Exposure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healthcare_prod_nginx</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Up</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Host port 8080 to container port 80</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healthcare_prod_backend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Up and healthy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Internal port 8000</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healthcare_prod_postgres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Up and healthy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Internal port 5432</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healthcare_prod_minio</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Up</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Internal port 9000</w:t>
            </w:r>
          </w:p>
        </w:tc>
      </w:tr>
    </w:tbl>
    <w:p/>
    <w:p>
      <w:r>
        <w:rPr>
          <w:rFonts w:ascii="Times New Roman" w:hAnsi="Times New Roman" w:eastAsia="Times New Roman"/>
        </w:rPr>
        <w:t>The saved command column contains character-encoding corruption in truncated text. This does not affect the service-status interpretation, but the inventory should be regenerated in clean UTF-8 before final publication.</w:t>
      </w:r>
    </w:p>
    <w:p>
      <w:pPr>
        <w:pStyle w:val="Heading2"/>
      </w:pPr>
      <w:r>
        <w:rPr>
          <w:rFonts w:ascii="Times New Roman" w:hAnsi="Times New Roman" w:eastAsia="Times New Roman"/>
        </w:rPr>
        <w:t>9. Cross-Domain Interpretation</w:t>
      </w:r>
    </w:p>
    <w:p>
      <w:r>
        <w:rPr>
          <w:rFonts w:ascii="Times New Roman" w:hAnsi="Times New Roman" w:eastAsia="Times New Roman"/>
        </w:rPr>
        <w:t>The strongest result is not any single PASS outcome. It is the consistency among the domains. The same platform that passed access-control tests also preserved report bytes, recorded audit events, restored its database and object store, and sustained the target 200-user workload after optimization.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Risk</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Control or evidence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Integrated result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Unauthorized access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JWT and RBAC</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401 and 403 outcomes were observed in the report workflow</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Object corruption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SHA-256 in PostgreSQL and MinIO</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Stored and downloaded bytes matched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Metadata-object divergence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End-to-end storage test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File size and checksum matched across layers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Database loss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custom archive and restore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10 tables matched; 19/19 checks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Object-store loss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MinIO backup and temporary restore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7 objects and 488 bytes restored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Load-induced failure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Locust testing and optimization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357 failures reduced to zero</w:t>
            </w:r>
          </w:p>
        </w:tc>
      </w:tr>
    </w:tbl>
    <w:p/>
    <w:p>
      <w:pPr>
        <w:pStyle w:val="Heading2"/>
      </w:pPr>
      <w:r>
        <w:rPr>
          <w:rFonts w:ascii="Times New Roman" w:hAnsi="Times New Roman" w:eastAsia="Times New Roman"/>
        </w:rPr>
        <w:t>10. Objectives and Achieved Outcomes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Project objective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Evidence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Assessment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Implement secure authentication and role-based access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JWT, active-user resolution and route/router role restrictions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in tested scope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Protect healthcare records and files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metadata, private MinIO objects and SHA-256 verification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in tested scope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Provide auditability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Strict diagnostic-report audit validation passed 9/9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in tested scope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Demonstrate recoverability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19/19 and MinIO 23/23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locally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Demonstrate scalability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Optimized 200-user load at 146.77 RPS and zero failures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for measured workload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Prepare a production deployment architecture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Four-service isolated Docker Compose stack</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locally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Deploy to institutional cloud infrastructure</w:t>
            </w:r>
          </w:p>
        </w:tc>
        <w:tc>
          <w:tcPr>
            <w:tcW w:type="dxa" w:w="3173"/>
            <w:vAlign w:val="center"/>
          </w:tcPr>
          <w:p>
            <w:r>
              <w:rPr>
                <w:rFonts w:ascii="Times New Roman" w:hAnsi="Times New Roman" w:eastAsia="Times New Roman"/>
                <w:sz w:val="17"/>
              </w:rPr>
              <w:t>Planned Phase II UESTC VM deployment and complete remote validation protocol</w:t>
            </w:r>
          </w:p>
        </w:tc>
        <w:tc>
          <w:tcPr>
            <w:tcW w:type="dxa" w:w="3173"/>
            <w:vAlign w:val="center"/>
          </w:tcPr>
          <w:p>
            <w:r>
              <w:rPr>
                <w:rFonts w:ascii="Times New Roman" w:hAnsi="Times New Roman" w:eastAsia="Times New Roman"/>
                <w:sz w:val="17"/>
              </w:rPr>
              <w:t>Planned; pending institutional VM access</w:t>
            </w:r>
          </w:p>
        </w:tc>
      </w:tr>
      <w:tr>
        <w:trPr>
          <w:cantSplit/>
        </w:trPr>
        <w:tc>
          <w:tcPr>
            <w:tcW w:type="dxa" w:w="3173"/>
            <w:vAlign w:val="center"/>
          </w:tcPr>
          <w:p>
            <w:r>
              <w:rPr>
                <w:rFonts w:ascii="Times New Roman" w:hAnsi="Times New Roman" w:eastAsia="Times New Roman"/>
                <w:sz w:val="17"/>
              </w:rPr>
              <w:t>Design for cost-efficient deployment</w:t>
            </w:r>
          </w:p>
        </w:tc>
        <w:tc>
          <w:tcPr>
            <w:tcW w:type="dxa" w:w="3173"/>
            <w:vAlign w:val="center"/>
          </w:tcPr>
          <w:p>
            <w:r>
              <w:rPr>
                <w:rFonts w:ascii="Times New Roman" w:hAnsi="Times New Roman" w:eastAsia="Times New Roman"/>
                <w:sz w:val="17"/>
              </w:rPr>
              <w:t>Open-source design, local resource baseline, cost model, and planned verified UESTC cost data</w:t>
            </w:r>
          </w:p>
        </w:tc>
        <w:tc>
          <w:tcPr>
            <w:tcW w:type="dxa" w:w="3173"/>
            <w:vAlign w:val="center"/>
          </w:tcPr>
          <w:p>
            <w:r>
              <w:rPr>
                <w:rFonts w:ascii="Times New Roman" w:hAnsi="Times New Roman" w:eastAsia="Times New Roman"/>
                <w:sz w:val="17"/>
              </w:rPr>
              <w:t>Design validated locally; monetary validation scheduled in Phase II</w:t>
            </w:r>
          </w:p>
        </w:tc>
      </w:tr>
    </w:tbl>
    <w:p/>
    <w:p>
      <w:pPr>
        <w:pStyle w:val="Heading2"/>
      </w:pPr>
      <w:r>
        <w:rPr>
          <w:rFonts w:ascii="Times New Roman" w:hAnsi="Times New Roman" w:eastAsia="Times New Roman"/>
        </w:rPr>
        <w:t>11. Research and Engineering Contributions</w:t>
      </w:r>
    </w:p>
    <w:p>
      <w:pPr>
        <w:pStyle w:val="ListBullet"/>
      </w:pPr>
      <w:r>
        <w:rPr>
          <w:rFonts w:ascii="Times New Roman" w:hAnsi="Times New Roman" w:eastAsia="Times New Roman"/>
        </w:rPr>
        <w:t>A reproducible four-service healthcare platform integrating FastAPI, PostgreSQL, MinIO, Nginx, Alembic, JWT, RBAC, and audit logging.</w:t>
      </w:r>
    </w:p>
    <w:p>
      <w:pPr>
        <w:pStyle w:val="ListBullet"/>
      </w:pPr>
      <w:r>
        <w:rPr>
          <w:rFonts w:ascii="Times New Roman" w:hAnsi="Times New Roman" w:eastAsia="Times New Roman"/>
        </w:rPr>
        <w:t>A patient-centered data platform validated with large synthetic clinical tables and a FHIR-inspired read layer.</w:t>
      </w:r>
    </w:p>
    <w:p>
      <w:pPr>
        <w:pStyle w:val="ListBullet"/>
      </w:pPr>
      <w:r>
        <w:rPr>
          <w:rFonts w:ascii="Times New Roman" w:hAnsi="Times New Roman" w:eastAsia="Times New Roman"/>
        </w:rPr>
        <w:t>A hybrid report-storage design that validates both relational metadata and private object bytes.</w:t>
      </w:r>
    </w:p>
    <w:p>
      <w:pPr>
        <w:pStyle w:val="ListBullet"/>
      </w:pPr>
      <w:r>
        <w:rPr>
          <w:rFonts w:ascii="Times New Roman" w:hAnsi="Times New Roman" w:eastAsia="Times New Roman"/>
        </w:rPr>
        <w:t>A cross-domain validation matrix linking security, storage, recovery, and performance evidence.</w:t>
      </w:r>
    </w:p>
    <w:p>
      <w:pPr>
        <w:pStyle w:val="ListBullet"/>
      </w:pPr>
      <w:r>
        <w:rPr>
          <w:rFonts w:ascii="Times New Roman" w:hAnsi="Times New Roman" w:eastAsia="Times New Roman"/>
        </w:rPr>
        <w:t>A before-and-after scalability experiment that preserves the failed 200-user run as bottleneck evidence and the optimized run as remediation evidence.</w:t>
      </w:r>
    </w:p>
    <w:p>
      <w:pPr>
        <w:pStyle w:val="ListBullet"/>
      </w:pPr>
      <w:r>
        <w:rPr>
          <w:rFonts w:ascii="Times New Roman" w:hAnsi="Times New Roman" w:eastAsia="Times New Roman"/>
        </w:rPr>
        <w:t>Executable disaster-recovery tests that restore PostgreSQL and MinIO into temporary isolated targets rather than merely creating backups.</w:t>
      </w:r>
    </w:p>
    <w:p>
      <w:pPr>
        <w:pStyle w:val="Heading2"/>
      </w:pPr>
      <w:r>
        <w:rPr>
          <w:rFonts w:ascii="Times New Roman" w:hAnsi="Times New Roman" w:eastAsia="Times New Roman"/>
        </w:rPr>
        <w:t>12. Threats to Validity and Limitations</w:t>
      </w:r>
    </w:p>
    <w:p>
      <w:pPr>
        <w:pStyle w:val="ListBullet"/>
      </w:pPr>
      <w:r>
        <w:rPr>
          <w:rFonts w:ascii="Times New Roman" w:hAnsi="Times New Roman" w:eastAsia="Times New Roman"/>
        </w:rPr>
        <w:t>The results describe the completed local Phase I environment. Generalization will be assessed through the planned Phase II retesting on the UESTC VM.</w:t>
      </w:r>
    </w:p>
    <w:p>
      <w:pPr>
        <w:pStyle w:val="ListBullet"/>
      </w:pPr>
      <w:r>
        <w:rPr>
          <w:rFonts w:ascii="Times New Roman" w:hAnsi="Times New Roman" w:eastAsia="Times New Roman"/>
        </w:rPr>
        <w:t>The performance scenarios are consolidated single-run results without repeated-run confidence intervals.</w:t>
      </w:r>
    </w:p>
    <w:p>
      <w:pPr>
        <w:pStyle w:val="ListBullet"/>
      </w:pPr>
      <w:r>
        <w:rPr>
          <w:rFonts w:ascii="Times New Roman" w:hAnsi="Times New Roman" w:eastAsia="Times New Roman"/>
        </w:rPr>
        <w:t>The workload is predominantly authenticated read traffic and does not represent every clinical write workflow.</w:t>
      </w:r>
    </w:p>
    <w:p>
      <w:pPr>
        <w:pStyle w:val="ListBullet"/>
      </w:pPr>
      <w:r>
        <w:rPr>
          <w:rFonts w:ascii="Times New Roman" w:hAnsi="Times New Roman" w:eastAsia="Times New Roman"/>
        </w:rPr>
        <w:t>The security tests validate selected controls but do not prove legal or regulatory compliance.</w:t>
      </w:r>
    </w:p>
    <w:p>
      <w:pPr>
        <w:pStyle w:val="ListBullet"/>
      </w:pPr>
      <w:r>
        <w:rPr>
          <w:rFonts w:ascii="Times New Roman" w:hAnsi="Times New Roman" w:eastAsia="Times New Roman"/>
        </w:rPr>
        <w:t>The HSTS header was observed, but the supplied production deployment remains HTTP-only at the Nginx boundary.</w:t>
      </w:r>
    </w:p>
    <w:p>
      <w:pPr>
        <w:pStyle w:val="ListBullet"/>
      </w:pPr>
      <w:r>
        <w:rPr>
          <w:rFonts w:ascii="Times New Roman" w:hAnsi="Times New Roman" w:eastAsia="Times New Roman"/>
        </w:rPr>
        <w:t>The recovery tests are local and do not demonstrate complete-host disaster recovery or off-site retention.</w:t>
      </w:r>
    </w:p>
    <w:p>
      <w:pPr>
        <w:pStyle w:val="ListBullet"/>
      </w:pPr>
      <w:r>
        <w:rPr>
          <w:rFonts w:ascii="Times New Roman" w:hAnsi="Times New Roman" w:eastAsia="Times New Roman"/>
        </w:rPr>
        <w:t>The MinIO recovery sample contains only seven small objects totaling 488 bytes.</w:t>
      </w:r>
    </w:p>
    <w:p>
      <w:pPr>
        <w:pStyle w:val="ListBullet"/>
      </w:pPr>
      <w:r>
        <w:rPr>
          <w:rFonts w:ascii="Times New Roman" w:hAnsi="Times New Roman" w:eastAsia="Times New Roman"/>
        </w:rPr>
        <w:t>The resource snapshots are not synchronized time-series measurements.</w:t>
      </w:r>
    </w:p>
    <w:p>
      <w:pPr>
        <w:pStyle w:val="ListBullet"/>
      </w:pPr>
      <w:r>
        <w:rPr>
          <w:rFonts w:ascii="Times New Roman" w:hAnsi="Times New Roman" w:eastAsia="Times New Roman"/>
        </w:rPr>
        <w:t>The table-level restore CSV lists nine tables, while the newer recovery summary reports ten tables.</w:t>
      </w:r>
    </w:p>
    <w:p>
      <w:pPr>
        <w:pStyle w:val="ListBullet"/>
      </w:pPr>
      <w:r>
        <w:rPr>
          <w:rFonts w:ascii="Times New Roman" w:hAnsi="Times New Roman" w:eastAsia="Times New Roman"/>
        </w:rPr>
        <w:t>Verified monetary cost inputs will be obtained during the planned UESTC phase.</w:t>
      </w:r>
    </w:p>
    <w:p>
      <w:pPr>
        <w:pStyle w:val="ListBullet"/>
      </w:pPr>
      <w:r>
        <w:rPr>
          <w:rFonts w:ascii="Times New Roman" w:hAnsi="Times New Roman" w:eastAsia="Times New Roman"/>
        </w:rPr>
        <w:t>The saved production container inventory contains encoding corruption in the command column.</w:t>
      </w:r>
    </w:p>
    <w:p>
      <w:pPr>
        <w:pStyle w:val="Heading2"/>
      </w:pPr>
      <w:r>
        <w:rPr>
          <w:rFonts w:ascii="Times New Roman" w:hAnsi="Times New Roman" w:eastAsia="Times New Roman"/>
        </w:rPr>
        <w:t>13. Planned Phase II UESTC Validation Protocol</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Priority</w:t>
            </w:r>
          </w:p>
        </w:tc>
        <w:tc>
          <w:tcPr>
            <w:tcW w:type="dxa" w:w="4759"/>
            <w:vAlign w:val="center"/>
            <w:shd w:fill="D9E1F2"/>
          </w:tcPr>
          <w:p>
            <w:r>
              <w:rPr>
                <w:rFonts w:ascii="Times New Roman" w:hAnsi="Times New Roman" w:eastAsia="Times New Roman"/>
                <w:sz w:val="17"/>
              </w:rPr>
              <w:t>Planned Phase II validation step</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Deploy the tagged production release to the UESTC VM and record the exact host specification.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Configure HTTPS, domain routing, firewall rules, and new production-only secrets.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Repeat all seven validations against the remote endpoint.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Synchronize CPU, memory, disk, network, database-pool, and latency monitoring with the load test.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P1</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Create encrypted off-host PostgreSQL and MinIO backups and perform restoration on a clean host.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Repeat each performance scenario at least three times and report uncertainty.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Add write-heavy, mixed-role, upload, and endurance workloads.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Define and measure recovery point and recovery time objectives.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P2</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Regenerate UTF-8 evidence inventories and preserve immutable test artifacts.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P3</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Populate the cost model with verified institutional or cloud prices and realistic utilization assumptions.</w:t>
            </w:r>
          </w:p>
        </w:tc>
      </w:tr>
    </w:tbl>
    <w:p/>
    <w:p>
      <w:pPr>
        <w:pStyle w:val="Heading2"/>
      </w:pPr>
      <w:r>
        <w:rPr>
          <w:rFonts w:ascii="Times New Roman" w:hAnsi="Times New Roman" w:eastAsia="Times New Roman"/>
        </w:rPr>
        <w:t>14. Overall System-Readiness Conclusion</w:t>
      </w:r>
    </w:p>
    <w:p>
      <w:r>
        <w:rPr>
          <w:rFonts w:ascii="Times New Roman" w:hAnsi="Times New Roman" w:eastAsia="Times New Roman"/>
        </w:rPr>
        <w:t>The Phase I local matrix records 83 of 83 checks passed across seven validations, with no failed, pending, or review status. Security controls, diagnostic-report auditability, PostgreSQL-MinIO consistency, backup restoration, and optimized 200-user performance all passed locally. The final cross-environment conclusion will be completed after the planned UESTC phase.</w:t>
      </w:r>
    </w:p>
    <w:p>
      <w:r>
        <w:rPr>
          <w:rFonts w:ascii="Times New Roman" w:hAnsi="Times New Roman" w:eastAsia="Times New Roman"/>
        </w:rPr>
        <w:t>The platform is therefore defensibly described as locally production-ready and cloud-ready for the measured configuration. This conclusion is narrower than full production certification. It does not assert public cloud deployment, legal compliance, high availability, complete disaster recovery, or universal scalability.</w:t>
      </w:r>
    </w:p>
    <w:p>
      <w:r>
        <w:rPr>
          <w:rFonts w:ascii="Times New Roman" w:hAnsi="Times New Roman" w:eastAsia="Times New Roman"/>
        </w:rPr>
        <w:t>The next decisive milestone is not further local feature expansion. It is controlled deployment to the institutional VM followed by repetition of the complete validation suite under the actual remote hardware, network, security, backup, and operational conditions.</w:t>
      </w:r>
    </w:p>
    <w:p>
      <w:r>
        <w:rPr>
          <w:rFonts w:ascii="Times New Roman" w:hAnsi="Times New Roman" w:eastAsia="Times New Roman"/>
        </w:rPr>
      </w:r>
    </w:p>
    <w:p>
      <w:pPr>
        <w:pStyle w:val="Heading2"/>
        <w:spacing w:before="0" w:after="0"/>
      </w:pPr>
      <w:r>
        <w:rPr>
          <w:rFonts w:ascii="Times New Roman" w:hAnsi="Times New Roman" w:eastAsia="Times New Roman"/>
        </w:rP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Claim area</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Primary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Overall validation status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docs/evidence/final_project_status.txt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Final validation matrix</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docs/evidence/final_validation_matrix.md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HTTP security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docs/evidence/production_security_summary.txt and docs/tables/production_security_results.csv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Diagnostic-report storage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docs/tables/diagnostic_report_e2e_results.csv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MinIO lifecycle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docs/tables/minio_storage_results.csv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PostgreSQL recovery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MinIO recovery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Table-level restore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docs/tables/backup_restore_validation.csv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Performance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docs/evidence/performance_consolidated_summary.md and docs/tables/performance_consolidated_summary.csv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Resource interpretation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RBAC coverage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docs/tables/rbac_matrix.csv</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Container state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docs/02_implementation/production_containers.txt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API inventory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docs/02_implementation/api_routes_inventory.txt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Migration state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docs/02_implementation/alembic_current.txt</w:t>
            </w:r>
          </w:p>
        </w:tc>
      </w:tr>
    </w:tbl>
    <w:p/>
    <w:p>
      <w:pPr>
        <w:pStyle w:val="Heading2"/>
        <w:spacing w:before="60" w:after="40"/>
      </w:pPr>
      <w:r>
        <w:rPr>
          <w:rFonts w:ascii="Times New Roman" w:hAnsi="Times New Roman" w:eastAsia="Times New Roman"/>
        </w:rPr>
        <w:t>Appendix B. Consolidated Headline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Metric</w:t>
            </w:r>
          </w:p>
        </w:tc>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Validated value</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Final validation checks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83/83 passed</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Unresolved validation items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HTTP security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17/17</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Strict audit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9/9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Diagnostic-report storage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10/10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lifecycle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4/4</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PostgreSQL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19/19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23/23</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Maximum zero-failure load</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200 concurrent users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throughput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146.77 requests/s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P95 latency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110 ms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Failed requests after optimization</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Listed restored rows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1,581,926 across 9 enumerated tables</w:t>
            </w:r>
          </w:p>
        </w:tc>
      </w:tr>
    </w:tbl>
    <w:p/>
    <w:p>
      <w:pPr>
        <w:pStyle w:val="Heading1"/>
        <w:pageBreakBefore w:val="1"/>
        <w:keepNext/>
      </w:pPr>
      <w:r>
        <w:rPr>
          <w:rFonts w:ascii="Times New Roman" w:hAnsi="Times New Roman" w:eastAsia="Times New Roman"/>
        </w:rPr>
        <w:t>Chapter 10. Interim Conclusion, Contributions, Planned Remote Validation and Future Work</w:t>
      </w:r>
    </w:p>
    <w:p>
      <w:pPr>
        <w:pStyle w:val="Heading2"/>
      </w:pPr>
      <w:r>
        <w:rPr>
          <w:rFonts w:ascii="Times New Roman" w:hAnsi="Times New Roman" w:eastAsia="Times New Roman"/>
        </w:rPr>
        <w:t>1. General Conclusion</w:t>
      </w:r>
    </w:p>
    <w:p>
      <w:pPr/>
      <w:r>
        <w:rPr>
          <w:rFonts w:ascii="Times New Roman" w:hAnsi="Times New Roman" w:eastAsia="Times New Roman"/>
        </w:rPr>
        <w:t>This research designed, implemented, and validated a secure, scalable, and cost-efficient cloud-based platform for healthcare data management in resource-constrained environments. The platform combines structured clinical-data management, private object storage, containerized deployment, auditability, recoverability, measured scalability, and bounded interoperability. The implementation integrates FastAPI, PostgreSQL, MinIO, Nginx, Alembic, JWT authentication, role-based access control, audit logging, clinical APIs, a FHIR-inspired interoperability layer, and Synthea ingestion utilities.</w:t>
      </w:r>
    </w:p>
    <w:p>
      <w:r>
        <w:rPr>
          <w:rFonts w:ascii="Times New Roman" w:hAnsi="Times New Roman" w:eastAsia="Times New Roman"/>
        </w:rPr>
        <w:t>The final validation matrix records seven successful validations and no failed, pending, or review item. Production HTTP security passed 17 of 17 checks, strict diagnostic-report audit validation passed 9 of 9, end-to-end diagnostic-report storage passed 10 of 10, the MinIO lifecycle passed 4 of 4, PostgreSQL recovery passed 19 of 19, MinIO recovery passed 23 of 23, and the optimized 200-user workload completed without failures.</w:t>
      </w:r>
    </w:p>
    <w:p>
      <w:pPr/>
      <w:r>
        <w:rPr>
          <w:rFonts w:ascii="Times New Roman" w:hAnsi="Times New Roman" w:eastAsia="Times New Roman"/>
        </w:rPr>
        <w:t>The evidence supports a carefully scoped interim conclusion. Phase I is complete: the platform is locally production-ready, cloud-ready, and cost-efficient by design for the measured Docker configuration. Phase II is part of the planned experimental methodology and remains pending solely because access to the UESTC virtual machine has not yet been granted. It will provide the final remote performance, resource, endurance, recovery, and monetary-cost evidence.</w:t>
      </w:r>
    </w:p>
    <w:p>
      <w:pPr>
        <w:jc w:val="center"/>
      </w:pPr>
      <w:r>
        <w:rPr>
          <w:rFonts w:ascii="Times New Roman" w:hAnsi="Times New Roman" w:eastAsia="Times New Roman"/>
        </w:rPr>
        <w:drawing>
          <wp:inline xmlns:a="http://schemas.openxmlformats.org/drawingml/2006/main" xmlns:pic="http://schemas.openxmlformats.org/drawingml/2006/picture">
            <wp:extent cx="6126480" cy="3824875"/>
            <wp:docPr id="33" name="Picture 1"/>
            <wp:cNvGraphicFramePr>
              <a:graphicFrameLocks noChangeAspect="1"/>
            </wp:cNvGraphicFramePr>
            <a:graphic>
              <a:graphicData uri="http://schemas.openxmlformats.org/drawingml/2006/picture">
                <pic:pic>
                  <pic:nvPicPr>
                    <pic:cNvPr id="33" name="research_trajectory.png"/>
                    <pic:cNvPicPr/>
                  </pic:nvPicPr>
                  <pic:blipFill>
                    <a:blip r:embed="rId46"/>
                    <a:stretch>
                      <a:fillRect/>
                    </a:stretch>
                  </pic:blipFill>
                  <pic:spPr>
                    <a:xfrm>
                      <a:off x="0" y="0"/>
                      <a:ext cx="6126480" cy="3824875"/>
                    </a:xfrm>
                    <a:prstGeom prst="rect"/>
                  </pic:spPr>
                </pic:pic>
              </a:graphicData>
            </a:graphic>
          </wp:inline>
        </w:drawing>
      </w:r>
    </w:p>
    <w:p>
      <w:pPr>
        <w:pStyle w:val="AcademicCaption"/>
      </w:pPr>
      <w:r>
        <w:rPr>
          <w:rFonts w:ascii="Times New Roman" w:hAnsi="Times New Roman" w:eastAsia="Times New Roman"/>
        </w:rPr>
        <w:t>Figure 1. Research trajectory from the identified platform problem to the validated local outcome.</w:t>
      </w:r>
    </w:p>
    <w:p>
      <w:pPr>
        <w:pStyle w:val="Heading2"/>
      </w:pPr>
      <w:r>
        <w:rPr>
          <w:rFonts w:ascii="Times New Roman" w:hAnsi="Times New Roman" w:eastAsia="Times New Roman"/>
        </w:rPr>
        <w:t>2. Research Problem and Implemented Solution</w:t>
      </w:r>
    </w:p>
    <w:p>
      <w:pPr/>
      <w:r>
        <w:rPr>
          <w:rFonts w:ascii="Times New Roman" w:hAnsi="Times New Roman" w:eastAsia="Times New Roman"/>
        </w:rPr>
        <w:t>Based on the available implementation and validation evidence, the research addressed the need for a secure, scalable, and cost-efficient healthcare data platform that can operate on modest institutional infrastructure while managing structured and binary data, enforcing access control, preserving traceability, supporting interoperable representations, recovering from data loss, and maintaining acceptable performance under concurrent use.</w:t>
      </w:r>
    </w:p>
    <w:p>
      <w:r>
        <w:rPr>
          <w:rFonts w:ascii="Times New Roman" w:hAnsi="Times New Roman" w:eastAsia="Times New Roman"/>
        </w:rPr>
        <w:t>The implemented solution organizes the backend into API dependencies, versioned endpoints, core security and configuration modules, database models and sessions, Pydantic schemas, business services, ingestion utilities, and database migrations. The deployment layer consists of four services: Nginx, the FastAPI backend, PostgreSQL, and MinIO.</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Research need</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Implemented response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Secure access to healthcare functions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JWT authentication, active-user checks, RBAC and production HTTP controls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Structured healthcare-data management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PostgreSQL models for patients, encounters, conditions, observations, prescriptions and reports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Binary report storage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Private MinIO objects with PostgreSQL metadata and SHA-256 integrity</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Interoperable data access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FHIR-inspired Patient, Encounter, Observation, MedicationRequest and Condition resources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Reproducible synthetic-data ingestion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Synthea patient, encounter, observation and medication import utilities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Cloud-oriented deployment</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Containerized Nginx, backend, PostgreSQL and MinIO production stack</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Operational resilience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Executable PostgreSQL and MinIO backup-and-restore validation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Scalability evidence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Authenticated Locust testing up to 200 concurrent users</w:t>
            </w:r>
          </w:p>
        </w:tc>
      </w:tr>
    </w:tbl>
    <w:p/>
    <w:p>
      <w:pPr>
        <w:pStyle w:val="Heading2"/>
      </w:pPr>
      <w:r>
        <w:rPr>
          <w:rFonts w:ascii="Times New Roman" w:hAnsi="Times New Roman" w:eastAsia="Times New Roman"/>
        </w:rPr>
        <w:t>3. Achievement of the Research Objectives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Objective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Evidence</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6"/>
              </w:rPr>
              <w:t>Assessment</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Design a modular healthcare backend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FastAPI modules, services, schemas, models and API routing implemented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Enforce authentication and authorization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JWT, active-user resolution and six-role RBAC model</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in tested scope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Manage clinical records and diagnostic files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PostgreSQL clinical entities plus private MinIO report objects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in tested scope</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Support interoperability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FHIR-inspired endpoints and CapabilityStatement-like metadata</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Partially achieved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Support synthetic-data ingestion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Synthea patients, encounters, observations and medications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for demonstrated importers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Demonstrate local production deployment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Four-service production Docker stack</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Validate security, storage and auditability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40 combined checks across HTTP security, audit and storage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Validate backup and recovery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42 passing PostgreSQL and MinIO recovery checks</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locally</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Validate scalability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200 users, 146.77 requests/s and zero failures after optimization</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Achieved for measured workload</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6"/>
              </w:rPr>
              <w:t>Deploy on institutional cloud infrastructure</w:t>
            </w:r>
          </w:p>
        </w:tc>
        <w:tc>
          <w:tcPr>
            <w:tcW w:type="dxa" w:w="3173"/>
            <w:vAlign w:val="center"/>
          </w:tcPr>
          <w:p>
            <w:r>
              <w:rPr>
                <w:rFonts w:ascii="Times New Roman" w:hAnsi="Times New Roman" w:eastAsia="Times New Roman"/>
                <w:sz w:val="17"/>
              </w:rPr>
              <w:t>Required Phase II UESTC VM deployment and remote revalidation</w:t>
            </w:r>
          </w:p>
        </w:tc>
        <w:tc>
          <w:tcPr>
            <w:tcW w:type="dxa" w:w="3173"/>
            <w:vAlign w:val="center"/>
          </w:tcPr>
          <w:p>
            <w:r>
              <w:rPr>
                <w:rFonts w:ascii="Times New Roman" w:hAnsi="Times New Roman" w:eastAsia="Times New Roman"/>
                <w:sz w:val="17"/>
              </w:rPr>
              <w:t>Planned; pending VM access</w:t>
            </w:r>
          </w:p>
        </w:tc>
      </w:tr>
      <w:tr>
        <w:trPr>
          <w:cantSplit/>
        </w:trPr>
        <w:tc>
          <w:tcPr>
            <w:tcW w:type="dxa" w:w="3173"/>
            <w:vAlign w:val="center"/>
          </w:tcPr>
          <w:p>
            <w:r>
              <w:rPr>
                <w:rFonts w:ascii="Times New Roman" w:hAnsi="Times New Roman" w:eastAsia="Times New Roman"/>
                <w:sz w:val="17"/>
              </w:rPr>
              <w:t>Support cost-efficient deployment</w:t>
            </w:r>
          </w:p>
        </w:tc>
        <w:tc>
          <w:tcPr>
            <w:tcW w:type="dxa" w:w="3173"/>
            <w:vAlign w:val="center"/>
          </w:tcPr>
          <w:p>
            <w:r>
              <w:rPr>
                <w:rFonts w:ascii="Times New Roman" w:hAnsi="Times New Roman" w:eastAsia="Times New Roman"/>
                <w:sz w:val="17"/>
              </w:rPr>
              <w:t>Open-source architecture, local resource evidence, cost methodology, and planned UESTC pricing</w:t>
            </w:r>
          </w:p>
        </w:tc>
        <w:tc>
          <w:tcPr>
            <w:tcW w:type="dxa" w:w="3173"/>
            <w:vAlign w:val="center"/>
          </w:tcPr>
          <w:p>
            <w:r>
              <w:rPr>
                <w:rFonts w:ascii="Times New Roman" w:hAnsi="Times New Roman" w:eastAsia="Times New Roman"/>
                <w:sz w:val="17"/>
              </w:rPr>
              <w:t>Local design evidence complete; monetary result pending Phase II</w:t>
            </w:r>
          </w:p>
        </w:tc>
      </w:tr>
    </w:tbl>
    <w:p/>
    <w:p>
      <w:pPr>
        <w:pStyle w:val="Heading2"/>
      </w:pPr>
      <w:r>
        <w:rPr>
          <w:rFonts w:ascii="Times New Roman" w:hAnsi="Times New Roman" w:eastAsia="Times New Roman"/>
        </w:rPr>
        <w:t>4. Main Scientific and Engineering Contributions</w:t>
      </w:r>
    </w:p>
    <w:p>
      <w:pPr>
        <w:jc w:val="center"/>
      </w:pPr>
      <w:r>
        <w:rPr>
          <w:rFonts w:ascii="Times New Roman" w:hAnsi="Times New Roman" w:eastAsia="Times New Roman"/>
        </w:rPr>
        <w:drawing>
          <wp:inline xmlns:a="http://schemas.openxmlformats.org/drawingml/2006/main" xmlns:pic="http://schemas.openxmlformats.org/drawingml/2006/picture">
            <wp:extent cx="6217920" cy="4167366"/>
            <wp:docPr id="34" name="Picture 2"/>
            <wp:cNvGraphicFramePr>
              <a:graphicFrameLocks noChangeAspect="1"/>
            </wp:cNvGraphicFramePr>
            <a:graphic>
              <a:graphicData uri="http://schemas.openxmlformats.org/drawingml/2006/picture">
                <pic:pic>
                  <pic:nvPicPr>
                    <pic:cNvPr id="34" name="contribution_map.png"/>
                    <pic:cNvPicPr/>
                  </pic:nvPicPr>
                  <pic:blipFill>
                    <a:blip r:embed="rId47"/>
                    <a:stretch>
                      <a:fillRect/>
                    </a:stretch>
                  </pic:blipFill>
                  <pic:spPr>
                    <a:xfrm>
                      <a:off x="0" y="0"/>
                      <a:ext cx="6217920" cy="4167366"/>
                    </a:xfrm>
                    <a:prstGeom prst="rect"/>
                  </pic:spPr>
                </pic:pic>
              </a:graphicData>
            </a:graphic>
          </wp:inline>
        </w:drawing>
      </w:r>
    </w:p>
    <w:p>
      <w:pPr>
        <w:pStyle w:val="AcademicCaption"/>
      </w:pPr>
      <w:r>
        <w:rPr>
          <w:rFonts w:ascii="Times New Roman" w:hAnsi="Times New Roman" w:eastAsia="Times New Roman"/>
        </w:rPr>
        <w:t>Figure 2. Principal scientific and engineering contributions of the research.</w:t>
      </w:r>
    </w:p>
    <w:p>
      <w:pPr>
        <w:pStyle w:val="Heading3"/>
      </w:pPr>
      <w:r>
        <w:rPr>
          <w:rFonts w:ascii="Times New Roman" w:hAnsi="Times New Roman" w:eastAsia="Times New Roman"/>
        </w:rPr>
        <w:t>4.1 Security contribution</w:t>
      </w:r>
    </w:p>
    <w:p>
      <w:r>
        <w:rPr>
          <w:rFonts w:ascii="Times New Roman" w:hAnsi="Times New Roman" w:eastAsia="Times New Roman"/>
        </w:rPr>
        <w:t>The project integrates password protection, JWT-based authentication, active-account checking, six operational roles, route-level and router-level RBAC, production HTTP security controls, and audit logging. The contribution is not merely architectural. It is supported by executable security evidence, including 17 of 17 production HTTP checks and 9 of 9 strict audit checks.</w:t>
      </w:r>
    </w:p>
    <w:p>
      <w:pPr>
        <w:pStyle w:val="Heading3"/>
      </w:pPr>
      <w:r>
        <w:rPr>
          <w:rFonts w:ascii="Times New Roman" w:hAnsi="Times New Roman" w:eastAsia="Times New Roman"/>
        </w:rPr>
        <w:t>4.2 Healthcare data-management contribution</w:t>
      </w:r>
    </w:p>
    <w:p>
      <w:r>
        <w:rPr>
          <w:rFonts w:ascii="Times New Roman" w:hAnsi="Times New Roman" w:eastAsia="Times New Roman"/>
        </w:rPr>
        <w:t>The platform provides a patient-centered relational model for encounters, conditions, observations, prescriptions, diagnostic-report metadata, users, roles, and audit records. Diagnostic-report bytes are separated from structured metadata and stored privately in MinIO. File size and SHA-256 values connect the relational and object-storage layers.</w:t>
      </w:r>
    </w:p>
    <w:p>
      <w:pPr>
        <w:pStyle w:val="Heading3"/>
      </w:pPr>
      <w:r>
        <w:rPr>
          <w:rFonts w:ascii="Times New Roman" w:hAnsi="Times New Roman" w:eastAsia="Times New Roman"/>
        </w:rPr>
        <w:t>4.3 FHIR-inspired interoperability contribution</w:t>
      </w:r>
    </w:p>
    <w:p>
      <w:r>
        <w:rPr>
          <w:rFonts w:ascii="Times New Roman" w:hAnsi="Times New Roman" w:eastAsia="Times New Roman"/>
        </w:rPr>
        <w:t>The implementation exposes selected FHIR-named resources and Bundle-like responses for Patient, Encounter, Observation, MedicationRequest, and Condition, together with a Patient/$everything operation and minimal capability metadata. This provides an interoperability foundation while remaining explicitly narrower than full HL7 FHIR conformance.</w:t>
      </w:r>
    </w:p>
    <w:p>
      <w:pPr>
        <w:pStyle w:val="Heading3"/>
      </w:pPr>
      <w:r>
        <w:rPr>
          <w:rFonts w:ascii="Times New Roman" w:hAnsi="Times New Roman" w:eastAsia="Times New Roman"/>
        </w:rPr>
        <w:t>4.4 Containerization and cloud-readiness contribution</w:t>
      </w:r>
    </w:p>
    <w:p>
      <w:pPr/>
      <w:r>
        <w:rPr>
          <w:rFonts w:ascii="Times New Roman" w:hAnsi="Times New Roman" w:eastAsia="Times New Roman"/>
        </w:rPr>
        <w:t>The system is packaged as a four-service Docker Compose architecture designed to minimize deployment complexity and proprietary dependencies. Nginx provides the external entry point, the backend mediates application access, and PostgreSQL and MinIO remain on an internal data network. Named volumes, health checks, dependencies, restart policies, environment-driven configuration, Git tags, and release history support reproducibility, cost-aware operation, and deployment readiness on a modest virtual machine.</w:t>
      </w:r>
    </w:p>
    <w:p>
      <w:pPr>
        <w:pStyle w:val="Heading3"/>
      </w:pPr>
      <w:r>
        <w:rPr>
          <w:rFonts w:ascii="Times New Roman" w:hAnsi="Times New Roman" w:eastAsia="Times New Roman"/>
        </w:rPr>
        <w:t>4.5 Performance and scalability contribution</w:t>
      </w:r>
    </w:p>
    <w:p>
      <w:r>
        <w:rPr>
          <w:rFonts w:ascii="Times New Roman" w:hAnsi="Times New Roman" w:eastAsia="Times New Roman"/>
        </w:rPr>
        <w:t>The study preserves both the failed initial 200-user experiment and the optimized result. The initial run produced 357 failed requests, 23.99% failure rate, mean latency of 33,132.66 ms, and 5.23 requests per second. The optimized run completed 43,814 requests with zero failures, 29.27 ms mean latency, 110 ms P95 latency, and 146.77 requests per second.</w:t>
      </w:r>
    </w:p>
    <w:p>
      <w:r>
        <w:rPr>
          <w:rFonts w:ascii="Times New Roman" w:hAnsi="Times New Roman" w:eastAsia="Times New Roman"/>
        </w:rPr>
        <w:t>This before-and-after evidence demonstrates the identification and remediation of a software bottleneck. It does not demonstrate unlimited scalability or performance on different infrastructure.</w:t>
      </w:r>
    </w:p>
    <w:p>
      <w:pPr>
        <w:pStyle w:val="Heading3"/>
      </w:pPr>
      <w:r>
        <w:rPr>
          <w:rFonts w:ascii="Times New Roman" w:hAnsi="Times New Roman" w:eastAsia="Times New Roman"/>
        </w:rPr>
        <w:t>4.6 Backup and disaster-recovery contribution</w:t>
      </w:r>
    </w:p>
    <w:p>
      <w:r>
        <w:rPr>
          <w:rFonts w:ascii="Times New Roman" w:hAnsi="Times New Roman" w:eastAsia="Times New Roman"/>
        </w:rPr>
        <w:t>The recovery contribution is based on restoration rather than backup creation alone. PostgreSQL was restored into a temporary database and verified across ten tables. MinIO objects were restored into a temporary bucket and checked for count, size, and SHA-256 integrity. Temporary recovery targets were removed after validation.</w:t>
      </w:r>
    </w:p>
    <w:p>
      <w:pPr>
        <w:pStyle w:val="Heading2"/>
      </w:pPr>
      <w:r>
        <w:rPr>
          <w:rFonts w:ascii="Times New Roman" w:hAnsi="Times New Roman" w:eastAsia="Times New Roman"/>
        </w:rPr>
        <w:t>5. Completed Local Validation Outcome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Validation</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Checks</w:t>
            </w:r>
          </w:p>
        </w:tc>
        <w:tc>
          <w:tcPr>
            <w:tcW w:type="dxa" w:w="3173"/>
            <w:vAlign w:val="center"/>
            <w:shd w:fill="D9E1F2"/>
          </w:tcPr>
          <w:p>
            <w:pPr>
              <w:jc w:val="left"/>
            </w:pPr>
            <w:r>
              <w:rPr>
                <w:rFonts w:ascii="Times New Roman" w:hAnsi="Times New Roman" w:eastAsia="Times New Roman"/>
                <w:sz w:val="17"/>
              </w:rPr>
            </w:r>
            <w:r>
              <w:rPr>
                <w:rFonts w:ascii="Times New Roman" w:hAnsi="Times New Roman" w:eastAsia="Times New Roman"/>
                <w:b/>
                <w:sz w:val="17"/>
              </w:rPr>
              <w:t>Status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Production HTTP security</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17/17</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strict audit</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9/9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Diagnostic report end-to-end storage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10/10</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 service lifecycle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4/4</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PostgreSQL backup and restore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19/19</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MinIO backup and restore</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23/23</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r>
        <w:trPr>
          <w:cantSplit/>
        </w:trPr>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Optimized 200-user load</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1/1</w:t>
            </w:r>
          </w:p>
        </w:tc>
        <w:tc>
          <w:tcPr>
            <w:tcW w:type="dxa" w:w="3173"/>
            <w:vAlign w:val="center"/>
          </w:tcPr>
          <w:p>
            <w:pPr>
              <w:jc w:val="left"/>
            </w:pPr>
            <w:r>
              <w:rPr>
                <w:rFonts w:ascii="Times New Roman" w:hAnsi="Times New Roman" w:eastAsia="Times New Roman"/>
                <w:sz w:val="17"/>
              </w:rPr>
            </w:r>
            <w:r>
              <w:rPr>
                <w:rFonts w:ascii="Times New Roman" w:hAnsi="Times New Roman" w:eastAsia="Times New Roman"/>
                <w:b w:val="0"/>
                <w:sz w:val="17"/>
              </w:rPr>
              <w:t>PASS</w:t>
            </w:r>
          </w:p>
        </w:tc>
      </w:tr>
    </w:tbl>
    <w:p/>
    <w:p>
      <w:r>
        <w:rPr>
          <w:rFonts w:ascii="Times New Roman" w:hAnsi="Times New Roman" w:eastAsia="Times New Roman"/>
        </w:rPr>
        <w:t>The seven validations contain 83 recorded checks, all of which passed. These checks represent heterogeneous forms of evidence and should not be interpreted as a statistical score. Their value lies in the combined coverage of security, auditability, storage, recovery, and performance.</w:t>
      </w:r>
    </w:p>
    <w:p>
      <w:r>
        <w:rPr>
          <w:rFonts w:ascii="Times New Roman" w:hAnsi="Times New Roman" w:eastAsia="Times New Roman"/>
        </w:rPr>
        <w:t>The strongest conclusion is cross-domain consistency. Authorized operations succeeded, unauthorized operations were denied, stored bytes matched recorded metadata, backups were recoverable, and the optimized workload met the measured reliability target.</w:t>
      </w:r>
    </w:p>
    <w:p>
      <w:pPr>
        <w:pStyle w:val="Heading2"/>
      </w:pPr>
      <w:r>
        <w:rPr>
          <w:rFonts w:ascii="Times New Roman" w:hAnsi="Times New Roman" w:eastAsia="Times New Roman"/>
        </w:rPr>
        <w:t>6. Study Limitations and Threats to Generalization</w:t>
      </w:r>
    </w:p>
    <w:p>
      <w:pPr>
        <w:pStyle w:val="ListBullet"/>
      </w:pPr>
      <w:r>
        <w:rPr>
          <w:rFonts w:ascii="Times New Roman" w:hAnsi="Times New Roman" w:eastAsia="Times New Roman"/>
        </w:rPr>
        <w:t>The final evidence describes one local Docker host and must be repeated on the UESTC VM.</w:t>
      </w:r>
    </w:p>
    <w:p>
      <w:pPr>
        <w:pStyle w:val="ListBullet"/>
      </w:pPr>
      <w:r>
        <w:rPr>
          <w:rFonts w:ascii="Times New Roman" w:hAnsi="Times New Roman" w:eastAsia="Times New Roman"/>
        </w:rPr>
        <w:t>The performance results are consolidated single-run scenarios without repeated-run confidence intervals.</w:t>
      </w:r>
    </w:p>
    <w:p>
      <w:pPr>
        <w:pStyle w:val="ListBullet"/>
      </w:pPr>
      <w:r>
        <w:rPr>
          <w:rFonts w:ascii="Times New Roman" w:hAnsi="Times New Roman" w:eastAsia="Times New Roman"/>
        </w:rPr>
        <w:t>The measured workload does not represent every write-heavy, upload-heavy, or geographically distributed use case.</w:t>
      </w:r>
    </w:p>
    <w:p>
      <w:pPr>
        <w:pStyle w:val="ListBullet"/>
      </w:pPr>
      <w:r>
        <w:rPr>
          <w:rFonts w:ascii="Times New Roman" w:hAnsi="Times New Roman" w:eastAsia="Times New Roman"/>
        </w:rPr>
        <w:t>Security tests validate selected controls but do not prove compliance with a healthcare regulation or certification framework.</w:t>
      </w:r>
    </w:p>
    <w:p>
      <w:pPr>
        <w:pStyle w:val="ListBullet"/>
      </w:pPr>
      <w:r>
        <w:rPr>
          <w:rFonts w:ascii="Times New Roman" w:hAnsi="Times New Roman" w:eastAsia="Times New Roman"/>
        </w:rPr>
        <w:t>The production reverse proxy remains HTTP-only in the supplied local configuration.</w:t>
      </w:r>
    </w:p>
    <w:p>
      <w:pPr>
        <w:pStyle w:val="ListBullet"/>
      </w:pPr>
      <w:r>
        <w:rPr>
          <w:rFonts w:ascii="Times New Roman" w:hAnsi="Times New Roman" w:eastAsia="Times New Roman"/>
        </w:rPr>
        <w:t>The recovery tests do not demonstrate recovery from complete host loss, off-site backup retention, or point-in-time recovery.</w:t>
      </w:r>
    </w:p>
    <w:p>
      <w:pPr>
        <w:pStyle w:val="ListBullet"/>
      </w:pPr>
      <w:r>
        <w:rPr>
          <w:rFonts w:ascii="Times New Roman" w:hAnsi="Times New Roman" w:eastAsia="Times New Roman"/>
        </w:rPr>
        <w:t>The MinIO recovery sample contains seven small objects totaling 488 bytes.</w:t>
      </w:r>
    </w:p>
    <w:p>
      <w:pPr>
        <w:pStyle w:val="ListBullet"/>
      </w:pPr>
      <w:r>
        <w:rPr>
          <w:rFonts w:ascii="Times New Roman" w:hAnsi="Times New Roman" w:eastAsia="Times New Roman"/>
        </w:rPr>
        <w:t>The resource snapshots are not synchronized time-series measurements and should not support strong efficiency claims.</w:t>
      </w:r>
    </w:p>
    <w:p>
      <w:pPr>
        <w:pStyle w:val="ListBullet"/>
      </w:pPr>
      <w:r>
        <w:rPr>
          <w:rFonts w:ascii="Times New Roman" w:hAnsi="Times New Roman" w:eastAsia="Times New Roman"/>
        </w:rPr>
        <w:t>Verified monthly infrastructure and operational costs were not available.</w:t>
      </w:r>
    </w:p>
    <w:p>
      <w:pPr>
        <w:pStyle w:val="ListBullet"/>
      </w:pPr>
      <w:r>
        <w:rPr>
          <w:rFonts w:ascii="Times New Roman" w:hAnsi="Times New Roman" w:eastAsia="Times New Roman"/>
        </w:rPr>
        <w:t>The FHIR-inspired layer is partial and does not demonstrate full conformance.</w:t>
      </w:r>
    </w:p>
    <w:p>
      <w:pPr>
        <w:pStyle w:val="ListBullet"/>
      </w:pPr>
      <w:r>
        <w:rPr>
          <w:rFonts w:ascii="Times New Roman" w:hAnsi="Times New Roman" w:eastAsia="Times New Roman"/>
        </w:rPr>
        <w:t>The supplied evidence does not include a demonstrated Synthea Condition importer.</w:t>
      </w:r>
    </w:p>
    <w:p>
      <w:pPr>
        <w:pStyle w:val="ListBullet"/>
      </w:pPr>
      <w:r>
        <w:rPr>
          <w:rFonts w:ascii="Times New Roman" w:hAnsi="Times New Roman" w:eastAsia="Times New Roman"/>
        </w:rPr>
        <w:t>High availability, multi-node database replication, and automatic failover were outside the validated scope.</w:t>
      </w:r>
    </w:p>
    <w:p>
      <w:r>
        <w:rPr>
          <w:rFonts w:ascii="Times New Roman" w:hAnsi="Times New Roman" w:eastAsia="Times New Roman"/>
        </w:rPr>
        <w:t>These limitations narrow the claims that can be made, but they do not invalidate the measured results. They define the boundary between the completed local research contribution and the next deployment phase.</w:t>
      </w:r>
    </w:p>
    <w:p>
      <w:pPr>
        <w:pStyle w:val="Heading2"/>
      </w:pPr>
      <w:r>
        <w:rPr>
          <w:rFonts w:ascii="Times New Roman" w:hAnsi="Times New Roman" w:eastAsia="Times New Roman"/>
        </w:rPr>
        <w:t>7. Planned Remote Validation and Subsequent Future Work</w:t>
      </w:r>
    </w:p>
    <w:p>
      <w:pPr>
        <w:jc w:val="center"/>
      </w:pPr>
      <w:r>
        <w:rPr>
          <w:rFonts w:ascii="Times New Roman" w:hAnsi="Times New Roman" w:eastAsia="Times New Roman"/>
        </w:rPr>
        <w:drawing>
          <wp:inline xmlns:a="http://schemas.openxmlformats.org/drawingml/2006/main" xmlns:pic="http://schemas.openxmlformats.org/drawingml/2006/picture">
            <wp:extent cx="6217920" cy="4089386"/>
            <wp:docPr id="35" name="Picture 3"/>
            <wp:cNvGraphicFramePr>
              <a:graphicFrameLocks noChangeAspect="1"/>
            </wp:cNvGraphicFramePr>
            <a:graphic>
              <a:graphicData uri="http://schemas.openxmlformats.org/drawingml/2006/picture">
                <pic:pic>
                  <pic:nvPicPr>
                    <pic:cNvPr id="35" name="future_work_roadmap.png"/>
                    <pic:cNvPicPr/>
                  </pic:nvPicPr>
                  <pic:blipFill>
                    <a:blip r:embed="rId48"/>
                    <a:stretch>
                      <a:fillRect/>
                    </a:stretch>
                  </pic:blipFill>
                  <pic:spPr>
                    <a:xfrm>
                      <a:off x="0" y="0"/>
                      <a:ext cx="6217920" cy="4089386"/>
                    </a:xfrm>
                    <a:prstGeom prst="rect"/>
                  </pic:spPr>
                </pic:pic>
              </a:graphicData>
            </a:graphic>
          </wp:inline>
        </w:drawing>
      </w:r>
    </w:p>
    <w:p>
      <w:pPr>
        <w:pStyle w:val="AcademicCaption"/>
      </w:pPr>
      <w:r>
        <w:rPr>
          <w:rFonts w:ascii="Times New Roman" w:hAnsi="Times New Roman" w:eastAsia="Times New Roman"/>
        </w:rPr>
        <w:t>Figure 3. Prioritized roadmap from the validated local platform to remote production evidence.</w:t>
      </w:r>
    </w:p>
    <w:p>
      <w:pPr>
        <w:pStyle w:val="Heading3"/>
      </w:pPr>
      <w:r>
        <w:rPr>
          <w:rFonts w:ascii="Times New Roman" w:hAnsi="Times New Roman" w:eastAsia="Times New Roman"/>
        </w:rPr>
        <w:t>7.1 Planned experimental validation on the UESTC virtual machine</w:t>
      </w:r>
    </w:p>
    <w:p>
      <w:r>
        <w:rPr>
          <w:rFonts w:ascii="Times New Roman" w:hAnsi="Times New Roman" w:eastAsia="Times New Roman"/>
        </w:rPr>
        <w:t>The second experimental phase is deployment of the tagged production release on the institutionally provided UESTC virtual machine. This phase is required by the study design and is not an optional extension. It will record the operating system, CPU, memory, storage, network configuration, public or institutional IP, Docker versions, release commit, and migration revision, then execute the complete remote validation protocol.</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Remote deployment action</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Required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Provision and harden the VM</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Host specification, SSH-key access, operating-system updates and firewall state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Install the application stack</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Docker and Compose versions, release tag, container status and health</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Configure production secrets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New remote-only values, protected permissions and rotation record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Configure domain and HTTPS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DNS record, valid certificate, HTTP redirect and renewal process</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Migrate or restore data</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Alembic head, PostgreSQL integrity and MinIO bucket validation</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Repeat validation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Remote security, storage, recovery and performance result files</w:t>
            </w:r>
          </w:p>
        </w:tc>
      </w:tr>
    </w:tbl>
    <w:p/>
    <w:p>
      <w:pPr>
        <w:pStyle w:val="Heading3"/>
      </w:pPr>
      <w:r>
        <w:rPr>
          <w:rFonts w:ascii="Times New Roman" w:hAnsi="Times New Roman" w:eastAsia="Times New Roman"/>
        </w:rPr>
        <w:t>7.2 Future security improvements</w:t>
      </w:r>
    </w:p>
    <w:p>
      <w:pPr>
        <w:pStyle w:val="ListBullet"/>
      </w:pPr>
      <w:r>
        <w:rPr>
          <w:rFonts w:ascii="Times New Roman" w:hAnsi="Times New Roman" w:eastAsia="Times New Roman"/>
        </w:rPr>
        <w:t>Deploy TLS and validate HSTS over HTTPS.</w:t>
      </w:r>
    </w:p>
    <w:p>
      <w:pPr>
        <w:pStyle w:val="ListBullet"/>
      </w:pPr>
      <w:r>
        <w:rPr>
          <w:rFonts w:ascii="Times New Roman" w:hAnsi="Times New Roman" w:eastAsia="Times New Roman"/>
        </w:rPr>
        <w:t>Introduce dedicated secret management or protected institutional secret storage.</w:t>
      </w:r>
    </w:p>
    <w:p>
      <w:pPr>
        <w:pStyle w:val="ListBullet"/>
      </w:pPr>
      <w:r>
        <w:rPr>
          <w:rFonts w:ascii="Times New Roman" w:hAnsi="Times New Roman" w:eastAsia="Times New Roman"/>
        </w:rPr>
        <w:t>Define secret rotation and incident-response procedures.</w:t>
      </w:r>
    </w:p>
    <w:p>
      <w:pPr>
        <w:pStyle w:val="ListBullet"/>
      </w:pPr>
      <w:r>
        <w:rPr>
          <w:rFonts w:ascii="Times New Roman" w:hAnsi="Times New Roman" w:eastAsia="Times New Roman"/>
        </w:rPr>
        <w:t>Add rate limiting, account lockout or throttling, and multifactor authentication where appropriate.</w:t>
      </w:r>
    </w:p>
    <w:p>
      <w:pPr>
        <w:pStyle w:val="ListBullet"/>
      </w:pPr>
      <w:r>
        <w:rPr>
          <w:rFonts w:ascii="Times New Roman" w:hAnsi="Times New Roman" w:eastAsia="Times New Roman"/>
        </w:rPr>
        <w:t>Forward audit and system logs to centralized monitoring.</w:t>
      </w:r>
    </w:p>
    <w:p>
      <w:pPr>
        <w:pStyle w:val="ListBullet"/>
      </w:pPr>
      <w:r>
        <w:rPr>
          <w:rFonts w:ascii="Times New Roman" w:hAnsi="Times New Roman" w:eastAsia="Times New Roman"/>
        </w:rPr>
        <w:t>Add image, dependency, and vulnerability scanning.</w:t>
      </w:r>
    </w:p>
    <w:p>
      <w:pPr>
        <w:pStyle w:val="ListBullet"/>
      </w:pPr>
      <w:r>
        <w:rPr>
          <w:rFonts w:ascii="Times New Roman" w:hAnsi="Times New Roman" w:eastAsia="Times New Roman"/>
        </w:rPr>
        <w:t>Evaluate database-level controls for stronger audit immutability.</w:t>
      </w:r>
    </w:p>
    <w:p>
      <w:pPr>
        <w:pStyle w:val="Heading3"/>
      </w:pPr>
      <w:r>
        <w:rPr>
          <w:rFonts w:ascii="Times New Roman" w:hAnsi="Times New Roman" w:eastAsia="Times New Roman"/>
        </w:rPr>
        <w:t>7.3 Future interoperability improvements</w:t>
      </w:r>
    </w:p>
    <w:p>
      <w:pPr>
        <w:pStyle w:val="ListBullet"/>
      </w:pPr>
      <w:r>
        <w:rPr>
          <w:rFonts w:ascii="Times New Roman" w:hAnsi="Times New Roman" w:eastAsia="Times New Roman"/>
        </w:rPr>
        <w:t>Declare the target FHIR release and supported implementation subset.</w:t>
      </w:r>
    </w:p>
    <w:p>
      <w:pPr>
        <w:pStyle w:val="ListBullet"/>
      </w:pPr>
      <w:r>
        <w:rPr>
          <w:rFonts w:ascii="Times New Roman" w:hAnsi="Times New Roman" w:eastAsia="Times New Roman"/>
        </w:rPr>
        <w:t>Expand capability metadata to enumerate resources, interactions, search parameters, formats, and security.</w:t>
      </w:r>
    </w:p>
    <w:p>
      <w:pPr>
        <w:pStyle w:val="ListBullet"/>
      </w:pPr>
      <w:r>
        <w:rPr>
          <w:rFonts w:ascii="Times New Roman" w:hAnsi="Times New Roman" w:eastAsia="Times New Roman"/>
        </w:rPr>
        <w:t>Correct search Bundle totals and add pagination links.</w:t>
      </w:r>
    </w:p>
    <w:p>
      <w:pPr>
        <w:pStyle w:val="ListBullet"/>
      </w:pPr>
      <w:r>
        <w:rPr>
          <w:rFonts w:ascii="Times New Roman" w:hAnsi="Times New Roman" w:eastAsia="Times New Roman"/>
        </w:rPr>
        <w:t>Extend Patient/$everything to include Conditions and DiagnosticReports with date bounds.</w:t>
      </w:r>
    </w:p>
    <w:p>
      <w:pPr>
        <w:pStyle w:val="ListBullet"/>
      </w:pPr>
      <w:r>
        <w:rPr>
          <w:rFonts w:ascii="Times New Roman" w:hAnsi="Times New Roman" w:eastAsia="Times New Roman"/>
        </w:rPr>
        <w:t>Add a FHIR DiagnosticReport representation and controlled binary retrieval strategy.</w:t>
      </w:r>
    </w:p>
    <w:p>
      <w:pPr>
        <w:pStyle w:val="ListBullet"/>
      </w:pPr>
      <w:r>
        <w:rPr>
          <w:rFonts w:ascii="Times New Roman" w:hAnsi="Times New Roman" w:eastAsia="Times New Roman"/>
        </w:rPr>
        <w:t>Add terminology validation for LOINC, RxNorm, and condition code systems where practical.</w:t>
      </w:r>
    </w:p>
    <w:p>
      <w:pPr>
        <w:pStyle w:val="ListBullet"/>
      </w:pPr>
      <w:r>
        <w:rPr>
          <w:rFonts w:ascii="Times New Roman" w:hAnsi="Times New Roman" w:eastAsia="Times New Roman"/>
        </w:rPr>
        <w:t>Add and validate the missing Condition ingestion workflow.</w:t>
      </w:r>
    </w:p>
    <w:p>
      <w:pPr>
        <w:pStyle w:val="Heading3"/>
      </w:pPr>
      <w:r>
        <w:rPr>
          <w:rFonts w:ascii="Times New Roman" w:hAnsi="Times New Roman" w:eastAsia="Times New Roman"/>
        </w:rPr>
        <w:t>7.4 Planned performance, resource and cost validation</w:t>
      </w:r>
    </w:p>
    <w:p>
      <w:pPr>
        <w:pStyle w:val="ListBullet"/>
      </w:pPr>
      <w:r>
        <w:rPr>
          <w:rFonts w:ascii="Times New Roman" w:hAnsi="Times New Roman" w:eastAsia="Times New Roman"/>
        </w:rPr>
        <w:t>Repeat each load scenario multiple times on the UESTC VM and report variability as part of Phase II.</w:t>
      </w:r>
    </w:p>
    <w:p>
      <w:pPr>
        <w:pStyle w:val="ListBullet"/>
      </w:pPr>
      <w:r>
        <w:rPr>
          <w:rFonts w:ascii="Times New Roman" w:hAnsi="Times New Roman" w:eastAsia="Times New Roman"/>
        </w:rPr>
        <w:t>Execute mixed read/write, file-upload, role-specific, endurance, and recovery-under-load scenarios during Phase II.</w:t>
      </w:r>
    </w:p>
    <w:p>
      <w:pPr>
        <w:pStyle w:val="ListBullet"/>
      </w:pPr>
      <w:r>
        <w:rPr>
          <w:rFonts w:ascii="Times New Roman" w:hAnsi="Times New Roman" w:eastAsia="Times New Roman"/>
        </w:rPr>
        <w:t>Collect synchronized CPU, memory, network, storage, database-pool, and latency time series during Phase II.</w:t>
      </w:r>
    </w:p>
    <w:p>
      <w:pPr>
        <w:pStyle w:val="ListBullet"/>
      </w:pPr>
      <w:r>
        <w:rPr>
          <w:rFonts w:ascii="Times New Roman" w:hAnsi="Times New Roman" w:eastAsia="Times New Roman"/>
        </w:rPr>
        <w:t>Compare the completed local baseline with UESTC VM results using the same workload and documented CPU/memory allocations.</w:t>
      </w:r>
    </w:p>
    <w:p>
      <w:pPr>
        <w:pStyle w:val="ListBullet"/>
      </w:pPr>
      <w:r>
        <w:rPr>
          <w:rFonts w:ascii="Times New Roman" w:hAnsi="Times New Roman" w:eastAsia="Times New Roman"/>
        </w:rPr>
        <w:t>Define target service-level objectives for availability and latency.</w:t>
      </w:r>
    </w:p>
    <w:p>
      <w:pPr>
        <w:pStyle w:val="ListBullet"/>
      </w:pPr>
      <w:r>
        <w:rPr>
          <w:rFonts w:ascii="Times New Roman" w:hAnsi="Times New Roman" w:eastAsia="Times New Roman"/>
        </w:rPr>
        <w:t>Populate the cost model with the verified UESTC infrastructure and operational costs during Phase II.</w:t>
      </w:r>
    </w:p>
    <w:p>
      <w:pPr>
        <w:pStyle w:val="ListBullet"/>
      </w:pPr>
      <w:r>
        <w:rPr>
          <w:rFonts w:ascii="Times New Roman" w:hAnsi="Times New Roman" w:eastAsia="Times New Roman"/>
        </w:rPr>
        <w:t>Use realistic utilization rather than treating maximum Locust throughput as continuous monthly traffic.</w:t>
      </w:r>
    </w:p>
    <w:p>
      <w:pPr>
        <w:pStyle w:val="Heading3"/>
      </w:pPr>
      <w:r>
        <w:rPr>
          <w:rFonts w:ascii="Times New Roman" w:hAnsi="Times New Roman" w:eastAsia="Times New Roman"/>
        </w:rPr>
        <w:t>7.5 Future resilience and operational work</w:t>
      </w:r>
    </w:p>
    <w:p>
      <w:pPr>
        <w:pStyle w:val="ListBullet"/>
      </w:pPr>
      <w:r>
        <w:rPr>
          <w:rFonts w:ascii="Times New Roman" w:hAnsi="Times New Roman" w:eastAsia="Times New Roman"/>
        </w:rPr>
        <w:t>Create encrypted off-host PostgreSQL and MinIO backups.</w:t>
      </w:r>
    </w:p>
    <w:p>
      <w:pPr>
        <w:pStyle w:val="ListBullet"/>
      </w:pPr>
      <w:r>
        <w:rPr>
          <w:rFonts w:ascii="Times New Roman" w:hAnsi="Times New Roman" w:eastAsia="Times New Roman"/>
        </w:rPr>
        <w:t>Define backup schedules, retention rules, and automated failure alerts.</w:t>
      </w:r>
    </w:p>
    <w:p>
      <w:pPr>
        <w:pStyle w:val="ListBullet"/>
      </w:pPr>
      <w:r>
        <w:rPr>
          <w:rFonts w:ascii="Times New Roman" w:hAnsi="Times New Roman" w:eastAsia="Times New Roman"/>
        </w:rPr>
        <w:t>Measure recovery point objective and recovery time objective.</w:t>
      </w:r>
    </w:p>
    <w:p>
      <w:pPr>
        <w:pStyle w:val="ListBullet"/>
      </w:pPr>
      <w:r>
        <w:rPr>
          <w:rFonts w:ascii="Times New Roman" w:hAnsi="Times New Roman" w:eastAsia="Times New Roman"/>
        </w:rPr>
        <w:t>Evaluate PostgreSQL write-ahead-log archiving for point-in-time recovery.</w:t>
      </w:r>
    </w:p>
    <w:p>
      <w:pPr>
        <w:pStyle w:val="ListBullet"/>
      </w:pPr>
      <w:r>
        <w:rPr>
          <w:rFonts w:ascii="Times New Roman" w:hAnsi="Times New Roman" w:eastAsia="Times New Roman"/>
        </w:rPr>
        <w:t>Perform restoration on a clean second host.</w:t>
      </w:r>
    </w:p>
    <w:p>
      <w:pPr>
        <w:pStyle w:val="ListBullet"/>
      </w:pPr>
      <w:r>
        <w:rPr>
          <w:rFonts w:ascii="Times New Roman" w:hAnsi="Times New Roman" w:eastAsia="Times New Roman"/>
        </w:rPr>
        <w:t>Document an operational recovery runbook and responsible roles.</w:t>
      </w:r>
    </w:p>
    <w:p>
      <w:pPr>
        <w:pStyle w:val="ListBullet"/>
      </w:pPr>
      <w:r>
        <w:rPr>
          <w:rFonts w:ascii="Times New Roman" w:hAnsi="Times New Roman" w:eastAsia="Times New Roman"/>
        </w:rPr>
        <w:t>Evaluate high availability only after the remote single-host baseline is stable.</w:t>
      </w:r>
    </w:p>
    <w:p>
      <w:pPr>
        <w:pStyle w:val="Heading2"/>
      </w:pPr>
      <w:r>
        <w:rPr>
          <w:rFonts w:ascii="Times New Roman" w:hAnsi="Times New Roman" w:eastAsia="Times New Roman"/>
        </w:rPr>
        <w:t>8. Final Research Statement</w:t>
      </w:r>
    </w:p>
    <w:p>
      <w:pPr/>
      <w:r>
        <w:rPr>
          <w:rFonts w:ascii="Times New Roman" w:hAnsi="Times New Roman" w:eastAsia="Times New Roman"/>
        </w:rPr>
        <w:t>Phase I demonstrates that a modular open-source healthcare platform can integrate structured clinical data, protected object storage, role-based security, auditability, interoperability-oriented APIs, reproducible synthetic-data ingestion, containerized deployment, executable disaster recovery, and measured scalability within a compact implementation intended for resource-constrained environments. The final thesis-level performance and monetary conclusions will be completed through the planned UESTC validation.</w:t>
      </w:r>
    </w:p>
    <w:p>
      <w:r>
        <w:rPr>
          <w:rFonts w:ascii="Times New Roman" w:hAnsi="Times New Roman" w:eastAsia="Times New Roman"/>
        </w:rPr>
        <w:t>The final evidence is strong because the platform was not evaluated through a single success criterion. It was assessed through security controls, authorization outcomes, storage checksums, table-level restoration, object-level restoration, container health, and authenticated load testing.</w:t>
      </w:r>
    </w:p>
    <w:p>
      <w:r>
        <w:rPr>
          <w:rFonts w:ascii="Times New Roman" w:hAnsi="Times New Roman" w:eastAsia="Times New Roman"/>
        </w:rPr>
        <w:t>The completed work establishes the validated local Phase I foundation. The planned Phase II milestone is to transfer the same tagged release to the UESTC virtual machine and reproduce and extend the evidence under real remote deployment conditions. After Phase II, the study can report the final institutionally cloud-deployed, resource-constrained, and monetary cost-efficiency conclusions.</w:t>
      </w:r>
    </w:p>
    <w:p>
      <w:r>
        <w:rPr>
          <w:rFonts w:ascii="Times New Roman" w:hAnsi="Times New Roman" w:eastAsia="Times New Roman"/>
        </w:rPr>
        <w:br w:type="page"/>
      </w:r>
    </w:p>
    <w:p>
      <w:pPr>
        <w:pStyle w:val="Heading2"/>
      </w:pPr>
      <w:r>
        <w:rPr>
          <w:rFonts w:ascii="Times New Roman" w:hAnsi="Times New Roman" w:eastAsia="Times New Roman"/>
        </w:rP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Conclusion area</w:t>
            </w:r>
          </w:p>
        </w:tc>
        <w:tc>
          <w:tcPr>
            <w:tcW w:type="dxa" w:w="4759"/>
            <w:vAlign w:val="center"/>
            <w:shd w:fill="D9E1F2"/>
          </w:tcPr>
          <w:p>
            <w:pPr>
              <w:jc w:val="left"/>
            </w:pPr>
            <w:r>
              <w:rPr>
                <w:rFonts w:ascii="Times New Roman" w:hAnsi="Times New Roman" w:eastAsia="Times New Roman"/>
                <w:sz w:val="17"/>
              </w:rPr>
            </w:r>
            <w:r>
              <w:rPr>
                <w:rFonts w:ascii="Times New Roman" w:hAnsi="Times New Roman" w:eastAsia="Times New Roman"/>
                <w:b/>
                <w:sz w:val="16"/>
              </w:rPr>
              <w:t>Primary evidence</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Overall validation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docs/evidence/final_project_status.txt and final_validation_matrix.md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Performance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docs/evidence/performance_consolidated_summary.md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Production HTTP security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docs/evidence/production_security_summary.txt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PostgreSQL recovery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MinIO recovery</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Resource and cost method</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Backend organization</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docs/02_implementation/backend_structure.txt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Container services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docs/02_implementation/docker_services.txt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Migration state</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docs/02_implementation/alembic_current.txt</w:t>
            </w:r>
          </w:p>
        </w:tc>
      </w:tr>
      <w:tr>
        <w:trPr>
          <w:cantSplit/>
        </w:trPr>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Prior thesis chapters</w:t>
            </w:r>
          </w:p>
        </w:tc>
        <w:tc>
          <w:tcPr>
            <w:tcW w:type="dxa" w:w="4759"/>
            <w:vAlign w:val="center"/>
          </w:tcPr>
          <w:p>
            <w:pPr>
              <w:jc w:val="left"/>
            </w:pPr>
            <w:r>
              <w:rPr>
                <w:rFonts w:ascii="Times New Roman" w:hAnsi="Times New Roman" w:eastAsia="Times New Roman"/>
                <w:sz w:val="17"/>
              </w:rPr>
            </w:r>
            <w:r>
              <w:rPr>
                <w:rFonts w:ascii="Times New Roman" w:hAnsi="Times New Roman" w:eastAsia="Times New Roman"/>
                <w:b w:val="0"/>
                <w:sz w:val="16"/>
              </w:rPr>
              <w:t>Seven Word chapters listed in docs/08_thesis_text</w:t>
            </w:r>
          </w:p>
        </w:tc>
      </w:tr>
    </w:tbl>
    <w:p/>
    <w:p>
      <w:pPr>
        <w:pStyle w:val="Heading1"/>
        <w:pageBreakBefore w:val="1"/>
        <w:keepNext/>
      </w:pPr>
      <w:r>
        <w:rPr>
          <w:rFonts w:ascii="Times New Roman" w:hAnsi="Times New Roman" w:eastAsia="Times New Roman"/>
        </w:rPr>
        <w:t>References</w:t>
      </w:r>
    </w:p>
    <w:p>
      <w:pPr>
        <w:ind w:left="360" w:hanging="360"/>
        <w:spacing w:after="80"/>
      </w:pPr>
      <w:r>
        <w:rPr>
          <w:rFonts w:ascii="Times New Roman" w:hAnsi="Times New Roman" w:eastAsia="Times New Roman"/>
        </w:rPr>
        <w:t>[1] P. Mell and T. Grance, The NIST Definition of Cloud Computing, NIST Special Publication 800-145, 2011. doi: 10.6028/NIST.SP.800-145.</w:t>
      </w:r>
    </w:p>
    <w:p>
      <w:pPr>
        <w:ind w:left="360" w:hanging="360"/>
        <w:spacing w:after="80"/>
      </w:pPr>
      <w:r>
        <w:rPr>
          <w:rFonts w:ascii="Times New Roman" w:hAnsi="Times New Roman" w:eastAsia="Times New Roman"/>
        </w:rPr>
        <w:t>[2] HL7 International, HL7 FHIR Release 4, Version 4.0.1, 2019.</w:t>
      </w:r>
    </w:p>
    <w:p>
      <w:pPr>
        <w:ind w:left="360" w:hanging="360"/>
        <w:spacing w:after="80"/>
      </w:pPr>
      <w:r>
        <w:rPr>
          <w:rFonts w:ascii="Times New Roman" w:hAnsi="Times New Roman" w:eastAsia="Times New Roman"/>
        </w:rPr>
        <w:t>[3] D. Bender and K. Sartipi, “HL7 FHIR: An agile and RESTful approach to healthcare information exchange,” in Proc. 26th IEEE International Symposium on Computer-Based Medical Systems, 2013, pp. 326-331. doi: 10.1109/CBMS.2013.6627810.</w:t>
      </w:r>
    </w:p>
    <w:p>
      <w:pPr>
        <w:ind w:left="360" w:hanging="360"/>
        <w:spacing w:after="80"/>
      </w:pPr>
      <w:r>
        <w:rPr>
          <w:rFonts w:ascii="Times New Roman" w:hAnsi="Times New Roman" w:eastAsia="Times New Roman"/>
        </w:rPr>
        <w:t>[4] J. C. Mandel, D. A. Kreda, K. D. Mandl, I. S. Kohane, and R. B. Ramoni, “SMART on FHIR: a standards-based, interoperable apps platform for electronic health records,” Journal of the American Medical Informatics Association, vol. 23, no. 5, pp. 899-908, 2016. doi: 10.1093/jamia/ocv189.</w:t>
      </w:r>
    </w:p>
    <w:p>
      <w:pPr>
        <w:ind w:left="360" w:hanging="360"/>
        <w:spacing w:after="80"/>
      </w:pPr>
      <w:r>
        <w:rPr>
          <w:rFonts w:ascii="Times New Roman" w:hAnsi="Times New Roman" w:eastAsia="Times New Roman"/>
        </w:rPr>
        <w:t>[5] J. Walonoski et al., “Synthea: An approach, method, and software mechanism for generating synthetic patients and the synthetic electronic health care record,” Journal of the American Medical Informatics Association, vol. 25, no. 3, pp. 230-238, 2018. doi: 10.1093/jamia/ocx079.</w:t>
      </w:r>
    </w:p>
    <w:p>
      <w:pPr>
        <w:ind w:left="360" w:hanging="360"/>
        <w:spacing w:after="80"/>
      </w:pPr>
      <w:r>
        <w:rPr>
          <w:rFonts w:ascii="Times New Roman" w:hAnsi="Times New Roman" w:eastAsia="Times New Roman"/>
        </w:rPr>
        <w:t>[6] R. S. Sandhu, E. J. Coyne, H. L. Feinstein, and C. E. Youman, “Role-based access control models,” Computer, vol. 29, no. 2, pp. 38-47, 1996. doi: 10.1109/2.485845.</w:t>
      </w:r>
    </w:p>
    <w:p>
      <w:pPr>
        <w:ind w:left="360" w:hanging="360"/>
        <w:spacing w:after="80"/>
      </w:pPr>
      <w:r>
        <w:rPr>
          <w:rFonts w:ascii="Times New Roman" w:hAnsi="Times New Roman" w:eastAsia="Times New Roman"/>
        </w:rPr>
        <w:t>[7] M. Jones, J. Bradley, and N. Sakimura, JSON Web Token (JWT), RFC 7519, Internet Engineering Task Force, 2015.</w:t>
      </w:r>
    </w:p>
    <w:p>
      <w:pPr>
        <w:ind w:left="360" w:hanging="360"/>
        <w:spacing w:after="80"/>
      </w:pPr>
      <w:r>
        <w:rPr>
          <w:rFonts w:ascii="Times New Roman" w:hAnsi="Times New Roman" w:eastAsia="Times New Roman"/>
        </w:rPr>
        <w:t>[8] K. Kent and M. Souppaya, Guide to Computer Security Log Management, NIST Special Publication 800-92, 2006. doi: 10.6028/NIST.SP.800-92.</w:t>
      </w:r>
    </w:p>
    <w:p>
      <w:pPr>
        <w:ind w:left="360" w:hanging="360"/>
        <w:spacing w:after="80"/>
      </w:pPr>
      <w:r>
        <w:rPr>
          <w:rFonts w:ascii="Times New Roman" w:hAnsi="Times New Roman" w:eastAsia="Times New Roman"/>
        </w:rPr>
        <w:t>[9] M. Swanson, P. Bowen, A. Phillips, D. Gallup, and D. Lynes, Contingency Planning Guide for Federal Information Systems, NIST Special Publication 800-34 Revision 1, 2010. doi: 10.6028/NIST.SP.800-34r1.</w:t>
      </w:r>
    </w:p>
    <w:p>
      <w:pPr>
        <w:ind w:left="360" w:hanging="360"/>
        <w:spacing w:after="80"/>
      </w:pPr>
      <w:r>
        <w:rPr>
          <w:rFonts w:ascii="Times New Roman" w:hAnsi="Times New Roman" w:eastAsia="Times New Roman"/>
        </w:rPr>
        <w:t>[10] D. Merkel, “Docker: Lightweight Linux containers for consistent development and deployment,” Linux Journal, no. 239, 2014.</w:t>
      </w:r>
    </w:p>
    <w:p>
      <w:pPr>
        <w:ind w:left="360" w:hanging="360"/>
        <w:spacing w:after="80"/>
      </w:pPr>
      <w:r>
        <w:rPr>
          <w:rFonts w:ascii="Times New Roman" w:hAnsi="Times New Roman" w:eastAsia="Times New Roman"/>
        </w:rPr>
        <w:t>[11] M. Ahmadi and N. Aslani, “Capabilities and advantages of cloud computing in the implementation of electronic health record,” Acta Informatica Medica, vol. 26, no. 1, pp. 24-28, 2018. doi: 10.5455/aim.2018.26.24-28.</w:t>
      </w:r>
    </w:p>
    <w:p>
      <w:pPr>
        <w:ind w:left="360" w:hanging="360"/>
        <w:spacing w:after="80"/>
      </w:pPr>
      <w:r>
        <w:rPr>
          <w:rFonts w:ascii="Times New Roman" w:hAnsi="Times New Roman" w:eastAsia="Times New Roman"/>
        </w:rPr>
        <w:t>[12] M. Ayaz, M. F. Pasha, M. Y. Alzahrani, R. Budiarto, and D. Stiawan, “The Fast Health Interoperability Resources standard: systematic literature review of implementations, applications, challenges and opportunities,” JMIR Medical Informatics, vol. 9, no. 7, e21929, 2021. doi: 10.2196/21929.</w:t>
      </w:r>
    </w:p>
    <w:p>
      <w:pPr>
        <w:ind w:left="360" w:hanging="360"/>
        <w:spacing w:after="80"/>
      </w:pPr>
      <w:r>
        <w:rPr>
          <w:rFonts w:ascii="Times New Roman" w:hAnsi="Times New Roman" w:eastAsia="Times New Roman"/>
        </w:rPr>
        <w:t>[13] S. Chenthara, K. Ahmed, H. Wang, and F. Whittaker, “Security and privacy-preserving challenges of e-health solutions in cloud computing,” IEEE Access, vol. 7, pp. 74361-74382, 2019. doi: 10.1109/ACCESS.2019.2919982.</w:t>
      </w:r>
    </w:p>
    <w:p>
      <w:pPr>
        <w:ind w:left="360" w:hanging="360"/>
        <w:spacing w:after="80"/>
      </w:pPr>
      <w:r>
        <w:rPr>
          <w:rFonts w:ascii="Times New Roman" w:hAnsi="Times New Roman" w:eastAsia="Times New Roman"/>
        </w:rPr>
        <w:t>[14] Y. Hu and G. Bai, “A systematic literature review of cloud computing in eHealth,” arXiv:1412.2494, 2014.</w:t>
      </w:r>
    </w:p>
    <w:p>
      <w:pPr>
        <w:ind w:left="360" w:hanging="360"/>
        <w:spacing w:after="80"/>
      </w:pPr>
      <w:r>
        <w:rPr>
          <w:rFonts w:ascii="Times New Roman" w:hAnsi="Times New Roman" w:eastAsia="Times New Roman"/>
        </w:rPr>
        <w:t>[15] R. T. Fielding, Architectural Styles and the Design of Network-Based Software Architectures, Ph.D. dissertation, University of California, Irvine, 2000.</w:t>
      </w:r>
    </w:p>
    <w:p>
      <w:pPr>
        <w:ind w:left="360" w:hanging="360"/>
        <w:spacing w:after="80"/>
      </w:pPr>
      <w:r>
        <w:rPr>
          <w:rFonts w:ascii="Times New Roman" w:hAnsi="Times New Roman" w:eastAsia="Times New Roman"/>
        </w:rPr>
        <w:t>[16] OWASP Foundation, OWASP API Security Top 10 - 2023, 2023.</w:t>
      </w:r>
    </w:p>
    <w:sectPr w:rsidR="00FC693F" w:rsidRPr="0006063C" w:rsidSect="00034616">
      <w:headerReference w:type="default" r:id="rId12"/>
      <w:footerReference w:type="default" r:id="rId13"/>
      <w:pgSz w:w="12240" w:h="15840"/>
      <w:pgMar w:top="1247" w:right="1361" w:bottom="1191" w:left="1361"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Master's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ascii="Times New Roman" w:hAnsi="Times New Roman" w:eastAsia="Times New Roman"/>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ascii="Times New Roman" w:hAnsi="Times New Roman" w:eastAsia="Times New Roman"/>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spacing w:before="240" w:after="280"/>
      <w:jc w:val="center"/>
    </w:pPr>
    <w:rPr>
      <w:rFonts w:ascii="Times New Roman" w:hAnsi="Times New Roman" w:eastAsia="Times New Roman"/>
      <w:b/>
      <w:sz w:val="32"/>
    </w:r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chapter1_image1.png"/><Relationship Id="rId15" Type="http://schemas.openxmlformats.org/officeDocument/2006/relationships/image" Target="media/chapter1_image2.png"/><Relationship Id="rId16" Type="http://schemas.openxmlformats.org/officeDocument/2006/relationships/image" Target="media/chapter2_image1.png"/><Relationship Id="rId17" Type="http://schemas.openxmlformats.org/officeDocument/2006/relationships/image" Target="media/chapter2_image2.png"/><Relationship Id="rId18" Type="http://schemas.openxmlformats.org/officeDocument/2006/relationships/image" Target="media/chapter2_image3.png"/><Relationship Id="rId19" Type="http://schemas.openxmlformats.org/officeDocument/2006/relationships/image" Target="media/chapter3_image1.png"/><Relationship Id="rId20" Type="http://schemas.openxmlformats.org/officeDocument/2006/relationships/image" Target="media/chapter3_image2.png"/><Relationship Id="rId21" Type="http://schemas.openxmlformats.org/officeDocument/2006/relationships/image" Target="media/chapter4_image1.png"/><Relationship Id="rId22" Type="http://schemas.openxmlformats.org/officeDocument/2006/relationships/image" Target="media/chapter4_image2.png"/><Relationship Id="rId23" Type="http://schemas.openxmlformats.org/officeDocument/2006/relationships/image" Target="media/chapter5_image1.png"/><Relationship Id="rId24" Type="http://schemas.openxmlformats.org/officeDocument/2006/relationships/image" Target="media/chapter5_image2.png"/><Relationship Id="rId25" Type="http://schemas.openxmlformats.org/officeDocument/2006/relationships/image" Target="media/chapter5_image3.png"/><Relationship Id="rId26" Type="http://schemas.openxmlformats.org/officeDocument/2006/relationships/image" Target="media/chapter5_image4.png"/><Relationship Id="rId27" Type="http://schemas.openxmlformats.org/officeDocument/2006/relationships/image" Target="media/chapter5_image5.png"/><Relationship Id="rId28" Type="http://schemas.openxmlformats.org/officeDocument/2006/relationships/image" Target="media/chapter6_image1.png"/><Relationship Id="rId29" Type="http://schemas.openxmlformats.org/officeDocument/2006/relationships/image" Target="media/chapter6_image2.png"/><Relationship Id="rId30" Type="http://schemas.openxmlformats.org/officeDocument/2006/relationships/image" Target="media/chapter6_image3.png"/><Relationship Id="rId31" Type="http://schemas.openxmlformats.org/officeDocument/2006/relationships/image" Target="media/chapter6_image4.png"/><Relationship Id="rId32" Type="http://schemas.openxmlformats.org/officeDocument/2006/relationships/image" Target="media/chapter6_image5.png"/><Relationship Id="rId33" Type="http://schemas.openxmlformats.org/officeDocument/2006/relationships/image" Target="media/chapter7_image1.png"/><Relationship Id="rId34" Type="http://schemas.openxmlformats.org/officeDocument/2006/relationships/image" Target="media/chapter7_image2.png"/><Relationship Id="rId35" Type="http://schemas.openxmlformats.org/officeDocument/2006/relationships/image" Target="media/chapter7_image3.png"/><Relationship Id="rId36" Type="http://schemas.openxmlformats.org/officeDocument/2006/relationships/image" Target="media/chapter7_image4.png"/><Relationship Id="rId37" Type="http://schemas.openxmlformats.org/officeDocument/2006/relationships/image" Target="media/chapter8_image1.png"/><Relationship Id="rId38" Type="http://schemas.openxmlformats.org/officeDocument/2006/relationships/image" Target="media/chapter8_image2.png"/><Relationship Id="rId39" Type="http://schemas.openxmlformats.org/officeDocument/2006/relationships/image" Target="media/chapter8_image3.png"/><Relationship Id="rId40" Type="http://schemas.openxmlformats.org/officeDocument/2006/relationships/image" Target="media/chapter8_image4.png"/><Relationship Id="rId41" Type="http://schemas.openxmlformats.org/officeDocument/2006/relationships/image" Target="media/chapter9_image1.png"/><Relationship Id="rId42" Type="http://schemas.openxmlformats.org/officeDocument/2006/relationships/image" Target="media/chapter9_image2.png"/><Relationship Id="rId43" Type="http://schemas.openxmlformats.org/officeDocument/2006/relationships/image" Target="media/chapter9_image3.png"/><Relationship Id="rId44" Type="http://schemas.openxmlformats.org/officeDocument/2006/relationships/image" Target="media/chapter9_image4.png"/><Relationship Id="rId45" Type="http://schemas.openxmlformats.org/officeDocument/2006/relationships/image" Target="media/chapter9_image5.png"/><Relationship Id="rId46" Type="http://schemas.openxmlformats.org/officeDocument/2006/relationships/image" Target="media/chapter10_image1.png"/><Relationship Id="rId47" Type="http://schemas.openxmlformats.org/officeDocument/2006/relationships/image" Target="media/chapter10_image2.png"/><Relationship Id="rId48" Type="http://schemas.openxmlformats.org/officeDocument/2006/relationships/image" Target="media/chapter10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