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AI LAB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16064453125" w:line="240" w:lineRule="auto"/>
        <w:ind w:left="0" w:right="0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Date 05/01/2025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1.160888671875" w:line="247.9006862640381" w:lineRule="auto"/>
        <w:ind w:left="0" w:right="0" w:firstLine="10.800018310546875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Implement a simple deep neural network (DNN) for solving the polynomial equation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=5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−10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superscript"/>
          <w:rtl w:val="0"/>
        </w:rPr>
        <w:t xml:space="preserve">2−20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superscript"/>
          <w:rtl w:val="0"/>
        </w:rPr>
        <w:t xml:space="preserve">+10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with the following specifications: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2.032470703125" w:line="264.39416885375977" w:lineRule="auto"/>
        <w:ind w:left="731.6000366210938" w:right="12.60009765625" w:hanging="360.400085449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a)Use three hidden-layers of sizes 32, 64, and 128 and display the generated DNN with the required number of parameters.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5435791015625" w:line="264.39416885375977" w:lineRule="auto"/>
        <w:ind w:left="721.199951171875" w:right="12.598876953125" w:hanging="363.9999389648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b)Generate training samples within the range of -20 to +20. Use an appropriate method for normalizing the training data in the range of -1 to +1.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54296875" w:line="264.39428329467773" w:lineRule="auto"/>
        <w:ind w:left="721.199951171875" w:right="10.599365234375" w:hanging="348.7998962402344"/>
        <w:jc w:val="both"/>
        <w:rPr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c)Use 5% of the samples as test data and 5% of the samples as validation data and the rest of the data for training the DNN with an appropriate number of epochs.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54296875" w:line="264.39428329467773" w:lineRule="auto"/>
        <w:ind w:left="721.199951171875" w:right="10.599365234375" w:hanging="348.7998962402344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d)Display the training accuracy vs validation accuracy and training error vs validation error curves.</w:t>
      </w:r>
    </w:p>
    <w:sectPr>
      <w:pgSz w:h="15840" w:w="12240" w:orient="portrait"/>
      <w:pgMar w:bottom="3138.9999389648438" w:top="1475.999755859375" w:left="1444.7999572753906" w:right="1437.000732421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