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Times New Roman" w:hAnsi="Times New Roman"/>
          <w:sz w:val="24"/>
        </w:rPr>
      </w:r>
    </w:p>
    <w:p>
      <w:pPr>
        <w:spacing w:line="480" w:lineRule="auto" w:before="0" w:after="0"/>
      </w:pPr>
      <w:r>
        <w:rPr>
          <w:rFonts w:ascii="Times New Roman" w:hAnsi="Times New Roman"/>
          <w:sz w:val="24"/>
        </w:rPr>
      </w:r>
    </w:p>
    <w:p>
      <w:pPr>
        <w:spacing w:line="480" w:lineRule="auto" w:before="0" w:after="0"/>
      </w:pPr>
      <w:r>
        <w:rPr>
          <w:rFonts w:ascii="Times New Roman" w:hAnsi="Times New Roman"/>
          <w:sz w:val="24"/>
        </w:rPr>
      </w:r>
    </w:p>
    <w:p>
      <w:pPr>
        <w:spacing w:line="480" w:lineRule="auto" w:before="0" w:after="0"/>
      </w:pPr>
      <w:r>
        <w:rPr>
          <w:rFonts w:ascii="Times New Roman" w:hAnsi="Times New Roman"/>
          <w:sz w:val="24"/>
        </w:rPr>
      </w:r>
    </w:p>
    <w:p>
      <w:pPr>
        <w:spacing w:line="480" w:lineRule="auto" w:before="0" w:after="0"/>
      </w:pPr>
      <w:r>
        <w:rPr>
          <w:rFonts w:ascii="Times New Roman" w:hAnsi="Times New Roman"/>
          <w:sz w:val="24"/>
        </w:rPr>
      </w:r>
    </w:p>
    <w:p>
      <w:pPr>
        <w:spacing w:line="480" w:lineRule="auto" w:before="0" w:after="0"/>
        <w:jc w:val="center"/>
      </w:pPr>
      <w:r>
        <w:rPr>
          <w:rFonts w:ascii="Times New Roman" w:hAnsi="Times New Roman"/>
          <w:b/>
          <w:sz w:val="24"/>
        </w:rPr>
        <w:t>Summary and Reflections Report</w:t>
      </w:r>
    </w:p>
    <w:p>
      <w:pPr>
        <w:spacing w:line="480" w:lineRule="auto" w:before="0" w:after="0"/>
        <w:jc w:val="center"/>
      </w:pPr>
      <w:r>
        <w:rPr>
          <w:rFonts w:ascii="Times New Roman" w:hAnsi="Times New Roman"/>
          <w:sz w:val="24"/>
        </w:rPr>
        <w:t>Rayia Lagard</w:t>
      </w:r>
    </w:p>
    <w:p>
      <w:pPr>
        <w:spacing w:line="480" w:lineRule="auto" w:before="0" w:after="0"/>
        <w:jc w:val="center"/>
      </w:pPr>
      <w:r>
        <w:rPr>
          <w:rFonts w:ascii="Times New Roman" w:hAnsi="Times New Roman"/>
          <w:sz w:val="24"/>
        </w:rPr>
        <w:t>Southern New Hampshire University</w:t>
      </w:r>
    </w:p>
    <w:p>
      <w:pPr>
        <w:spacing w:line="480" w:lineRule="auto" w:before="0" w:after="0"/>
        <w:jc w:val="center"/>
      </w:pPr>
      <w:r>
        <w:rPr>
          <w:rFonts w:ascii="Times New Roman" w:hAnsi="Times New Roman"/>
          <w:sz w:val="24"/>
        </w:rPr>
        <w:t>CS 320: Software Test, Automation, and Quality Assurance</w:t>
      </w:r>
    </w:p>
    <w:p>
      <w:pPr>
        <w:spacing w:line="480" w:lineRule="auto" w:before="0" w:after="0"/>
        <w:jc w:val="center"/>
      </w:pPr>
      <w:r>
        <w:rPr>
          <w:rFonts w:ascii="Times New Roman" w:hAnsi="Times New Roman"/>
          <w:sz w:val="24"/>
        </w:rPr>
        <w:t>August 12, 2026</w:t>
      </w:r>
    </w:p>
    <w:p>
      <w:r>
        <w:br w:type="page"/>
      </w:r>
    </w:p>
    <w:p>
      <w:pPr>
        <w:pStyle w:val="Heading1"/>
        <w:jc w:val="center"/>
      </w:pPr>
      <w:r>
        <w:rPr>
          <w:rFonts w:ascii="Times New Roman" w:hAnsi="Times New Roman"/>
          <w:b/>
          <w:sz w:val="24"/>
        </w:rPr>
        <w:t>Summary and Reflections Report</w:t>
      </w:r>
    </w:p>
    <w:p>
      <w:pPr>
        <w:pStyle w:val="Heading2"/>
        <w:jc w:val="left"/>
      </w:pPr>
      <w:r>
        <w:rPr>
          <w:rFonts w:ascii="Times New Roman" w:hAnsi="Times New Roman"/>
          <w:b/>
          <w:sz w:val="24"/>
        </w:rPr>
        <w:t>Summary</w:t>
      </w:r>
    </w:p>
    <w:p>
      <w:pPr>
        <w:spacing w:line="480" w:lineRule="auto" w:before="0" w:after="0"/>
        <w:ind w:firstLine="720"/>
      </w:pPr>
      <w:r>
        <w:rPr>
          <w:rFonts w:ascii="Times New Roman" w:hAnsi="Times New Roman"/>
          <w:sz w:val="24"/>
        </w:rPr>
        <w:t>My unit testing approach started with the customer requirements for the contact, task, and appointment features. I treated each requirement as a behavior that needed at least one positive test and, when applicable, one negative or boundary test. For Contact, I tested the constructor limits for the ID, first name, last name, phone number, and address, along with adding, deleting, retrieving, and updating contacts. For example, ContactTest lines 178–188 accept an address at the 30-character limit, while lines 191–213 reject an address longer than 30 characters and a null address. ContactServiceTest also verifies successful updates and unsuccessful operations, so the tests address both the data object and the service that manages it.</w:t>
      </w:r>
    </w:p>
    <w:p>
      <w:pPr>
        <w:spacing w:line="480" w:lineRule="auto" w:before="0" w:after="0"/>
        <w:ind w:firstLine="720"/>
      </w:pPr>
      <w:r>
        <w:rPr>
          <w:rFonts w:ascii="Times New Roman" w:hAnsi="Times New Roman"/>
          <w:sz w:val="24"/>
        </w:rPr>
        <w:t>I followed the same requirements-based approach for Task. TaskTest lines 23–50 check the 10-character task ID boundary, including the valid maximum, an 11-character value, and null. Lines 53–116 apply the same pattern to the task name and description. At the service level, TaskServiceTest lines 18–53 verify that a task can be added but a duplicate ID cannot increase the task count. Lines 83–150 verify successful updates, missing IDs, and invalid updated values. For Appointment, AppointmentTest lines 25–83 test ID, date, and description restrictions, including a past date and the exact 50-character description limit. AppointmentServiceTest lines 25–74 then test adding, duplicate IDs, null input, deletion, missing records, and retrieval.</w:t>
      </w:r>
    </w:p>
    <w:p>
      <w:pPr>
        <w:spacing w:line="480" w:lineRule="auto" w:before="0" w:after="0"/>
        <w:ind w:firstLine="720"/>
      </w:pPr>
      <w:r>
        <w:rPr>
          <w:rFonts w:ascii="Times New Roman" w:hAnsi="Times New Roman"/>
          <w:sz w:val="24"/>
        </w:rPr>
        <w:t>The coverage evidence supports the quality of this approach without being the only measure of quality. Eclipse reported 90.7% instruction coverage for ContactService and 88.9% for AppointmentService. Both results show that most executable instructions in the measured projects were exercised. I did not record a TaskService percentage, so I cannot honestly claim a combined percentage for all three projects. However, the Task test suite contains direct tests for every required constructor rule and service operation. This combination of high measured coverage, passing tests, and requirement traceability gives stronger evidence than a percentage alone because coverage can show that code executed without proving that every result was meaningfully checked.</w:t>
      </w:r>
    </w:p>
    <w:p>
      <w:pPr>
        <w:spacing w:line="480" w:lineRule="auto" w:before="0" w:after="0"/>
        <w:ind w:firstLine="720"/>
      </w:pPr>
      <w:r>
        <w:rPr>
          <w:rFonts w:ascii="Times New Roman" w:hAnsi="Times New Roman"/>
          <w:sz w:val="24"/>
        </w:rPr>
        <w:t>My experience writing the tests showed me that technically sound tests need precise assertions. JUnit describes assertions as the way a test verifies expected conditions and provides assertThrows() for confirming expected exceptions (JUnit Team, 2024). In TaskServiceTest lines 97–103, I retrieved the updated object and used three assertEquals() calls to confirm the new name, new description, and unchanged ID. In AppointmentServiceTest lines 41–42, assertThrows(IllegalArgumentException.class, ...) confirms that a duplicate appointment ID is rejected. These tests check observable results instead of merely running methods. The @BeforeEach setup in AppointmentServiceTest lines 16–23 also gives every test a new service and appointment, preventing one test’s changes from affecting another test.</w:t>
      </w:r>
    </w:p>
    <w:p>
      <w:pPr>
        <w:spacing w:line="480" w:lineRule="auto" w:before="0" w:after="0"/>
        <w:ind w:firstLine="720"/>
      </w:pPr>
      <w:r>
        <w:rPr>
          <w:rFonts w:ascii="Times New Roman" w:hAnsi="Times New Roman"/>
          <w:sz w:val="24"/>
        </w:rPr>
        <w:t>I kept the test code efficient by giving tests focused purposes, using descriptive method names, and reusing setup only where it improved clarity. The futureDate() helper in AppointmentTest lines 10–12 avoids repeating the timestamp calculation across constructor and update tests. The shared setup in ContactServiceTest lines 14–24 removes repeated object creation from its service tests. At the same time, I did not combine unrelated behaviors into one large test. A failure in testDeleteTask(), for example, points directly to deletion rather than forcing me to search through an entire workflow. This structure reduces debugging time and makes the suite easier to update when a requirement changes.</w:t>
      </w:r>
    </w:p>
    <w:p>
      <w:pPr>
        <w:pStyle w:val="Heading2"/>
        <w:jc w:val="left"/>
      </w:pPr>
      <w:r>
        <w:rPr>
          <w:rFonts w:ascii="Times New Roman" w:hAnsi="Times New Roman"/>
          <w:b/>
          <w:sz w:val="24"/>
        </w:rPr>
        <w:t>Reflection</w:t>
      </w:r>
    </w:p>
    <w:p>
      <w:pPr>
        <w:spacing w:line="480" w:lineRule="auto" w:before="0" w:after="0"/>
        <w:ind w:firstLine="720"/>
      </w:pPr>
      <w:r>
        <w:rPr>
          <w:rFonts w:ascii="Times New Roman" w:hAnsi="Times New Roman"/>
          <w:sz w:val="24"/>
        </w:rPr>
        <w:t>The main techniques I employed were unit testing, requirements-based black-box testing, positive and negative testing, equivalence partitioning, and boundary value analysis. Unit testing isolated the classes and service methods so that failures could be connected to a small part of the application. In equivalence partitioning, one representative is selected from each group of inputs expected to behave the same way (International Software Testing Qualifications Board [ISTQB], n.d.). My tests used valid and invalid groups, such as a valid 10-digit phone number compared with null, too few digits, too many digits, or letters. Boundary value analysis focuses on the edges of ordered input groups (American Software Testing Qualifications Board [ASTQB], 2026). I used exact limits and values immediately beyond them, such as a 10-character valid ID and an 11-character invalid ID. These techniques are practical for forms, account records, and APIs because many defects occur in validation and limit handling.</w:t>
      </w:r>
    </w:p>
    <w:p>
      <w:pPr>
        <w:spacing w:line="480" w:lineRule="auto" w:before="0" w:after="0"/>
        <w:ind w:firstLine="720"/>
      </w:pPr>
      <w:r>
        <w:rPr>
          <w:rFonts w:ascii="Times New Roman" w:hAnsi="Times New Roman"/>
          <w:sz w:val="24"/>
        </w:rPr>
        <w:t>I did not use integration, system, performance, security, usability, or acceptance testing. Integration testing would examine communication with a database, interface, or external API, while system and acceptance testing would evaluate the complete application and user needs. Performance testing would measure response time or behavior under many records. Security testing would examine authorization and malicious input, while usability testing would involve actual users. These techniques were outside this small in-memory project but would be necessary in production. NIST recommends combining verification techniques because each can uncover different weaknesses (Black et al., 2021).</w:t>
      </w:r>
    </w:p>
    <w:p>
      <w:pPr>
        <w:spacing w:line="480" w:lineRule="auto" w:before="0" w:after="0"/>
        <w:ind w:firstLine="720"/>
      </w:pPr>
      <w:r>
        <w:rPr>
          <w:rFonts w:ascii="Times New Roman" w:hAnsi="Times New Roman"/>
          <w:sz w:val="24"/>
        </w:rPr>
        <w:t>My testing mindset required caution because the classes were related even when tested separately. A service depends on validation in its object class. For example, TaskService.updateTask() finds a task and calls its setters; testing only the successful path could miss rejection of an invalid name. I therefore tested valid and invalid creation and updates, duplicate and missing IDs, null values, and deletion. I was also cautious with appointment dates because a current-time value could become past during a test. A future offset made the test dependable.</w:t>
      </w:r>
    </w:p>
    <w:p>
      <w:pPr>
        <w:spacing w:line="480" w:lineRule="auto" w:before="0" w:after="0"/>
        <w:ind w:firstLine="720"/>
      </w:pPr>
      <w:r>
        <w:rPr>
          <w:rFonts w:ascii="Times New Roman" w:hAnsi="Times New Roman"/>
          <w:sz w:val="24"/>
        </w:rPr>
        <w:t>I limited bias by writing tests from the requirements instead of assumptions about my own code. Self-testing creates a risk of repeating the same misunderstanding in the implementation and test. I checked every limit, deliberately used failing values, and verified state afterward. For example, after a duplicate Task ID throws an exception, TaskServiceTest line 52 confirms that the count remains one, proving the rejected operation did not partially change the service. In team projects, peer review, requirement-to-test traceability, and continuous integration would add independent checks.</w:t>
      </w:r>
    </w:p>
    <w:p>
      <w:pPr>
        <w:spacing w:line="480" w:lineRule="auto" w:before="0" w:after="0"/>
        <w:ind w:firstLine="720"/>
      </w:pPr>
      <w:r>
        <w:rPr>
          <w:rFonts w:ascii="Times New Roman" w:hAnsi="Times New Roman"/>
          <w:sz w:val="24"/>
        </w:rPr>
        <w:t>Discipline matters because shortcuts can create larger maintenance costs later. Technical debt includes future costs caused by quick fixes or suboptimal decisions (IBM, 2025). Skipping null tests or combining all behavior into one complicated method could let later changes break validation and make failures difficult to diagnose. I will avoid debt by connecting requirements to focused tests, running the full suite after changes, reviewing coverage for untested paths, and refactoring repetition. I will also document limitations, such as the missing TaskService coverage measurement, instead of overstating evidence. A green bar is not the finish line; the goal is reliable software that can be changed safely.</w:t>
      </w:r>
    </w:p>
    <w:p>
      <w:r>
        <w:br w:type="page"/>
      </w:r>
    </w:p>
    <w:p>
      <w:pPr>
        <w:pStyle w:val="Heading1"/>
        <w:jc w:val="center"/>
      </w:pPr>
      <w:r>
        <w:rPr>
          <w:rFonts w:ascii="Times New Roman" w:hAnsi="Times New Roman"/>
          <w:b/>
          <w:sz w:val="24"/>
        </w:rPr>
        <w:t>References</w:t>
      </w:r>
    </w:p>
    <w:p>
      <w:pPr>
        <w:spacing w:line="480" w:lineRule="auto" w:after="0"/>
        <w:ind w:left="720" w:hanging="720"/>
      </w:pPr>
      <w:r>
        <w:rPr>
          <w:rFonts w:ascii="Times New Roman" w:hAnsi="Times New Roman"/>
          <w:sz w:val="24"/>
        </w:rPr>
        <w:t xml:space="preserve">American Software Testing Qualifications Board. (2026). </w:t>
      </w:r>
      <w:r>
        <w:rPr>
          <w:rFonts w:ascii="Times New Roman" w:hAnsi="Times New Roman"/>
          <w:i/>
          <w:sz w:val="24"/>
        </w:rPr>
        <w:t>Black-box test techniques</w:t>
      </w:r>
      <w:r>
        <w:rPr>
          <w:rFonts w:ascii="Times New Roman" w:hAnsi="Times New Roman"/>
          <w:sz w:val="24"/>
        </w:rPr>
        <w:t>. https://astqb.org/4-2-black-box-test-techniques/</w:t>
      </w:r>
    </w:p>
    <w:p>
      <w:pPr>
        <w:spacing w:line="480" w:lineRule="auto" w:after="0"/>
        <w:ind w:left="720" w:hanging="720"/>
      </w:pPr>
      <w:r>
        <w:rPr>
          <w:rFonts w:ascii="Times New Roman" w:hAnsi="Times New Roman"/>
          <w:sz w:val="24"/>
        </w:rPr>
        <w:t xml:space="preserve">Black, P. E., Badger, M. L., Guttman, B., &amp; Fong, E. (2021). </w:t>
      </w:r>
      <w:r>
        <w:rPr>
          <w:rFonts w:ascii="Times New Roman" w:hAnsi="Times New Roman"/>
          <w:i/>
          <w:sz w:val="24"/>
        </w:rPr>
        <w:t>Guidelines on minimum standards for developer verification of software</w:t>
      </w:r>
      <w:r>
        <w:rPr>
          <w:rFonts w:ascii="Times New Roman" w:hAnsi="Times New Roman"/>
          <w:sz w:val="24"/>
        </w:rPr>
        <w:t xml:space="preserve"> (NISTIR 8397). National Institute of Standards and Technology. https://doi.org/10.6028/NIST.IR.8397</w:t>
      </w:r>
    </w:p>
    <w:p>
      <w:pPr>
        <w:spacing w:line="480" w:lineRule="auto" w:after="0"/>
        <w:ind w:left="720" w:hanging="720"/>
      </w:pPr>
      <w:r>
        <w:rPr>
          <w:rFonts w:ascii="Times New Roman" w:hAnsi="Times New Roman"/>
          <w:sz w:val="24"/>
        </w:rPr>
        <w:t xml:space="preserve">IBM. (2025, March 27). </w:t>
      </w:r>
      <w:r>
        <w:rPr>
          <w:rFonts w:ascii="Times New Roman" w:hAnsi="Times New Roman"/>
          <w:i/>
          <w:sz w:val="24"/>
        </w:rPr>
        <w:t>What is technical debt?</w:t>
      </w:r>
      <w:r>
        <w:rPr>
          <w:rFonts w:ascii="Times New Roman" w:hAnsi="Times New Roman"/>
          <w:sz w:val="24"/>
        </w:rPr>
        <w:t xml:space="preserve"> https://www.ibm.com/think/topics/technical-debt</w:t>
      </w:r>
    </w:p>
    <w:p>
      <w:pPr>
        <w:spacing w:line="480" w:lineRule="auto" w:after="0"/>
        <w:ind w:left="720" w:hanging="720"/>
      </w:pPr>
      <w:r>
        <w:rPr>
          <w:rFonts w:ascii="Times New Roman" w:hAnsi="Times New Roman"/>
          <w:sz w:val="24"/>
        </w:rPr>
        <w:t xml:space="preserve">International Software Testing Qualifications Board. (n.d.). </w:t>
      </w:r>
      <w:r>
        <w:rPr>
          <w:rFonts w:ascii="Times New Roman" w:hAnsi="Times New Roman"/>
          <w:i/>
          <w:sz w:val="24"/>
        </w:rPr>
        <w:t>Equivalence partitioning</w:t>
      </w:r>
      <w:r>
        <w:rPr>
          <w:rFonts w:ascii="Times New Roman" w:hAnsi="Times New Roman"/>
          <w:sz w:val="24"/>
        </w:rPr>
        <w:t>. ISTQB Glossary. Retrieved August 12, 2026, from https://glossary.istqb.org/en_US/term/equivalence-partitioning</w:t>
      </w:r>
    </w:p>
    <w:p>
      <w:pPr>
        <w:spacing w:line="480" w:lineRule="auto" w:after="0"/>
        <w:ind w:left="720" w:hanging="720"/>
      </w:pPr>
      <w:r>
        <w:rPr>
          <w:rFonts w:ascii="Times New Roman" w:hAnsi="Times New Roman"/>
          <w:sz w:val="24"/>
        </w:rPr>
        <w:t xml:space="preserve">JUnit Team. (2024). </w:t>
      </w:r>
      <w:r>
        <w:rPr>
          <w:rFonts w:ascii="Times New Roman" w:hAnsi="Times New Roman"/>
          <w:i/>
          <w:sz w:val="24"/>
        </w:rPr>
        <w:t>JUnit 5 user guide</w:t>
      </w:r>
      <w:r>
        <w:rPr>
          <w:rFonts w:ascii="Times New Roman" w:hAnsi="Times New Roman"/>
          <w:sz w:val="24"/>
        </w:rPr>
        <w:t xml:space="preserve"> (Version 5.11.0-M1). https://docs.junit.org/5.11.0-M1/user-guide/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Software testing summary and reflection</dc:subject>
  <dc:creator>Rayia Lagard</dc:creator>
  <cp:keywords/>
  <dc:description>generated by python-docx</dc:description>
  <cp:lastModifiedBy/>
  <cp:revision>1</cp:revision>
  <dcterms:created xsi:type="dcterms:W3CDTF">2013-12-23T23:15:00Z</dcterms:created>
  <dcterms:modified xsi:type="dcterms:W3CDTF">2013-12-23T23:15:00Z</dcterms:modified>
  <cp:category/>
</cp:coreProperties>
</file>