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Vireo Audio — Support Ticket Routing &amp; Headcount Note</w:t>
      </w:r>
    </w:p>
    <w:p>
      <w:pPr>
        <w:jc w:val="center"/>
      </w:pPr>
      <w:r>
        <w:rPr>
          <w:i/>
        </w:rPr>
        <w:t>To: Priya Raman, Head of Customer Experience</w:t>
      </w:r>
    </w:p>
    <w:p>
      <w:pPr>
        <w:spacing w:before="60" w:after="20"/>
      </w:pPr>
      <w:r>
        <w:rPr>
          <w:b/>
          <w:sz w:val="19"/>
        </w:rPr>
        <w:t>Bottom line</w:t>
      </w:r>
    </w:p>
    <w:p>
      <w:pPr>
        <w:spacing w:after="40"/>
      </w:pPr>
      <w:r>
        <w:t>Billing is the largest first-routed team in Jan 2025–Jun 2026: 2,425 of 11,641 tickets (20.8%). That confirms the broad direction of the original request, but the data also shows a process problem worth addressing before treating queue volume as the sole hiring signal.</w:t>
      </w:r>
    </w:p>
    <w:p>
      <w:pPr>
        <w:spacing w:before="60" w:after="20"/>
      </w:pPr>
      <w:r>
        <w:rPr>
          <w:b/>
          <w:sz w:val="19"/>
        </w:rPr>
        <w:t>What I found</w:t>
      </w:r>
    </w:p>
    <w:p>
      <w:pPr>
        <w:spacing w:after="40"/>
      </w:pPr>
      <w:r>
        <w:t>• Billing's first-response breach rate is 19.7%, versus 11.1% across the desk. At Rs 350 per breach, this is a material SLA-credit cost.</w:t>
      </w:r>
    </w:p>
    <w:p>
      <w:pPr>
        <w:spacing w:after="40"/>
      </w:pPr>
      <w:r>
        <w:t>• Billing recorded 632 team hand-offs in the window. At the policy rate of Rs 305 per internal transfer, those transfers represent Rs 192,760 of transfer cost before customer-impact costs.</w:t>
      </w:r>
    </w:p>
    <w:p>
      <w:pPr>
        <w:spacing w:after="40"/>
      </w:pPr>
      <w:r>
        <w:t>• The historical category tag is noisy. A local text model agrees with the historical tag on 83.9% of a stratified 20% holdout (2,329 tickets). This is an agreement measure, not ground-truth accuracy.</w:t>
      </w:r>
    </w:p>
    <w:p>
      <w:pPr>
        <w:spacing w:after="40"/>
      </w:pPr>
      <w:r>
        <w:t>• The model surfaces 430 tickets (3.7%) where inferred issue category implies a different owning team than the first-routed team. These are review candidates, not automatically wrong tickets.</w:t>
      </w:r>
    </w:p>
    <w:p>
      <w:pPr>
        <w:spacing w:before="60" w:after="20"/>
      </w:pPr>
      <w:r>
        <w:rPr>
          <w:b/>
          <w:sz w:val="19"/>
        </w:rPr>
        <w:t>A measurable operating goal</w:t>
      </w:r>
    </w:p>
    <w:p>
      <w:pPr>
        <w:spacing w:after="40"/>
      </w:pPr>
      <w:r>
        <w:t>Reduce Billing's first-response breach rate from 19.7% to 12% over the next quarter. At roughly 650 tickets/week and the current mix, that corresponds to about Rs 189,000/year of avoided Rs 350 SLA-credit cost if sustained. This is a process target, not a guaranteed saving.</w:t>
      </w:r>
    </w:p>
    <w:p>
      <w:pPr>
        <w:spacing w:before="60" w:after="20"/>
      </w:pPr>
      <w:r>
        <w:rPr>
          <w:b/>
          <w:sz w:val="19"/>
        </w:rPr>
        <w:t>Recommended next step</w:t>
      </w:r>
    </w:p>
    <w:p>
      <w:pPr>
        <w:spacing w:after="40"/>
      </w:pPr>
      <w:r>
        <w:t>Keep the two-hire decision visible, but do not use raw category volume as the only trigger. Use the classifier to identify likely misroutes and low-confidence tickets, tighten Billing intake rules, and review Billing's breach/transfer rate weekly for four weeks. If volume remains high after routing is cleaned up, the headcount case will be cleaner.</w:t>
      </w:r>
    </w:p>
    <w:p>
      <w:pPr>
        <w:spacing w:before="60" w:after="20"/>
      </w:pPr>
      <w:r>
        <w:rPr>
          <w:b/>
          <w:sz w:val="19"/>
        </w:rPr>
        <w:t>Scope and caveats</w:t>
      </w:r>
    </w:p>
    <w:p>
      <w:pPr>
        <w:spacing w:after="40"/>
      </w:pPr>
      <w:r>
        <w:t>The export contains a small number of pre-2025 legacy rows although the brief says Jan 2025–Jun 2026; those rows were excluded from headline analysis. Legacy resolution timestamps require the policy's UTC/IST reconciliation before handle-time analysis. Tier 2 was not compared with Tier 1 on volume because the policy explicitly says Tier 2 work is measured differently.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