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כתר שם טוב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חלק ראשון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הסכמה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FF00FF"/>
          <w:szCs w:val="48"/>
          <w:u w:val="none"/>
          <w:rtl w:val="true"/>
          <w:lang w:val="he-IL" w:bidi="he-IL"/>
        </w:rPr>
        <w:t>כתר שם טוב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FF00FF"/>
          <w:szCs w:val="48"/>
          <w:u w:val="none"/>
          <w:rtl w:val="true"/>
          <w:lang w:val="he-IL" w:bidi="he-IL"/>
        </w:rPr>
        <w:t>חלק ראשון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הסכמה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וישא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אהרן את ידיו להניף את חזה התנופה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מחזה שדי יחזה מזה בן מזה והוציא אור החכמה ושמש תפארת עוזה מנרתיקה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להראות השרים הם החכמים את יפיה בהראותו את עושר כבוד החכמה ואת יקר תפארת גדולת הבינה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הרואה אומר ברקאי האיר והבריק השחר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הנותן אמרי שפר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והם דברי קדשו של הרב רבינו הקדוש הבעש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ט זלה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 אשר בספרי קדש של תלמידו הרב הגאון מו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יעקב יוסף הכהן אב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ד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) [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']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פולנאי זלה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 ומשאר ספרים וכתבים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והנה אף שלא נחשדו ישראל לעבור על ארור מסיג גבול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אעפ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באתי כמזכיר שחלילה לכל בר ישראל להדפיס הספר כתר שם טוב תוך משך עשר שנים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וגם שלא יוסיפו המדפיסים להדפיס בשעת הדפוס ואח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מיום כלות הדפוס של הרבני מוהר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אהרן במוהר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צ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ה כהן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) [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']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אפטא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וחוקה חקקתי גזירה גזרתי בא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להיות כל הדפוסין אסורין במתכונתו לא יעשו כמוהו בלתי רשות מו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אהרן הנ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והעובר על דברי חכמים 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הנחש כרוך על עקיבו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ואשר יביט אל הנחש וחי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יריק לו ברכה עד בלי די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 העומד על התורה ועל העבודה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: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הק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מנחם מענדל חופ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ק ליסקא יע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א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הק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שלמה מקאַרלין ולע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ע בק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לאדמיר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הק</w:t>
      </w:r>
      <w:r>
        <w:rPr>
          <w:rFonts w:cs="SnTextFt" w:ascii="SnTextFt" w:hAnsi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אברהם משה מפרשוואָרסק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