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SnTextFt" w:hAnsi="SnTextFt"/>
        </w:rPr>
      </w:pPr>
      <w:r>
        <w:rPr>
          <w:rFonts w:ascii="SnTextFt" w:hAnsi="SnTextFt"/>
        </w:rPr>
      </w:r>
    </w:p>
    <w:p>
      <w:pPr>
        <w:pStyle w:val="Normal"/>
        <w:bidi w:val="1"/>
        <w:rPr>
          <w:rFonts w:ascii="SnTextFt" w:hAnsi="SnTextFt"/>
        </w:rPr>
      </w:pPr>
      <w:r>
        <w:rPr>
          <w:rFonts w:ascii="SnTextFt" w:hAnsi="SnTextFt"/>
          <w:rtl w:val="true"/>
        </w:rPr>
      </w:r>
    </w:p>
    <w:p>
      <w:pPr>
        <w:pStyle w:val="Normal"/>
        <w:bidi w:val="1"/>
        <w:jc w:val="left"/>
        <w:rPr>
          <w:rFonts w:ascii="SnTextFt" w:hAnsi="SnTextFt"/>
        </w:rPr>
      </w:pPr>
      <w:r>
        <w:rPr>
          <w:rFonts w:ascii="SnTextFt" w:hAnsi="SnTextFt"/>
          <w:rtl w:val="true"/>
        </w:rPr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מאמרי אדהא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>"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מ 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/ 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דרושי חתונה ח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>"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ב 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/ 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תרפא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Frank Ruehl CLM"/>
          <w:bCs/>
          <w:iCs w:val="false"/>
          <w:color w:val="0000FF"/>
          <w:szCs w:val="44"/>
          <w:u w:val="none"/>
          <w:rtl w:val="true"/>
          <w:lang w:val="he-IL" w:bidi="he-IL"/>
        </w:rPr>
        <w:t>תרפא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בן 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ג מתגדל יותר והעיכוב יותר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ומבן 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ג עד עשרים נשלם קומתו ולא יגדל עוד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והגידול הנוסף בזה הזמן אינו בערך הגידול שבקטנותו מה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שנים לי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ג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וגם גידול זה אינו בערך הגידול במהירות דב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שנים דיניקה וד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).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[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] </w:t>
      </w: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וביאור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ענין הגדלת הצורה בחומר הוא מה שנעשה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התפשטות אור התענוג הרוחניות בדם הוא הנפש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החלב דוקא רק שבא בהגשמה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והיינו סיבת התפשטות האיברים לאורך ורוחב יותר בימי היניקה כי בחלב הגשמי יש מבחי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התענוג הגשמי שנתגשם בחלב בירידתו וכל תענוג גשמי שבא בהגשמה טבעו לגדל ולהתפשט כבשורה טובה תדשן עצם וכמו שמנת עבית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16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כך התפשטות עובי האיברים בא מן התענוג הגשמי שבחלב הגשמי להיות לו למזון להחיות גופו כמזון הלחם ממש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ובזה תגד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הנפ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צורה הרוחניות שבה מעט מעט בב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שנים אלה עד שנעשה מוכן אח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 לקבל צורת אור השכל במדות שנקרא גידול המוחין ובלעדי ימי היניקה לא 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צורת הנפש מוכן לזה כלל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כי הנה אנו רואים שאחר היניקה מיד מתחיל לדבר מעט מעט בהשגת והבנת ענין דבר מה הרי יש בו דעת קצת וכמו שיודע לקרות אבא ואימא מצד הכרת הדעת שלא 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בו קודם שיטעום טעם דגן דוקא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וגם מדותיו הטבעיי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מתחיל להאיר בהם מקצת מאור השכל והדעת היינו שיאהוב הדבר הטוב שיבחור בו מצד הכרתו בדעתו וימאס בדבר הרע שיכיר הרע עפ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קצת דעת ושכל עכ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פ הגם שהוא 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הקטנות עדיין אבל יגדיל אור השכל והדעת במדותיו וטבע גופו מעט מעט במשך זמן שבין היניקה עד היותו בן 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 שיהי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לו דעת במדות למעלה מכפי טבעם לאהוב השנאוי עפ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טבעו אם צריך לו ולשנוא האהוב אם יכיר בדעתו שצריך שיתרחק הימנו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וזהו הפעוטות מקחן מקח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17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שעפ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דעת הן ולאו שלו עד שיגדל שכלו יותר בהיותו בן 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ג שנה שנשלם גידול כל הדעת ששייך למדותיו עכ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פ ונקרא זה גידול המוחין בכלל 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(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אך זהו גידול ראשון דאימא ומי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ג עד עשרים מתחיל גדלות שני דאבא כמ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במ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פ מרא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צור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18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').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אך כל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הכנת צורה זאת הרוחניות דמוחין במדות הטבעיים דבהמה וכיודע לקרות בדיבור בדעת או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היינו מחמת ימי היניקה דחלב שנתגשם בו התענוג שבמוח וירד אל מקום בינה דוקא שבלב בשדי אמו שיונק אדם שם שהוכן בזה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חומר רוחני לצורה הרוחניות דמוחין שיהי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צורת אדם נבדל מן הבהמה רק שהוא אדם קטן והולך וגדל בשכלו ומדותיו כנ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ולא   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_____________________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16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כבשורה טובה תדשן עצם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..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שמנת עבית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פ משלי טו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וגיטין נו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האזינו לב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טו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וראה לעיל 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מג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17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הפעוטות מקחן מקח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גיטין נט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ועוד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וראה גם סה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 תקס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ח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שצב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[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פ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ח שער הכללים פ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שער דרושי הצלם דרוש ג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].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ס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מאמרי אדהאמ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צ דברים 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תקא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נ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ך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תקיט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אמרי בינה 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ג קי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ג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ולהלן קרוב לסוף המאמר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18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במ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א ע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פ מראש צורי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'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ראה גם להלן סוף אות 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אמ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 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ג קי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רע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nText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