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3"/>
        <w:rPr>
          <w:b w:val="1"/>
          <w:sz w:val="22"/>
          <w:szCs w:val="22"/>
        </w:rPr>
      </w:pPr>
      <w:bookmarkStart w:colFirst="0" w:colLast="0" w:name="_jagh84his1sw" w:id="0"/>
      <w:bookmarkEnd w:id="0"/>
      <w:r w:rsidDel="00000000" w:rsidR="00000000" w:rsidRPr="00000000">
        <w:rPr>
          <w:b w:val="1"/>
          <w:sz w:val="22"/>
          <w:szCs w:val="22"/>
          <w:rtl w:val="0"/>
        </w:rPr>
        <w:t xml:space="preserve">Chanukah Wonderland - How To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 comprehensive guide to running a successful Chanukah Wonderland or similar Chanukah event.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Topics included in this 15 page compilation are: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Chanukah Wonderland-Before You Start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Preparing for the Chanukah Wonderland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Setting Up the Chanukah Wonderland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Chanukah Activities (16 activities included thus far)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Chanukah Crafts (14 crafts included thus far)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Chanukah Shows and Specialties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Additional Resources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We would like to expand this file to include additional crafts, activities, game shows, tips and resources and welcome your contributions and comments to files@shluchimexchange.com.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http://www.shluchimexchange.com/en/article.html?h=1810&amp;o=2894431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www.shluchimexchange.com/en/article.html?h=1810&amp;o=289443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