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EXCERPTS FROM THE U.S. SUPREME COURT RULING REGARDING PUBLIC MENORAH DISPLAYS</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“In permitting the displays on government property of the menorah and the crèche, the city and county sought to do no more then “celebrate the season.”  Brief for Petitioner County and Allegheny in No. 87-2050, p. 27, and to acknowledge, along with many of their citizens, the historical background and the religious as well as secular nature of the Chanukah and Christmas holidays.  This interest falls well within the tradition of government accommodation and acknowledgment of religion that has marked our history from the beginning.  It cannot be disputed that government, if it chooses, may participate in sharing with its citizens the joy of the holiday season, by declaring public holidays, installing or permitting festive displays, sponsoring celebrations and parades, and providing holiday vacations for its employees.  All levels of our government do precisely that.  As we said in </w:t>
      </w:r>
      <w:r w:rsidDel="00000000" w:rsidR="00000000" w:rsidRPr="00000000">
        <w:rPr>
          <w:i w:val="1"/>
          <w:rtl w:val="0"/>
        </w:rPr>
        <w:t xml:space="preserve">Lynch</w:t>
      </w:r>
      <w:r w:rsidDel="00000000" w:rsidR="00000000" w:rsidRPr="00000000">
        <w:rPr>
          <w:rtl w:val="0"/>
        </w:rPr>
        <w:t xml:space="preserve">, “Government has long recognized – indeed it has subsidized – holidays with religious significance.” 465 U.S., at 676.”</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“If government is to participate in its citizens celebration of a holiday that contains both a secular and a religious component, enforced recognition of only the secular aspect would signify the callous indifference toward religious faith that our cases and traditions do not require; for by commemorating the holiday only as it is celebrated by nonadherence, the government would be refusing to acknowledge the plain fact, and the historical reality, that many of its citizens celebrate its religious aspects as well.”</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“There is no suggestion here that the government’s power to coerce has been used to further the interests of Christianity and Judaism in any way.  No one was compelled to observe or participate in any religious ceremony or activity.  Neither the city nor the county contributed significant amounts of tax money to serve the cause of one religious faith.  The crèche and the menorah are purely passive symbols of religious holidays.  Passerby who disagree with the message conveyed to these displays are free to ignore them, or even to turn their backs, just as they are free to do when they disagree with any other form of government speech.”</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“Because government may celebrate Christmas as a secular holiday, it follows that government may also acknowledge Chanukah as a secular holiday.  Simply put, it would be a form of discrimination against Jews to allow Pittsburgh to celebrate Christmas as a cultural tradition while simultaneously disallowing the city’s acknowledgment of Chanukah as a contemporaneous cultural tradition.”</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“Government policies of accommodation, acknowledgment, and support for religion are an accepted part of our political and cultural heritage, and the Establishment Clause permits government some latitude in recognizing the central role of religion in society.  Any approach less sensitive to our heritage would border on latent hostility to religion, as it would require government in all its multifaceted roles to acknowledge only the secular, to the exclusion and so to the detriment of the religious.”</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“If congress and the state legislators do not run afoul of the Establishment Clause when they begin each day with a state-sponsored prayer for divine guidance offered by a chaplain whose salary is paid at government expense, I cannot comprehend how a menorah or a crèche, displayed in the limited context of  the holiday season, can be invalid.”</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