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Legal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Adding or Changing a will</w:t>
      </w:r>
    </w:p>
    <w:p w:rsidR="00000000" w:rsidDel="00000000" w:rsidP="00000000" w:rsidRDefault="00000000" w:rsidRPr="00000000" w14:paraId="00000006">
      <w:pPr>
        <w:rPr>
          <w:b w:val="1"/>
          <w:sz w:val="26"/>
          <w:szCs w:val="26"/>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color w:val="0a0a0a"/>
        </w:rPr>
      </w:pPr>
      <w:r w:rsidDel="00000000" w:rsidR="00000000" w:rsidRPr="00000000">
        <w:rPr>
          <w:color w:val="0a0a0a"/>
          <w:rtl w:val="0"/>
        </w:rPr>
        <w:t xml:space="preserve">There is nothing prohibiting a person from including burial instructions in their Last Will and Testaments.  However, it is generally recommended that the instructions be in a separate document and discussed with loved ones (so they are aware of your wishes).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color w:val="0a0a0a"/>
        </w:rPr>
      </w:pPr>
      <w:r w:rsidDel="00000000" w:rsidR="00000000" w:rsidRPr="00000000">
        <w:rPr>
          <w:color w:val="0a0a0a"/>
          <w:rtl w:val="0"/>
        </w:rPr>
        <w:t xml:space="preserve">This is because if your burial wishes were to change for some reason, it is much easier to change a separate document as opposed to a last will and testament, which requires witnesses, self-proving affidavit and other legal requirements.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color w:val="0a0a0a"/>
        </w:rPr>
      </w:pPr>
      <w:r w:rsidDel="00000000" w:rsidR="00000000" w:rsidRPr="00000000">
        <w:rPr>
          <w:color w:val="0a0a0a"/>
          <w:rtl w:val="0"/>
        </w:rPr>
        <w:t xml:space="preserve">More importantly, any probate proceeding (where a Last Will &amp; Testament is effectuated by the Court, and authoritative letters are issued to the Executor so they can marshal the decedent’s assets and perform other estate work) occurs after the funeral has taken place.  Thus, in the estate administration process, the Will is probated (</w:t>
      </w:r>
      <w:r w:rsidDel="00000000" w:rsidR="00000000" w:rsidRPr="00000000">
        <w:rPr>
          <w:rFonts w:ascii="Roboto" w:cs="Roboto" w:eastAsia="Roboto" w:hAnsi="Roboto"/>
          <w:color w:val="202124"/>
          <w:sz w:val="21"/>
          <w:szCs w:val="21"/>
          <w:highlight w:val="white"/>
          <w:rtl w:val="0"/>
        </w:rPr>
        <w:t xml:space="preserve">establish the validity) </w:t>
      </w:r>
      <w:r w:rsidDel="00000000" w:rsidR="00000000" w:rsidRPr="00000000">
        <w:rPr>
          <w:color w:val="0a0a0a"/>
          <w:rtl w:val="0"/>
        </w:rPr>
        <w:t xml:space="preserve">after the decedent’s funeral/burial.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color w:val="0a0a0a"/>
        </w:rPr>
      </w:pPr>
      <w:r w:rsidDel="00000000" w:rsidR="00000000" w:rsidRPr="00000000">
        <w:rPr>
          <w:color w:val="0a0a0a"/>
          <w:rtl w:val="0"/>
        </w:rPr>
        <w:t xml:space="preserve">Therefore, for the most flexibility and utility, it is better to keep funeral and burial wishes in a separate document.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color w:val="0a0a0a"/>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48" w:lineRule="auto"/>
        <w:jc w:val="center"/>
        <w:rPr>
          <w:rFonts w:ascii="Calibri" w:cs="Calibri" w:eastAsia="Calibri" w:hAnsi="Calibri"/>
          <w:sz w:val="20"/>
          <w:szCs w:val="20"/>
        </w:rPr>
      </w:pPr>
      <w:bookmarkStart w:colFirst="0" w:colLast="0" w:name="_jejiqad1wn7j" w:id="0"/>
      <w:bookmarkEnd w:id="0"/>
      <w:r w:rsidDel="00000000" w:rsidR="00000000" w:rsidRPr="00000000">
        <w:rPr>
          <w:rFonts w:ascii="Roboto" w:cs="Roboto" w:eastAsia="Roboto" w:hAnsi="Roboto"/>
          <w:b w:val="1"/>
          <w:sz w:val="30"/>
          <w:szCs w:val="30"/>
          <w:rtl w:val="0"/>
        </w:rPr>
        <w:t xml:space="preserve">Who Has the Rights to a Dead Body and Its Disposition?</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Roboto" w:cs="Roboto" w:eastAsia="Roboto" w:hAnsi="Roboto"/>
          <w:u w:val="single"/>
        </w:rPr>
      </w:pPr>
      <w:r w:rsidDel="00000000" w:rsidR="00000000" w:rsidRPr="00000000">
        <w:rPr>
          <w:rFonts w:ascii="Roboto" w:cs="Roboto" w:eastAsia="Roboto" w:hAnsi="Roboto"/>
          <w:rtl w:val="0"/>
        </w:rPr>
        <w:t xml:space="preserve">Laws regarding dead bodies are not as straightforward as one might think. Many people falsely believe the decedent’s </w:t>
      </w:r>
      <w:hyperlink r:id="rId6">
        <w:r w:rsidDel="00000000" w:rsidR="00000000" w:rsidRPr="00000000">
          <w:rPr>
            <w:rFonts w:ascii="Roboto" w:cs="Roboto" w:eastAsia="Roboto" w:hAnsi="Roboto"/>
            <w:u w:val="single"/>
            <w:rtl w:val="0"/>
          </w:rPr>
          <w:t xml:space="preserve">surviving spouse</w:t>
        </w:r>
      </w:hyperlink>
      <w:r w:rsidDel="00000000" w:rsidR="00000000" w:rsidRPr="00000000">
        <w:rPr>
          <w:rFonts w:ascii="Roboto" w:cs="Roboto" w:eastAsia="Roboto" w:hAnsi="Roboto"/>
          <w:rtl w:val="0"/>
        </w:rPr>
        <w:t xml:space="preserve"> and immediate family are automatically entitled to control the disposition of remains, but it is actually the agent designated under the decedent’s </w:t>
      </w:r>
      <w:hyperlink r:id="rId7">
        <w:r w:rsidDel="00000000" w:rsidR="00000000" w:rsidRPr="00000000">
          <w:rPr>
            <w:rFonts w:ascii="Roboto" w:cs="Roboto" w:eastAsia="Roboto" w:hAnsi="Roboto"/>
            <w:u w:val="single"/>
            <w:rtl w:val="0"/>
          </w:rPr>
          <w:t xml:space="preserve">power of attorney</w:t>
        </w:r>
      </w:hyperlink>
      <w:r w:rsidDel="00000000" w:rsidR="00000000" w:rsidRPr="00000000">
        <w:rPr>
          <w:rFonts w:ascii="Roboto" w:cs="Roboto" w:eastAsia="Roboto" w:hAnsi="Roboto"/>
          <w:rtl w:val="0"/>
        </w:rPr>
        <w:t xml:space="preserve"> for health care (or Advanced Health Care Directive) who is allowed to direct the disposition of the decedent’s remains. This agent is the individual the decedent formally designated in their estate planning documents to make their health care decisions; it is irrelevant whether this person has a familial connection to the decedent.</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Roboto" w:cs="Roboto" w:eastAsia="Roboto" w:hAnsi="Roboto"/>
        </w:rPr>
      </w:pPr>
      <w:r w:rsidDel="00000000" w:rsidR="00000000" w:rsidRPr="00000000">
        <w:rPr>
          <w:rFonts w:ascii="Roboto" w:cs="Roboto" w:eastAsia="Roboto" w:hAnsi="Roboto"/>
          <w:rtl w:val="0"/>
        </w:rPr>
        <w:t xml:space="preserve">If the decedent had not appointed an agent to control the disposition of their remains, then the closest living relative (starting with the decedent’s surviving spouse) is empowered under the law to make decisions relating to the disposition of their remains. sets forth the order of priority – i.e., the charge first goes to the decedent’s spouse, if any, then to the decedent’s adult children, if any, then to the decedent’s parents, if still alive, and then continues down the enumerated line of succession.</w:t>
      </w:r>
    </w:p>
    <w:p w:rsidR="00000000" w:rsidDel="00000000" w:rsidP="00000000" w:rsidRDefault="00000000" w:rsidRPr="00000000" w14:paraId="0000000F">
      <w:pPr>
        <w:rPr>
          <w:b w:val="1"/>
          <w:color w:val="252429"/>
          <w:sz w:val="24"/>
          <w:szCs w:val="24"/>
          <w:highlight w:val="white"/>
        </w:rPr>
      </w:pPr>
      <w:r w:rsidDel="00000000" w:rsidR="00000000" w:rsidRPr="00000000">
        <w:rPr>
          <w:b w:val="1"/>
          <w:color w:val="252429"/>
          <w:sz w:val="24"/>
          <w:szCs w:val="24"/>
          <w:highlight w:val="white"/>
          <w:rtl w:val="0"/>
        </w:rPr>
        <w:t xml:space="preserve">In Conclusion </w:t>
      </w:r>
      <w:r w:rsidDel="00000000" w:rsidR="00000000" w:rsidRPr="00000000">
        <w:rPr>
          <w:rtl w:val="0"/>
        </w:rPr>
      </w:r>
    </w:p>
    <w:p w:rsidR="00000000" w:rsidDel="00000000" w:rsidP="00000000" w:rsidRDefault="00000000" w:rsidRPr="00000000" w14:paraId="00000010">
      <w:pPr>
        <w:rPr>
          <w:color w:val="252429"/>
          <w:highlight w:val="yellow"/>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w:t>
      </w:r>
      <w:r w:rsidDel="00000000" w:rsidR="00000000" w:rsidRPr="00000000">
        <w:rPr>
          <w:rFonts w:ascii="Calibri" w:cs="Calibri" w:eastAsia="Calibri" w:hAnsi="Calibri"/>
          <w:sz w:val="24"/>
          <w:szCs w:val="24"/>
          <w:rtl w:val="0"/>
        </w:rPr>
        <w:t xml:space="preserve"> someone wrote in their will to cremate,  no one will stop you from a burial, as long as no other immediate family objects. It takes time for the will to be read ect.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funeral home is giving issues that the person wanted cremation. Then start telling them you will have to go to court .. funeral homes don't like to get involved with such things, and even if it progress till court drag it out and it possible with time they will give in.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have someone in the family that's willing to fight for a burial, in order to stop the process one should go to a court to get an injunction, it's best to use a lawyer for it, technically one could file an injunction without a lawyer.</w:t>
      </w:r>
    </w:p>
    <w:p w:rsidR="00000000" w:rsidDel="00000000" w:rsidP="00000000" w:rsidRDefault="00000000" w:rsidRPr="00000000" w14:paraId="00000014">
      <w:pPr>
        <w:rPr>
          <w:color w:val="252429"/>
          <w:highlight w:val="white"/>
        </w:rPr>
      </w:pPr>
      <w:r w:rsidDel="00000000" w:rsidR="00000000" w:rsidRPr="00000000">
        <w:rPr>
          <w:color w:val="252429"/>
          <w:highlight w:val="white"/>
          <w:rtl w:val="0"/>
        </w:rPr>
        <w:t xml:space="preserve">If there is a dispute in between siblings they each have the same right, it seldom goes to court then the judge decides </w:t>
      </w:r>
    </w:p>
    <w:p w:rsidR="00000000" w:rsidDel="00000000" w:rsidP="00000000" w:rsidRDefault="00000000" w:rsidRPr="00000000" w14:paraId="00000015">
      <w:pPr>
        <w:rPr>
          <w:color w:val="252429"/>
          <w:highlight w:val="yellow"/>
        </w:rPr>
      </w:pPr>
      <w:r w:rsidDel="00000000" w:rsidR="00000000" w:rsidRPr="00000000">
        <w:rPr>
          <w:rtl w:val="0"/>
        </w:rPr>
      </w:r>
    </w:p>
    <w:p w:rsidR="00000000" w:rsidDel="00000000" w:rsidP="00000000" w:rsidRDefault="00000000" w:rsidRPr="00000000" w14:paraId="00000016">
      <w:pPr>
        <w:rPr>
          <w:color w:val="252429"/>
          <w:highlight w:val="white"/>
        </w:rPr>
      </w:pPr>
      <w:r w:rsidDel="00000000" w:rsidR="00000000" w:rsidRPr="00000000">
        <w:rPr>
          <w:color w:val="252429"/>
          <w:highlight w:val="white"/>
          <w:rtl w:val="0"/>
        </w:rPr>
        <w:t xml:space="preserve">In short </w:t>
      </w:r>
    </w:p>
    <w:p w:rsidR="00000000" w:rsidDel="00000000" w:rsidP="00000000" w:rsidRDefault="00000000" w:rsidRPr="00000000" w14:paraId="00000017">
      <w:pPr>
        <w:rPr>
          <w:color w:val="252429"/>
          <w:highlight w:val="white"/>
        </w:rPr>
      </w:pPr>
      <w:r w:rsidDel="00000000" w:rsidR="00000000" w:rsidRPr="00000000">
        <w:rPr>
          <w:rtl w:val="0"/>
        </w:rPr>
      </w:r>
    </w:p>
    <w:p w:rsidR="00000000" w:rsidDel="00000000" w:rsidP="00000000" w:rsidRDefault="00000000" w:rsidRPr="00000000" w14:paraId="00000018">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It is recommended to keep funeral and burial wishes in a separate document, as it is easier to change if needed.</w:t>
      </w:r>
    </w:p>
    <w:p w:rsidR="00000000" w:rsidDel="00000000" w:rsidP="00000000" w:rsidRDefault="00000000" w:rsidRPr="00000000" w14:paraId="00000019">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The agent designated under the decedent's power of attorney for health care has the right to control the disposition of remains, even if they are not a family member.</w:t>
      </w:r>
    </w:p>
    <w:p w:rsidR="00000000" w:rsidDel="00000000" w:rsidP="00000000" w:rsidRDefault="00000000" w:rsidRPr="00000000" w14:paraId="0000001A">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If there is no appointed agent, the closest living relative has the right to make decisions relating to the disposition of remains.</w:t>
      </w:r>
    </w:p>
    <w:p w:rsidR="00000000" w:rsidDel="00000000" w:rsidP="00000000" w:rsidRDefault="00000000" w:rsidRPr="00000000" w14:paraId="0000001B">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Rule="auto"/>
        <w:ind w:left="720" w:hanging="360"/>
        <w:rPr>
          <w:highlight w:val="white"/>
        </w:rPr>
      </w:pPr>
      <w:r w:rsidDel="00000000" w:rsidR="00000000" w:rsidRPr="00000000">
        <w:rPr>
          <w:rFonts w:ascii="Roboto" w:cs="Roboto" w:eastAsia="Roboto" w:hAnsi="Roboto"/>
          <w:color w:val="374151"/>
          <w:sz w:val="24"/>
          <w:szCs w:val="24"/>
          <w:highlight w:val="white"/>
          <w:rtl w:val="0"/>
        </w:rPr>
        <w:t xml:space="preserve">If someone wrote in their will to be cremated, it is possible for immediate family members to object and request a burial, but it may require going to court and obtaining an injunction.</w:t>
      </w:r>
    </w:p>
    <w:p w:rsidR="00000000" w:rsidDel="00000000" w:rsidP="00000000" w:rsidRDefault="00000000" w:rsidRPr="00000000" w14:paraId="0000001C">
      <w:pPr>
        <w:rPr>
          <w:color w:val="252429"/>
          <w:highlight w:val="white"/>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keystone-law.com/surviving-spouse" TargetMode="External"/><Relationship Id="rId7" Type="http://schemas.openxmlformats.org/officeDocument/2006/relationships/hyperlink" Target="http://www.keystone-law.com/power-of-attorne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