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A1D" w:rsidRDefault="00F85A1D">
      <w:pPr>
        <w:rPr>
          <w:rFonts w:ascii="Verdana" w:eastAsia="Times New Roman" w:hAnsi="Verdana" w:cs="Arial"/>
          <w:b/>
          <w:bCs/>
          <w:color w:val="000000"/>
          <w:sz w:val="21"/>
          <w:szCs w:val="21"/>
        </w:rPr>
      </w:pPr>
      <w:bookmarkStart w:id="0" w:name="_GoBack"/>
      <w:bookmarkEnd w:id="0"/>
      <w:r>
        <w:rPr>
          <w:rFonts w:ascii="Verdana" w:eastAsia="Times New Roman" w:hAnsi="Verdana" w:cs="Arial"/>
          <w:b/>
          <w:bCs/>
          <w:noProof/>
          <w:color w:val="000000"/>
          <w:sz w:val="21"/>
          <w:szCs w:val="21"/>
        </w:rPr>
        <w:drawing>
          <wp:anchor distT="0" distB="0" distL="114300" distR="114300" simplePos="0" relativeHeight="251657215" behindDoc="1" locked="0" layoutInCell="1" allowOverlap="1" wp14:anchorId="2B5183EF" wp14:editId="713F1ED2">
            <wp:simplePos x="0" y="0"/>
            <wp:positionH relativeFrom="column">
              <wp:posOffset>3586480</wp:posOffset>
            </wp:positionH>
            <wp:positionV relativeFrom="paragraph">
              <wp:posOffset>274320</wp:posOffset>
            </wp:positionV>
            <wp:extent cx="3722370" cy="3238500"/>
            <wp:effectExtent l="0" t="0" r="0" b="0"/>
            <wp:wrapThrough wrapText="bothSides">
              <wp:wrapPolygon edited="0">
                <wp:start x="0" y="0"/>
                <wp:lineTo x="0" y="21473"/>
                <wp:lineTo x="21445" y="21473"/>
                <wp:lineTo x="2144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pe_regions.b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2370" cy="3238500"/>
                    </a:xfrm>
                    <a:prstGeom prst="rect">
                      <a:avLst/>
                    </a:prstGeom>
                  </pic:spPr>
                </pic:pic>
              </a:graphicData>
            </a:graphic>
            <wp14:sizeRelH relativeFrom="page">
              <wp14:pctWidth>0</wp14:pctWidth>
            </wp14:sizeRelH>
            <wp14:sizeRelV relativeFrom="page">
              <wp14:pctHeight>0</wp14:pctHeight>
            </wp14:sizeRelV>
          </wp:anchor>
        </w:drawing>
      </w:r>
      <w:r>
        <w:rPr>
          <w:rFonts w:ascii="Verdana" w:eastAsia="Times New Roman" w:hAnsi="Verdana" w:cs="Arial"/>
          <w:b/>
          <w:bCs/>
          <w:noProof/>
          <w:color w:val="000000"/>
          <w:sz w:val="21"/>
          <w:szCs w:val="21"/>
        </w:rPr>
        <w:drawing>
          <wp:anchor distT="0" distB="0" distL="114300" distR="114300" simplePos="0" relativeHeight="251658240" behindDoc="1" locked="0" layoutInCell="1" allowOverlap="1" wp14:anchorId="67755C14" wp14:editId="1C5A6B19">
            <wp:simplePos x="0" y="0"/>
            <wp:positionH relativeFrom="column">
              <wp:posOffset>-372110</wp:posOffset>
            </wp:positionH>
            <wp:positionV relativeFrom="paragraph">
              <wp:posOffset>127635</wp:posOffset>
            </wp:positionV>
            <wp:extent cx="3783965" cy="4511040"/>
            <wp:effectExtent l="0" t="0" r="6985" b="3810"/>
            <wp:wrapThrough wrapText="bothSides">
              <wp:wrapPolygon edited="0">
                <wp:start x="0" y="0"/>
                <wp:lineTo x="0" y="21527"/>
                <wp:lineTo x="21531" y="21527"/>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many_Regions_02.b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3965" cy="4511040"/>
                    </a:xfrm>
                    <a:prstGeom prst="rect">
                      <a:avLst/>
                    </a:prstGeom>
                  </pic:spPr>
                </pic:pic>
              </a:graphicData>
            </a:graphic>
            <wp14:sizeRelH relativeFrom="page">
              <wp14:pctWidth>0</wp14:pctWidth>
            </wp14:sizeRelH>
            <wp14:sizeRelV relativeFrom="page">
              <wp14:pctHeight>0</wp14:pctHeight>
            </wp14:sizeRelV>
          </wp:anchor>
        </w:drawing>
      </w:r>
      <w:r>
        <w:rPr>
          <w:rFonts w:ascii="Verdana" w:eastAsia="Times New Roman" w:hAnsi="Verdana" w:cs="Arial"/>
          <w:b/>
          <w:bCs/>
          <w:noProof/>
          <w:color w:val="000000"/>
          <w:sz w:val="21"/>
          <w:szCs w:val="21"/>
        </w:rPr>
        <w:drawing>
          <wp:anchor distT="0" distB="0" distL="114300" distR="114300" simplePos="0" relativeHeight="251662336" behindDoc="1" locked="0" layoutInCell="1" allowOverlap="1" wp14:anchorId="53CB4CE9" wp14:editId="395274A4">
            <wp:simplePos x="0" y="0"/>
            <wp:positionH relativeFrom="column">
              <wp:posOffset>2738120</wp:posOffset>
            </wp:positionH>
            <wp:positionV relativeFrom="paragraph">
              <wp:posOffset>3735705</wp:posOffset>
            </wp:positionV>
            <wp:extent cx="4747260" cy="3596005"/>
            <wp:effectExtent l="0" t="0" r="0" b="4445"/>
            <wp:wrapThrough wrapText="bothSides">
              <wp:wrapPolygon edited="0">
                <wp:start x="0" y="0"/>
                <wp:lineTo x="0" y="21512"/>
                <wp:lineTo x="21496" y="21512"/>
                <wp:lineTo x="2149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nia-regions-map.b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7260" cy="3596005"/>
                    </a:xfrm>
                    <a:prstGeom prst="rect">
                      <a:avLst/>
                    </a:prstGeom>
                  </pic:spPr>
                </pic:pic>
              </a:graphicData>
            </a:graphic>
            <wp14:sizeRelH relativeFrom="page">
              <wp14:pctWidth>0</wp14:pctWidth>
            </wp14:sizeRelH>
            <wp14:sizeRelV relativeFrom="page">
              <wp14:pctHeight>0</wp14:pctHeight>
            </wp14:sizeRelV>
          </wp:anchor>
        </w:drawing>
      </w:r>
    </w:p>
    <w:p w:rsidR="00F85A1D" w:rsidRDefault="00F85A1D">
      <w:pPr>
        <w:rPr>
          <w:rFonts w:ascii="Verdana" w:eastAsia="Times New Roman" w:hAnsi="Verdana" w:cs="Arial"/>
          <w:b/>
          <w:bCs/>
          <w:color w:val="000000"/>
          <w:sz w:val="21"/>
          <w:szCs w:val="21"/>
        </w:rPr>
      </w:pPr>
    </w:p>
    <w:p w:rsidR="00F85A1D" w:rsidRDefault="00F85A1D">
      <w:pPr>
        <w:rPr>
          <w:rFonts w:ascii="Verdana" w:eastAsia="Times New Roman" w:hAnsi="Verdana" w:cs="Arial"/>
          <w:b/>
          <w:bCs/>
          <w:color w:val="000000"/>
          <w:sz w:val="21"/>
          <w:szCs w:val="21"/>
        </w:rPr>
      </w:pPr>
      <w:r>
        <w:rPr>
          <w:rFonts w:ascii="Verdana" w:eastAsia="Times New Roman" w:hAnsi="Verdana" w:cs="Arial"/>
          <w:b/>
          <w:bCs/>
          <w:noProof/>
          <w:color w:val="000000"/>
          <w:sz w:val="21"/>
          <w:szCs w:val="21"/>
        </w:rPr>
        <w:drawing>
          <wp:anchor distT="0" distB="0" distL="114300" distR="114300" simplePos="0" relativeHeight="251661312" behindDoc="1" locked="0" layoutInCell="1" allowOverlap="1" wp14:anchorId="6F9B43CC" wp14:editId="3284DE73">
            <wp:simplePos x="0" y="0"/>
            <wp:positionH relativeFrom="column">
              <wp:posOffset>-480060</wp:posOffset>
            </wp:positionH>
            <wp:positionV relativeFrom="paragraph">
              <wp:posOffset>1905000</wp:posOffset>
            </wp:positionV>
            <wp:extent cx="4119245" cy="3716655"/>
            <wp:effectExtent l="0" t="0" r="0" b="0"/>
            <wp:wrapThrough wrapText="bothSides">
              <wp:wrapPolygon edited="0">
                <wp:start x="0" y="0"/>
                <wp:lineTo x="0" y="21478"/>
                <wp:lineTo x="21477" y="21478"/>
                <wp:lineTo x="2147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ence-map.b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9245" cy="3716655"/>
                    </a:xfrm>
                    <a:prstGeom prst="rect">
                      <a:avLst/>
                    </a:prstGeom>
                  </pic:spPr>
                </pic:pic>
              </a:graphicData>
            </a:graphic>
            <wp14:sizeRelH relativeFrom="page">
              <wp14:pctWidth>0</wp14:pctWidth>
            </wp14:sizeRelH>
            <wp14:sizeRelV relativeFrom="page">
              <wp14:pctHeight>0</wp14:pctHeight>
            </wp14:sizeRelV>
          </wp:anchor>
        </w:drawing>
      </w:r>
      <w:r>
        <w:rPr>
          <w:rFonts w:ascii="Verdana" w:eastAsia="Times New Roman" w:hAnsi="Verdana" w:cs="Arial"/>
          <w:b/>
          <w:bCs/>
          <w:color w:val="000000"/>
          <w:sz w:val="21"/>
          <w:szCs w:val="21"/>
        </w:rPr>
        <w:br w:type="page"/>
      </w:r>
    </w:p>
    <w:p w:rsidR="00464E87" w:rsidRPr="00E775DF" w:rsidRDefault="00464E87" w:rsidP="00E775DF">
      <w:pPr>
        <w:rPr>
          <w:rFonts w:ascii="Tahoma" w:eastAsia="Times New Roman" w:hAnsi="Tahoma" w:cs="Tahoma"/>
          <w:color w:val="000000"/>
          <w:sz w:val="24"/>
          <w:szCs w:val="24"/>
        </w:rPr>
      </w:pPr>
      <w:r w:rsidRPr="00E775DF">
        <w:rPr>
          <w:rFonts w:ascii="Tahoma" w:eastAsia="Times New Roman" w:hAnsi="Tahoma" w:cs="Tahoma"/>
          <w:b/>
          <w:bCs/>
          <w:color w:val="000000"/>
          <w:sz w:val="24"/>
          <w:szCs w:val="24"/>
        </w:rPr>
        <w:lastRenderedPageBreak/>
        <w:t>Tradition attributed to Hai Gaon by Nathan ben Yehiel of Rome in his Talmudic lexicon, Sefer he-‘Arukh Aruch Completum, 1:14</w:t>
      </w:r>
      <w:r w:rsidR="00D7009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This is explained in Hekhalot Rabbati and Hekhalot Zutarti. They [the mystics] would do certain actions, pray certain prayers in purity, make [theurgic] use of the crown, gaze upon the palaces, see the divisions of angels according to their position and palace after palace… They did not ascend on high but rather in the chamber of their heart they saw and contemplated (ro’in we-sofin be-hadre libban) as a person who sees and contemplates something clearly with his eyes, and they heard and spoke with a seeing eye (‘ein ha-sokheh) by means of the Holy Spirit. This is the explanation of R. Hai Gaon.</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Azriel of Gerona, Commentary on Talmudic Aggadoth, p. 40</w:t>
      </w:r>
      <w:r w:rsidR="00D7009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Insofar as [the prophet] was sitting and studying, and would cleave his thought above, the wondrous entities [i.e., the sefirot] were engraved upon his heart, and by means of this emanation and this cleaving of thought the entities were increased and expanded, and from the joy they were revealed to him. In this manner was the drawing down of prophecy (hamshakhat ha-nevu’ah), for the prophet would concentrate [his mind] (mitboded) and intend his heart and cleave his thought above. And in accordance with the cleaving of prophecy (devequt ha-nevu’ah) the prophet would see and know what would occur in the future.</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br/>
      </w:r>
      <w:r w:rsidRPr="00E775DF">
        <w:rPr>
          <w:rFonts w:ascii="Tahoma" w:eastAsia="Times New Roman" w:hAnsi="Tahoma" w:cs="Tahoma"/>
          <w:b/>
          <w:bCs/>
          <w:color w:val="000000"/>
          <w:sz w:val="24"/>
          <w:szCs w:val="24"/>
        </w:rPr>
        <w:t>Nahmanides, Kitve Ramban, 2:299</w:t>
      </w:r>
      <w:r w:rsidR="00464E87"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For the people of that world will attain the level of Moses, our rabbi, whose soul rose above his body until his physical faculties were annihilated, and he was clothed in the Holy Spirit every moment as if his sight and hearing were only through the eye of the soul (‘ein ha-nefesh)… The body is annihilated and the soul separates from its faculties when the Holy Spirit emanates upon a person and he sees by means of vision itself when he sees Michael and Gabriel, and this is true vision and the proper hearing… Thus we have come to deal with the mysteries of prophecy (sodot ha-nevu’ah) and visions of the pious (re’iyot ha-hasidim) who see angels.</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br/>
      </w:r>
      <w:r w:rsidRPr="00E775DF">
        <w:rPr>
          <w:rFonts w:ascii="Tahoma" w:eastAsia="Times New Roman" w:hAnsi="Tahoma" w:cs="Tahoma"/>
          <w:b/>
          <w:bCs/>
          <w:color w:val="000000"/>
          <w:sz w:val="24"/>
          <w:szCs w:val="24"/>
        </w:rPr>
        <w:t>Eleazar of Worms, MS Paris, BN 850 fols. 58a-b.</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 xml:space="preserve">Whoever is occupied [with the study of] the chariot (ha-‘oseq ba-merkavah) or the glorious name (shem ha-nikhbad) [i.e., the Tetragrammaton], he and his students, to whom he wants to transmit this, should go and bathe in water, and cover their whole bodies in water, and their clothes should be soaked in water… they should immerse themselves and get dressed in white clothes and stand in water up to their thighs. And the rabbi should begin [to cite the blessing], with fear and trembling, with [proper] intention in mind, looking at the water… "Blessed are You, O Lord, our God, king of the universe, God of Israel, You are one and Your name is one, and You have commanded us to conceal Your great name, for Your name is awesome. Blessed are You, Lord, and blessed is the name of Your glory forever, the glorious and awesome name, Lord, our God. "The voice of the Lord is over the </w:t>
      </w:r>
      <w:r w:rsidRPr="00E775DF">
        <w:rPr>
          <w:rFonts w:ascii="Tahoma" w:eastAsia="Times New Roman" w:hAnsi="Tahoma" w:cs="Tahoma"/>
          <w:color w:val="000000"/>
          <w:sz w:val="24"/>
          <w:szCs w:val="24"/>
        </w:rPr>
        <w:lastRenderedPageBreak/>
        <w:t>waters" (Ps. 29:3). "Blessed are You, Lord, the one who reveals His secret to those who fear Him, the One who knows all secrets.</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Isaac the Blind, Cited by Ezra ben Solomon of Gerona in his Commentary on Canticles, in Kitve Ramban, 2:522</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The Pious one, our teacher, blessed be his memory said: The essence of the worship of the enlightened (maskilim) and those who meditate on His name (hoshve shemo) is "and cleave to Him" (Deut. 13:5). This is a cardinal principal in the Torah with respect to prayer and blessings, that one must harmonize one's thought and one's faith as if it cleaved above, to unify the name in its letters and to comprise within it the ten emanations (sefirot) like a flame bound to the coal. With his mouth he mentions it according to is appellation [Ado</w:t>
      </w:r>
      <w:r w:rsidR="00464E87" w:rsidRPr="00E775DF">
        <w:rPr>
          <w:rFonts w:ascii="Tahoma" w:eastAsia="Times New Roman" w:hAnsi="Tahoma" w:cs="Tahoma"/>
          <w:color w:val="000000"/>
          <w:sz w:val="24"/>
          <w:szCs w:val="24"/>
        </w:rPr>
        <w:t>-</w:t>
      </w:r>
      <w:r w:rsidRPr="00E775DF">
        <w:rPr>
          <w:rFonts w:ascii="Tahoma" w:eastAsia="Times New Roman" w:hAnsi="Tahoma" w:cs="Tahoma"/>
          <w:color w:val="000000"/>
          <w:sz w:val="24"/>
          <w:szCs w:val="24"/>
        </w:rPr>
        <w:t>nai], but in his heart he unites it in accordance with its structure and how it is written [Y</w:t>
      </w:r>
      <w:r w:rsidR="00464E87" w:rsidRPr="00E775DF">
        <w:rPr>
          <w:rFonts w:ascii="Tahoma" w:eastAsia="Times New Roman" w:hAnsi="Tahoma" w:cs="Tahoma"/>
          <w:color w:val="000000"/>
          <w:sz w:val="24"/>
          <w:szCs w:val="24"/>
        </w:rPr>
        <w:t>-</w:t>
      </w:r>
      <w:r w:rsidRPr="00E775DF">
        <w:rPr>
          <w:rFonts w:ascii="Tahoma" w:eastAsia="Times New Roman" w:hAnsi="Tahoma" w:cs="Tahoma"/>
          <w:color w:val="000000"/>
          <w:sz w:val="24"/>
          <w:szCs w:val="24"/>
        </w:rPr>
        <w:t>H</w:t>
      </w:r>
      <w:r w:rsidR="00464E87" w:rsidRPr="00E775DF">
        <w:rPr>
          <w:rFonts w:ascii="Tahoma" w:eastAsia="Times New Roman" w:hAnsi="Tahoma" w:cs="Tahoma"/>
          <w:color w:val="000000"/>
          <w:sz w:val="24"/>
          <w:szCs w:val="24"/>
        </w:rPr>
        <w:t>-</w:t>
      </w:r>
      <w:r w:rsidRPr="00E775DF">
        <w:rPr>
          <w:rFonts w:ascii="Tahoma" w:eastAsia="Times New Roman" w:hAnsi="Tahoma" w:cs="Tahoma"/>
          <w:color w:val="000000"/>
          <w:sz w:val="24"/>
          <w:szCs w:val="24"/>
        </w:rPr>
        <w:t>W</w:t>
      </w:r>
      <w:r w:rsidR="00464E87" w:rsidRPr="00E775DF">
        <w:rPr>
          <w:rFonts w:ascii="Tahoma" w:eastAsia="Times New Roman" w:hAnsi="Tahoma" w:cs="Tahoma"/>
          <w:color w:val="000000"/>
          <w:sz w:val="24"/>
          <w:szCs w:val="24"/>
        </w:rPr>
        <w:t>-</w:t>
      </w:r>
      <w:r w:rsidRPr="00E775DF">
        <w:rPr>
          <w:rFonts w:ascii="Tahoma" w:eastAsia="Times New Roman" w:hAnsi="Tahoma" w:cs="Tahoma"/>
          <w:color w:val="000000"/>
          <w:sz w:val="24"/>
          <w:szCs w:val="24"/>
        </w:rPr>
        <w:t>H].</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Nahmanides, Sermon on Ecclesiastes</w:t>
      </w:r>
      <w:r w:rsidR="00D7009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With respect to these matters and others like them one cannot understand their truth from one’s own mind (mida’at atzmo) but only through tradition (be kabbalah). This matter is explained in the Torah to whoever has heard the rationale for the commandments through a tradition (ta’am ha mitzvot be kabbalah) as is fitting. This refers to one who has received from a mouth which has received, going back to Moses, our teacher, [who received] from God.</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br/>
      </w:r>
      <w:r w:rsidRPr="00E775DF">
        <w:rPr>
          <w:rFonts w:ascii="Tahoma" w:eastAsia="Times New Roman" w:hAnsi="Tahoma" w:cs="Tahoma"/>
          <w:b/>
          <w:bCs/>
          <w:color w:val="000000"/>
          <w:sz w:val="24"/>
          <w:szCs w:val="24"/>
        </w:rPr>
        <w:t>Abraham Abulafia, Or ha-Sekhel, MS Vat. 233, fols. 43a 43b.</w:t>
      </w:r>
      <w:r w:rsidR="00D7009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Even though we have alluded to the hidden matters, the verses should not lose their literal sense. Insofar as there is nothing compelling us to believe that this is an allegory and should not be [understood] according to its literal sense in any manner, we should initially believe the literal sense as it is. . . . Afterwards it should be interpreted as much as it can withstand according to the hidden way, for all that which is interpreted according to what is hidden instructs about a deeper wisdom and is more beneficial to a person than the exoteric teaching. The exoteric is written to benefit the masses who have no analytic skill to distinguish between truth and falsehood, but this will not benefit the knowledgeable person who seeks felicity unique to the rational faculty.</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br/>
      </w:r>
      <w:r w:rsidRPr="00E775DF">
        <w:rPr>
          <w:rFonts w:ascii="Tahoma" w:eastAsia="Times New Roman" w:hAnsi="Tahoma" w:cs="Tahoma"/>
          <w:b/>
          <w:bCs/>
          <w:color w:val="000000"/>
          <w:sz w:val="24"/>
          <w:szCs w:val="24"/>
        </w:rPr>
        <w:t>Eleazar of Worms, Sefer ha-Roqeah, § 20, p. 30</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I should not restrain my spirit for the sake of my Creator for even a short while, and I should not take pleasure for even a short while in matters of adultery and impurity. I must accustom my eyes to [not] look at the face of a woman for she is fire....Everyone looks at the face of women, but he does not and this is the worship of the Creator in truth. One must avoid all physical pleasure with women, seeing them, touching them, sitting with them, seeing their lovely garments, hearing their voices in speech or song, speaking with them, whether married or single, with the exception of his wife.</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Sefer Hasidim, § 2, pp. 4-5</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lastRenderedPageBreak/>
        <w:t>If the evil inclination overpowers you to transgress or to do [a sinful action], consider as if you were in the time of the religious persecution (bi-she‘at ha-shemad), you would have experienced suffering or death for the sake of the blessed holy One. “Therefore do maidens love you” (Song of Songs 1:3), to the point of death they love you. If they wanted to murder you or to torture you until death was chosen rather than life, you would have endured it. All the more so regarding this matter, which is not so great, and your desire overcomes you, but you receive a great reward, for it is better for a person to control his desire more than fulfilling one hundred commandments.</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br/>
      </w:r>
      <w:r w:rsidRPr="00E775DF">
        <w:rPr>
          <w:rFonts w:ascii="Tahoma" w:eastAsia="Times New Roman" w:hAnsi="Tahoma" w:cs="Tahoma"/>
          <w:b/>
          <w:bCs/>
          <w:color w:val="000000"/>
          <w:sz w:val="24"/>
          <w:szCs w:val="24"/>
        </w:rPr>
        <w:t>Sefer Hasidim, § 815, p. 206</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The yearning for children and wives, the jesting with friends, excursions, and the innovation of useless things cause one to neglect the words of Torah. Thus, [it is written] “with all your heart and all your soul” (Deut. 6:4) with respect to the love and worship [of God], so that one might abandon them on behalf of the blessed holy One. He should worship and love the blessed holy One, “in all your ways know him” (Prov. 3:6), “to love the Lord” (Deut. 11:13), for the soul is filled with love, and it is bound in joy, and that joy drives away from his heart the pleasures of the body and the delight of the world. That joy is so strong and augmented in his heart that even if a young man who has not had intercourse with his wife for many days, and he has a great desire, and when he ejaculates his semen like an arrow he has pleasure, this is nothing in comparison to the strength and the vigor of the joy of the love of the Lord. All the love of the joyance of the heart of the one who loves the Lord with all his heart and all of his thoughts are on how to execute the will of the Creator, to exonerate the masses, to fulfill the sanctification of the Lord, and to offer himself in the love of the Creator ... and the love should be like Phinehas who offered himself for the sake of the Creator, and Abraham our father who feared the Lord, as it says, “I swear to the Lord, God Most High, Creator of heaven and earth, I will not take so much as a thread or a sandal strap” (Gen. 14:22-23), and Elisha who did not want to take from Naaman. That love prevents a person from abrogating the words of Torah on account of joking and toying around with his children, or on account of the love of seeing women and [engaging in idle] speech, and it also enables him to abandon excursions, and it causes him to sing sweet songs in order to fill his heart in the joy of the love of the Lord, and he toils and labors in the path that is the will of the Creator.</w:t>
      </w:r>
    </w:p>
    <w:p w:rsidR="00F03706" w:rsidRPr="00E775DF" w:rsidRDefault="00F03706" w:rsidP="00F03706">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Eleazar of Worms, Sefer ha-Roqeah (Jerusalem, 1967), pp. 5-6</w:t>
      </w:r>
      <w:r w:rsidR="00F85A1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 xml:space="preserve">The soul is full of love of God and it is bound with ropes of love in joy and the goodness of the heart. He is not like one who serves his master against his will; rather, even if there were those who tried to hinder him, the love burns within his heart to worship and he is glad to fulfill the will of his Creator. ... He does not worship for the sake of his benefit or for his glory. He says: What am I? Despised and helpless, here today and tomorrow in the grave, beaten by transgression, I am filled with excrement, yet I have been chosen and I have been created to be a servant of the glorious king. ... The lover thinks not about the pleasure of this world, and he is not concerned about the excursions of his wife, nor about his sons and daughters, and everything is as nothing for him apart from fulfilling the will of </w:t>
      </w:r>
      <w:r w:rsidRPr="00E775DF">
        <w:rPr>
          <w:rFonts w:ascii="Tahoma" w:eastAsia="Times New Roman" w:hAnsi="Tahoma" w:cs="Tahoma"/>
          <w:color w:val="000000"/>
          <w:sz w:val="24"/>
          <w:szCs w:val="24"/>
        </w:rPr>
        <w:lastRenderedPageBreak/>
        <w:t>his Creator, to render others meritorious, to sanctify his name, and to give himself in the love of him as Abraham, “I swear [to the Lord, God Most High, Creator of heaven and earth], I will not take so much as a thread or a sandal strap” (Gen. 14:22-23), and as Phinehas who gave of himself when he killed Zimri (Num. 25:14). They do not elevate themselves, speak trivial words, look at the faces of women, and they listen to their reproach but do not respond, and all of their thoughts are with their Creator, and they sing sweet songs to their Creator, and all the designs of their thoughts burn from the fire of his love.</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Eleazar of Worms, Hokhmat ha-Nefesh, 13b-c</w:t>
      </w:r>
      <w:r w:rsidR="00D7009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 xml:space="preserve">The soul has no body, and it sees like an angel when it goes out from the body, and it has no shadow. Even the soul of the righteous sees through prophecy and in a vision since it contemplates all day long like Jacob, [of whom it says] “he had a dream, and behold there was a ladder” (Gen. 28:12). The [word] sullam [“ladder”] is numerically equivalent [to the expression] zeh kisse’ ha-kavod [“this is the throne of glory”] ... The [word] sullam is numerically equivalent to [the word] qol [“voice”], for by means of the voice of prayer the angels ascend, and similarly the souls of the righteous rise in the voice of praise that is heard. ... With respect to the matter of this world [it says] “When your eyes behold the king in his beauty” (Isa. 33:17), but in the future the righteous man shall see from all his sides like the supernal ones before and behind him ... The soul of the righteous is bound beneath the throne of glory, and it delights in the vision of the glory from all the pleasures of the garden. </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Isaac the Blind</w:t>
      </w:r>
      <w:r w:rsidR="00F85A1D" w:rsidRPr="00E775DF">
        <w:rPr>
          <w:rFonts w:ascii="Tahoma" w:eastAsia="Times New Roman" w:hAnsi="Tahoma" w:cs="Tahoma"/>
          <w:b/>
          <w:bCs/>
          <w:color w:val="000000"/>
          <w:sz w:val="24"/>
          <w:szCs w:val="24"/>
        </w:rPr>
        <w:br/>
      </w:r>
      <w:r w:rsidRPr="00E775DF">
        <w:rPr>
          <w:rFonts w:ascii="Tahoma" w:eastAsia="Times New Roman" w:hAnsi="Tahoma" w:cs="Tahoma"/>
          <w:color w:val="000000"/>
          <w:sz w:val="24"/>
          <w:szCs w:val="24"/>
        </w:rPr>
        <w:t>[T]he vision is the subtle and pure splendor [seen in accordance with] the comprehension of the one who receives… "their appearance was like lightning this refers to the subtlety and purity of the comprehension of the one who receives… the attribute [or measure] is that which is received by the separate realities [nifradim, i.e., the ontic realm beneath the sefirot], for the prophets saw the attributes in accordance with their comprehension and by means of their ability to receive they expanded their thought… for from that which he comprehends he can recognize that which he cannot comprehend. Therefore the potencies (middot) arose, for language can comprehend only that which comes out from Him, since a man cannot comprehend the potency of the [divine] speech and the letters (middat ha-dibbur we-ha-’otiyyot) but only the potency [of language] itself (middatah be-‘asmah). There is no potency outside the letters. All the sublime potencies are given to be meditated upon (le-hitbonen), for each potency receives from the potency above it, and they are given to Israel, to contemplate from the attribute seen in the heart, to contemplate to the Infinite.</w:t>
      </w:r>
    </w:p>
    <w:p w:rsidR="00D7009D" w:rsidRPr="00E775DF" w:rsidRDefault="00D7009D" w:rsidP="00D7009D">
      <w:pPr>
        <w:shd w:val="clear" w:color="auto" w:fill="FFFFFF"/>
        <w:spacing w:before="96" w:after="120" w:line="360" w:lineRule="atLeast"/>
        <w:rPr>
          <w:rFonts w:ascii="Tahoma" w:eastAsia="Times New Roman" w:hAnsi="Tahoma" w:cs="Tahoma"/>
          <w:b/>
          <w:bCs/>
          <w:color w:val="000000"/>
          <w:sz w:val="24"/>
          <w:szCs w:val="24"/>
        </w:rPr>
      </w:pP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Eleazar of Worms, MS Paris, BN 772, fol. 49a</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Commenting on the passage in the morning liturgy, "David blessed the Lord in front of all the assemblage; David said, Blessed are You, Lord, God of Israel our father, from eternity to eternity" (cf. 1 Chron. 29:10):</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lastRenderedPageBreak/>
        <w:t>In a similar vein [to the opening of David's blessing] in all generations people say each and every day "Blessed are You, Lord," for it is written, "I have blessed the Lord before me always" (Ps. 16:8). The Lord is the all in all things. Therefore it says, "Blessed are You, Lord," like one who speaks [to another] mouth to mouth. "God of Israel," this refers to the glory that Israel the elder [i.e., Jacob] and all the prophets saw. This is a glorious form, a resplendent light without image except as it appears in the human imagination (be-mar’eh ’adam ha-dimyon). Lest one be startled if one sees [the glory] in another matter, the glory surrounds the prophet in a cloud all the time that it speaks with him. This should not be transmitted in writing but rather mouth to mouth, as the pious one did. The glory of God is not to investigate lest one's heart be led astray to falsehood. It is written, "the glory of God is to conceal the matter" (Prov. 25:2).</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br/>
      </w:r>
      <w:r w:rsidRPr="00E775DF">
        <w:rPr>
          <w:rFonts w:ascii="Tahoma" w:eastAsia="Times New Roman" w:hAnsi="Tahoma" w:cs="Tahoma"/>
          <w:b/>
          <w:bCs/>
          <w:color w:val="000000"/>
          <w:sz w:val="24"/>
          <w:szCs w:val="24"/>
        </w:rPr>
        <w:t>Eleazar of Worms, Sode Razayya, p. 11.</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The angel [appears] in many images (demuyot), and this is [the import of the verse] "The one who looked like a man touched my lips, and I opened my mouth and spoke, saying to him who stood before me, "My lord, because of the vision, I have been seized with pangs and cannot summon strength" (Dan. 10:16). It does not say in the image of a man (ki-demut ’adam) [i.e., in the singular], but rather in the image of men (ki-demut bene ’adam) [i.e., in the plural], for the angel [can appear in] many images. The angel appointed over a man looks like that very man.</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b/>
          <w:bCs/>
          <w:color w:val="000000"/>
          <w:sz w:val="24"/>
          <w:szCs w:val="24"/>
        </w:rPr>
        <w:t>Eleazar of Worms, Sode Razayya, p. 8</w:t>
      </w:r>
    </w:p>
    <w:p w:rsidR="00464E87" w:rsidRPr="00E775DF" w:rsidRDefault="00464E87" w:rsidP="00464E87">
      <w:pPr>
        <w:shd w:val="clear" w:color="auto" w:fill="FFFFFF"/>
        <w:spacing w:before="96" w:after="120" w:line="360" w:lineRule="atLeast"/>
        <w:rPr>
          <w:rFonts w:ascii="Tahoma" w:eastAsia="Times New Roman" w:hAnsi="Tahoma" w:cs="Tahoma"/>
          <w:color w:val="000000"/>
          <w:sz w:val="24"/>
          <w:szCs w:val="24"/>
        </w:rPr>
      </w:pPr>
      <w:r w:rsidRPr="00E775DF">
        <w:rPr>
          <w:rFonts w:ascii="Tahoma" w:eastAsia="Times New Roman" w:hAnsi="Tahoma" w:cs="Tahoma"/>
          <w:color w:val="000000"/>
          <w:sz w:val="24"/>
          <w:szCs w:val="24"/>
        </w:rPr>
        <w:t>The angels who are sent below [appear] according to the need of the hour and according to the will [of God]. Elijah made himself appear like a bear in order to bother R. Hiyya and his son [as is related in the Babylonian talmud, tractate] Bava Mesi‘a [85b]… At that moment Elijah was not a bear but he appeared to them as such. Similarly an angel came to Jacob in the image of Esau … The angels are very subtle bodies, like the spirit which is subtle and not visible, for the body [of the angel] is from the spirit and from fire. If He desires to reveal them He makes their bodies [literally, their burden] heavier, [as it says] "Then one of the seraphs flew over to me" (Isa. 6:6), and in Daniel, "[I looked and saw] a man dressed in linen" (Dan. 10:5). For the Holy One, blessed be He, strengthened the light of the eye, as it says, "And the Lord opened the servant's eyes" (2 Kings 6:17). The Holy One, blessed be He, allows the angel to be seen well and his body will be coarse and not subtle, and there is a conflict between him and those people who stand there and do not see him… The angel is replete with images (da‘atanot) and the [particular] perspective of a person is according to the decree [that has been established].</w:t>
      </w:r>
    </w:p>
    <w:sectPr w:rsidR="00464E87" w:rsidRPr="00E775DF" w:rsidSect="00D7009D">
      <w:head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635" w:rsidRDefault="00DD1635" w:rsidP="00F85A1D">
      <w:pPr>
        <w:spacing w:after="0" w:line="240" w:lineRule="auto"/>
      </w:pPr>
      <w:r>
        <w:separator/>
      </w:r>
    </w:p>
  </w:endnote>
  <w:endnote w:type="continuationSeparator" w:id="0">
    <w:p w:rsidR="00DD1635" w:rsidRDefault="00DD1635" w:rsidP="00F85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635" w:rsidRDefault="00DD1635" w:rsidP="00F85A1D">
      <w:pPr>
        <w:spacing w:after="0" w:line="240" w:lineRule="auto"/>
      </w:pPr>
      <w:r>
        <w:separator/>
      </w:r>
    </w:p>
  </w:footnote>
  <w:footnote w:type="continuationSeparator" w:id="0">
    <w:p w:rsidR="00DD1635" w:rsidRDefault="00DD1635" w:rsidP="00F85A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839908"/>
      <w:docPartObj>
        <w:docPartGallery w:val="Page Numbers (Top of Page)"/>
        <w:docPartUnique/>
      </w:docPartObj>
    </w:sdtPr>
    <w:sdtEndPr>
      <w:rPr>
        <w:noProof/>
      </w:rPr>
    </w:sdtEndPr>
    <w:sdtContent>
      <w:p w:rsidR="00F85A1D" w:rsidRDefault="00F85A1D">
        <w:pPr>
          <w:pStyle w:val="Header"/>
        </w:pPr>
        <w:r>
          <w:fldChar w:fldCharType="begin"/>
        </w:r>
        <w:r>
          <w:instrText xml:space="preserve"> PAGE   \* MERGEFORMAT </w:instrText>
        </w:r>
        <w:r>
          <w:fldChar w:fldCharType="separate"/>
        </w:r>
        <w:r w:rsidR="009F637B">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706"/>
    <w:rsid w:val="00120D25"/>
    <w:rsid w:val="0025781E"/>
    <w:rsid w:val="00462581"/>
    <w:rsid w:val="00464E87"/>
    <w:rsid w:val="00910793"/>
    <w:rsid w:val="009A079E"/>
    <w:rsid w:val="009F637B"/>
    <w:rsid w:val="00A95E8A"/>
    <w:rsid w:val="00D7009D"/>
    <w:rsid w:val="00DD1635"/>
    <w:rsid w:val="00E775DF"/>
    <w:rsid w:val="00F03706"/>
    <w:rsid w:val="00F85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7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5A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A1D"/>
    <w:rPr>
      <w:rFonts w:ascii="Tahoma" w:hAnsi="Tahoma" w:cs="Tahoma"/>
      <w:sz w:val="16"/>
      <w:szCs w:val="16"/>
    </w:rPr>
  </w:style>
  <w:style w:type="paragraph" w:styleId="Header">
    <w:name w:val="header"/>
    <w:basedOn w:val="Normal"/>
    <w:link w:val="HeaderChar"/>
    <w:uiPriority w:val="99"/>
    <w:unhideWhenUsed/>
    <w:rsid w:val="00F8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1D"/>
  </w:style>
  <w:style w:type="paragraph" w:styleId="Footer">
    <w:name w:val="footer"/>
    <w:basedOn w:val="Normal"/>
    <w:link w:val="FooterChar"/>
    <w:uiPriority w:val="99"/>
    <w:unhideWhenUsed/>
    <w:rsid w:val="00F85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A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7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5A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A1D"/>
    <w:rPr>
      <w:rFonts w:ascii="Tahoma" w:hAnsi="Tahoma" w:cs="Tahoma"/>
      <w:sz w:val="16"/>
      <w:szCs w:val="16"/>
    </w:rPr>
  </w:style>
  <w:style w:type="paragraph" w:styleId="Header">
    <w:name w:val="header"/>
    <w:basedOn w:val="Normal"/>
    <w:link w:val="HeaderChar"/>
    <w:uiPriority w:val="99"/>
    <w:unhideWhenUsed/>
    <w:rsid w:val="00F8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1D"/>
  </w:style>
  <w:style w:type="paragraph" w:styleId="Footer">
    <w:name w:val="footer"/>
    <w:basedOn w:val="Normal"/>
    <w:link w:val="FooterChar"/>
    <w:uiPriority w:val="99"/>
    <w:unhideWhenUsed/>
    <w:rsid w:val="00F85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2</cp:revision>
  <cp:lastPrinted>2011-11-23T00:03:00Z</cp:lastPrinted>
  <dcterms:created xsi:type="dcterms:W3CDTF">2012-02-06T17:12:00Z</dcterms:created>
  <dcterms:modified xsi:type="dcterms:W3CDTF">2012-02-06T17:12:00Z</dcterms:modified>
</cp:coreProperties>
</file>