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78F6" w:rsidRPr="007E7EB8" w:rsidRDefault="00F378F6" w:rsidP="00F378F6">
      <w:pPr>
        <w:spacing w:before="100" w:beforeAutospacing="1" w:after="100" w:afterAutospacing="1" w:line="240" w:lineRule="auto"/>
        <w:jc w:val="center"/>
        <w:outlineLvl w:val="0"/>
        <w:rPr>
          <w:rFonts w:ascii="Times New Roman" w:eastAsia="Times New Roman" w:hAnsi="Times New Roman" w:cs="David"/>
          <w:b/>
          <w:bCs/>
          <w:color w:val="000000"/>
          <w:kern w:val="36"/>
          <w:sz w:val="36"/>
          <w:szCs w:val="36"/>
        </w:rPr>
      </w:pPr>
      <w:r w:rsidRPr="007E7EB8">
        <w:rPr>
          <w:rFonts w:ascii="Times New Roman" w:eastAsia="Times New Roman" w:hAnsi="Times New Roman" w:cs="David" w:hint="cs"/>
          <w:b/>
          <w:bCs/>
          <w:color w:val="000000"/>
          <w:kern w:val="36"/>
          <w:sz w:val="36"/>
          <w:szCs w:val="36"/>
        </w:rPr>
        <w:t xml:space="preserve">Deuteronomy Chapter 6 </w:t>
      </w:r>
      <w:r w:rsidRPr="007E7EB8">
        <w:rPr>
          <w:rFonts w:ascii="Times New Roman" w:eastAsia="Times New Roman" w:hAnsi="Times New Roman" w:cs="David"/>
          <w:b/>
          <w:bCs/>
          <w:color w:val="000000"/>
          <w:kern w:val="36"/>
          <w:sz w:val="36"/>
          <w:szCs w:val="36"/>
        </w:rPr>
        <w:t>דְּבָרִים</w:t>
      </w:r>
    </w:p>
    <w:tbl>
      <w:tblPr>
        <w:tblW w:w="5000" w:type="pct"/>
        <w:tblCellSpacing w:w="30" w:type="dxa"/>
        <w:tblCellMar>
          <w:top w:w="60" w:type="dxa"/>
          <w:left w:w="60" w:type="dxa"/>
          <w:bottom w:w="60" w:type="dxa"/>
          <w:right w:w="60" w:type="dxa"/>
        </w:tblCellMar>
        <w:tblLook w:val="04A0"/>
      </w:tblPr>
      <w:tblGrid>
        <w:gridCol w:w="5520"/>
        <w:gridCol w:w="5520"/>
      </w:tblGrid>
      <w:tr w:rsidR="00F378F6" w:rsidRPr="00F378F6" w:rsidTr="00F378F6">
        <w:trPr>
          <w:tblCellSpacing w:w="30" w:type="dxa"/>
        </w:trPr>
        <w:tc>
          <w:tcPr>
            <w:tcW w:w="2500" w:type="pct"/>
            <w:hideMark/>
          </w:tcPr>
          <w:p w:rsidR="00F378F6" w:rsidRPr="00F378F6" w:rsidRDefault="00F378F6" w:rsidP="00F378F6">
            <w:pPr>
              <w:bidi/>
              <w:spacing w:after="0" w:line="240" w:lineRule="auto"/>
              <w:rPr>
                <w:rFonts w:ascii="Times New Roman" w:eastAsia="Times New Roman" w:hAnsi="Times New Roman" w:cs="David"/>
                <w:color w:val="000000"/>
              </w:rPr>
            </w:pPr>
            <w:bookmarkStart w:id="0" w:name="1"/>
            <w:bookmarkEnd w:id="0"/>
            <w:r w:rsidRPr="00F378F6">
              <w:rPr>
                <w:rFonts w:ascii="Times New Roman" w:eastAsia="Times New Roman" w:hAnsi="Times New Roman" w:cs="David" w:hint="cs"/>
                <w:b/>
                <w:bCs/>
                <w:color w:val="000000"/>
                <w:rtl/>
              </w:rPr>
              <w:t>א</w:t>
            </w:r>
            <w:r w:rsidRPr="00F378F6">
              <w:rPr>
                <w:rFonts w:ascii="Times New Roman" w:eastAsia="Times New Roman" w:hAnsi="Times New Roman" w:cs="David" w:hint="cs"/>
                <w:color w:val="000000"/>
                <w:rtl/>
              </w:rPr>
              <w:t xml:space="preserve">  וְזֹאת הַמִּצְוָה, הַחֻקִּים וְהַמִּשְׁפָּטִים, אֲשֶׁר צִוָּה יְהוָה אֱלֹהֵיכֶם, לְלַמֵּד אֶתְכֶם--לַעֲשׂוֹת בָּאָרֶץ, אֲשֶׁר אַתֶּם עֹבְרִים שָׁמָּה לְרִשְׁתָּהּ.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1</w:t>
            </w:r>
            <w:r w:rsidRPr="00F378F6">
              <w:rPr>
                <w:rFonts w:ascii="Times New Roman" w:eastAsia="Times New Roman" w:hAnsi="Times New Roman" w:cs="David" w:hint="cs"/>
                <w:color w:val="000000"/>
              </w:rPr>
              <w:t xml:space="preserve"> Now this is the commandment, the statutes, and the ordinances, which the LORD your God commanded to teach you, that ye might do them in the land whither ye go over to possess it--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1" w:name="2"/>
            <w:bookmarkEnd w:id="1"/>
            <w:r w:rsidRPr="00F378F6">
              <w:rPr>
                <w:rFonts w:ascii="Times New Roman" w:eastAsia="Times New Roman" w:hAnsi="Times New Roman" w:cs="David" w:hint="cs"/>
                <w:b/>
                <w:bCs/>
                <w:color w:val="000000"/>
                <w:rtl/>
              </w:rPr>
              <w:t>ב</w:t>
            </w:r>
            <w:r w:rsidRPr="00F378F6">
              <w:rPr>
                <w:rFonts w:ascii="Times New Roman" w:eastAsia="Times New Roman" w:hAnsi="Times New Roman" w:cs="David" w:hint="cs"/>
                <w:color w:val="000000"/>
                <w:rtl/>
              </w:rPr>
              <w:t>  לְמַעַן תִּירָא אֶת-יְהוָה אֱלֹהֶיךָ, לִשְׁמֹר אֶת-כָּל-חֻקֹּתָיו וּמִצְו</w:t>
            </w:r>
            <w:r w:rsidRPr="00F378F6">
              <w:rPr>
                <w:rFonts w:ascii="Arial" w:eastAsia="Times New Roman" w:hAnsi="Arial" w:cs="Arial" w:hint="cs"/>
                <w:color w:val="000000"/>
                <w:rtl/>
              </w:rPr>
              <w:t>‍</w:t>
            </w:r>
            <w:r w:rsidRPr="00F378F6">
              <w:rPr>
                <w:rFonts w:ascii="Times New Roman" w:eastAsia="Times New Roman" w:hAnsi="Times New Roman" w:cs="David" w:hint="cs"/>
                <w:color w:val="000000"/>
                <w:rtl/>
              </w:rPr>
              <w:t xml:space="preserve">ֹתָיו אֲשֶׁר אָנֹכִי מְצַוֶּךָ, אַתָּה וּבִנְךָ וּבֶן-בִּנְךָ, כֹּל יְמֵי חַיֶּיךָ--וּלְמַעַן, יַאֲרִכֻן יָמֶיךָ.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2</w:t>
            </w:r>
            <w:r w:rsidRPr="00F378F6">
              <w:rPr>
                <w:rFonts w:ascii="Times New Roman" w:eastAsia="Times New Roman" w:hAnsi="Times New Roman" w:cs="David" w:hint="cs"/>
                <w:color w:val="000000"/>
              </w:rPr>
              <w:t xml:space="preserve"> that thou mightest fear the LORD thy God, to keep all His statutes and His commandments, which I command thee, thou, and thy son, and thy son's son, all the days of thy life; and that thy days may be prolonged.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2" w:name="3"/>
            <w:bookmarkEnd w:id="2"/>
            <w:r w:rsidRPr="00F378F6">
              <w:rPr>
                <w:rFonts w:ascii="Times New Roman" w:eastAsia="Times New Roman" w:hAnsi="Times New Roman" w:cs="David" w:hint="cs"/>
                <w:b/>
                <w:bCs/>
                <w:color w:val="000000"/>
                <w:rtl/>
              </w:rPr>
              <w:t>ג</w:t>
            </w:r>
            <w:r w:rsidRPr="00F378F6">
              <w:rPr>
                <w:rFonts w:ascii="Times New Roman" w:eastAsia="Times New Roman" w:hAnsi="Times New Roman" w:cs="David" w:hint="cs"/>
                <w:color w:val="000000"/>
                <w:rtl/>
              </w:rPr>
              <w:t xml:space="preserve">  וְשָׁמַעְתָּ יִשְׂרָאֵל, וְשָׁמַרְתָּ לַעֲשׂוֹת, אֲשֶׁר יִיטַב לְךָ, וַאֲשֶׁר תִּרְבּוּן מְאֹד:  כַּאֲשֶׁר דִּבֶּר יְהוָה אֱלֹהֵי אֲבֹתֶיךָ, לָךְ--אֶרֶץ זָבַת חָלָב, וּדְבָשׁ.  {פ}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3</w:t>
            </w:r>
            <w:r w:rsidRPr="00F378F6">
              <w:rPr>
                <w:rFonts w:ascii="Times New Roman" w:eastAsia="Times New Roman" w:hAnsi="Times New Roman" w:cs="David" w:hint="cs"/>
                <w:color w:val="000000"/>
              </w:rPr>
              <w:t xml:space="preserve"> Hear therefore, O Israel, and observe to do it; that it may be well with thee, and that ye may increase mightily, as the LORD, the God of thy fathers, hath promised unto thee--a land flowing with milk and honey. </w:t>
            </w:r>
            <w:r w:rsidRPr="00F378F6">
              <w:rPr>
                <w:rFonts w:ascii="Times New Roman" w:eastAsia="Times New Roman" w:hAnsi="Times New Roman" w:cs="David" w:hint="cs"/>
                <w:b/>
                <w:bCs/>
                <w:color w:val="000000"/>
              </w:rPr>
              <w:t>{P}</w:t>
            </w:r>
            <w:r w:rsidRPr="00F378F6">
              <w:rPr>
                <w:rFonts w:ascii="Times New Roman" w:eastAsia="Times New Roman" w:hAnsi="Times New Roman" w:cs="David" w:hint="cs"/>
                <w:color w:val="000000"/>
              </w:rPr>
              <w:t xml:space="preserve">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3" w:name="4"/>
            <w:bookmarkEnd w:id="3"/>
            <w:r w:rsidRPr="00F378F6">
              <w:rPr>
                <w:rFonts w:ascii="Times New Roman" w:eastAsia="Times New Roman" w:hAnsi="Times New Roman" w:cs="David" w:hint="cs"/>
                <w:b/>
                <w:bCs/>
                <w:color w:val="000000"/>
                <w:rtl/>
              </w:rPr>
              <w:t>ד</w:t>
            </w:r>
            <w:r w:rsidRPr="00F378F6">
              <w:rPr>
                <w:rFonts w:ascii="Times New Roman" w:eastAsia="Times New Roman" w:hAnsi="Times New Roman" w:cs="David" w:hint="cs"/>
                <w:color w:val="000000"/>
                <w:rtl/>
              </w:rPr>
              <w:t xml:space="preserve">  שְׁמַע, יִשְׂרָאֵל:  יְהוָה אֱלֹהֵינוּ, יְהוָה אֶחָד. </w:t>
            </w:r>
          </w:p>
        </w:tc>
        <w:tc>
          <w:tcPr>
            <w:tcW w:w="0" w:type="auto"/>
            <w:vAlign w:val="center"/>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4</w:t>
            </w:r>
            <w:r w:rsidRPr="00F378F6">
              <w:rPr>
                <w:rFonts w:ascii="Times New Roman" w:eastAsia="Times New Roman" w:hAnsi="Times New Roman" w:cs="David" w:hint="cs"/>
                <w:color w:val="000000"/>
              </w:rPr>
              <w:t xml:space="preserve"> Hear, O Israel: the LORD our God, the LORD is one.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4" w:name="5"/>
            <w:bookmarkEnd w:id="4"/>
            <w:r w:rsidRPr="00F378F6">
              <w:rPr>
                <w:rFonts w:ascii="Times New Roman" w:eastAsia="Times New Roman" w:hAnsi="Times New Roman" w:cs="David" w:hint="cs"/>
                <w:b/>
                <w:bCs/>
                <w:color w:val="000000"/>
                <w:rtl/>
              </w:rPr>
              <w:t>ה</w:t>
            </w:r>
            <w:r w:rsidRPr="00F378F6">
              <w:rPr>
                <w:rFonts w:ascii="Times New Roman" w:eastAsia="Times New Roman" w:hAnsi="Times New Roman" w:cs="David" w:hint="cs"/>
                <w:color w:val="000000"/>
                <w:rtl/>
              </w:rPr>
              <w:t xml:space="preserve">  וְאָהַבְתָּ, אֵת יְהוָה אֱלֹהֶיךָ, בְּכָל-לְבָבְךָ וּבְכָל-נַפְשְׁךָ, וּבְכָל-מְאֹדֶךָ.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5</w:t>
            </w:r>
            <w:r w:rsidRPr="00F378F6">
              <w:rPr>
                <w:rFonts w:ascii="Times New Roman" w:eastAsia="Times New Roman" w:hAnsi="Times New Roman" w:cs="David" w:hint="cs"/>
                <w:color w:val="000000"/>
              </w:rPr>
              <w:t xml:space="preserve"> And thou shalt love the LORD thy God with all thy heart, and with all thy soul, and with all thy might.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5" w:name="6"/>
            <w:bookmarkEnd w:id="5"/>
            <w:r w:rsidRPr="00F378F6">
              <w:rPr>
                <w:rFonts w:ascii="Times New Roman" w:eastAsia="Times New Roman" w:hAnsi="Times New Roman" w:cs="David" w:hint="cs"/>
                <w:b/>
                <w:bCs/>
                <w:color w:val="000000"/>
                <w:rtl/>
              </w:rPr>
              <w:t>ו</w:t>
            </w:r>
            <w:r w:rsidRPr="00F378F6">
              <w:rPr>
                <w:rFonts w:ascii="Times New Roman" w:eastAsia="Times New Roman" w:hAnsi="Times New Roman" w:cs="David" w:hint="cs"/>
                <w:color w:val="000000"/>
                <w:rtl/>
              </w:rPr>
              <w:t xml:space="preserve">  וְהָיוּ הַדְּבָרִים הָאֵלֶּה, אֲשֶׁר אָנֹכִי מְצַוְּךָ הַיּוֹם--עַל-לְבָבֶךָ.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6</w:t>
            </w:r>
            <w:r w:rsidRPr="00F378F6">
              <w:rPr>
                <w:rFonts w:ascii="Times New Roman" w:eastAsia="Times New Roman" w:hAnsi="Times New Roman" w:cs="David" w:hint="cs"/>
                <w:color w:val="000000"/>
              </w:rPr>
              <w:t xml:space="preserve"> And these words, which I command thee this day, shall be upon thy heart;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6" w:name="7"/>
            <w:bookmarkEnd w:id="6"/>
            <w:r w:rsidRPr="00F378F6">
              <w:rPr>
                <w:rFonts w:ascii="Times New Roman" w:eastAsia="Times New Roman" w:hAnsi="Times New Roman" w:cs="David" w:hint="cs"/>
                <w:b/>
                <w:bCs/>
                <w:color w:val="000000"/>
                <w:rtl/>
              </w:rPr>
              <w:t>ז</w:t>
            </w:r>
            <w:r w:rsidRPr="00F378F6">
              <w:rPr>
                <w:rFonts w:ascii="Times New Roman" w:eastAsia="Times New Roman" w:hAnsi="Times New Roman" w:cs="David" w:hint="cs"/>
                <w:color w:val="000000"/>
                <w:rtl/>
              </w:rPr>
              <w:t xml:space="preserve">  וְשִׁנַּנְתָּם לְבָנֶיךָ, וְדִבַּרְתָּ בָּם, בְּשִׁבְתְּךָ בְּבֵיתֶךָ וּבְלֶכְתְּךָ בַדֶּרֶךְ, וּבְשָׁכְבְּךָ וּבְקוּמֶךָ.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7</w:t>
            </w:r>
            <w:r w:rsidRPr="00F378F6">
              <w:rPr>
                <w:rFonts w:ascii="Times New Roman" w:eastAsia="Times New Roman" w:hAnsi="Times New Roman" w:cs="David" w:hint="cs"/>
                <w:color w:val="000000"/>
              </w:rPr>
              <w:t xml:space="preserve"> and thou shalt teach them diligently unto thy children, and shalt talk of them when thou sittest in thy house, and when thou walkest by the way, and when thou liest down, and when thou risest up.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7" w:name="8"/>
            <w:bookmarkEnd w:id="7"/>
            <w:r w:rsidRPr="00F378F6">
              <w:rPr>
                <w:rFonts w:ascii="Times New Roman" w:eastAsia="Times New Roman" w:hAnsi="Times New Roman" w:cs="David" w:hint="cs"/>
                <w:b/>
                <w:bCs/>
                <w:color w:val="000000"/>
                <w:rtl/>
              </w:rPr>
              <w:t>ח</w:t>
            </w:r>
            <w:r w:rsidRPr="00F378F6">
              <w:rPr>
                <w:rFonts w:ascii="Times New Roman" w:eastAsia="Times New Roman" w:hAnsi="Times New Roman" w:cs="David" w:hint="cs"/>
                <w:color w:val="000000"/>
                <w:rtl/>
              </w:rPr>
              <w:t xml:space="preserve">  וּקְשַׁרְתָּם לְאוֹת, עַל-יָדֶךָ; וְהָיוּ לְטֹטָפֹת, בֵּין עֵינֶיךָ.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8</w:t>
            </w:r>
            <w:r w:rsidRPr="00F378F6">
              <w:rPr>
                <w:rFonts w:ascii="Times New Roman" w:eastAsia="Times New Roman" w:hAnsi="Times New Roman" w:cs="David" w:hint="cs"/>
                <w:color w:val="000000"/>
              </w:rPr>
              <w:t xml:space="preserve"> And thou shalt bind them for a sign upon thy hand, and they shall be for frontlets between thine eyes.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8" w:name="9"/>
            <w:bookmarkEnd w:id="8"/>
            <w:r w:rsidRPr="00F378F6">
              <w:rPr>
                <w:rFonts w:ascii="Times New Roman" w:eastAsia="Times New Roman" w:hAnsi="Times New Roman" w:cs="David" w:hint="cs"/>
                <w:b/>
                <w:bCs/>
                <w:color w:val="000000"/>
                <w:rtl/>
              </w:rPr>
              <w:t>ט</w:t>
            </w:r>
            <w:r w:rsidRPr="00F378F6">
              <w:rPr>
                <w:rFonts w:ascii="Times New Roman" w:eastAsia="Times New Roman" w:hAnsi="Times New Roman" w:cs="David" w:hint="cs"/>
                <w:color w:val="000000"/>
                <w:rtl/>
              </w:rPr>
              <w:t xml:space="preserve">  וּכְתַבְתָּם עַל-מְזֻזוֹת בֵּיתֶךָ, וּבִשְׁעָרֶיךָ.  {ס}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9</w:t>
            </w:r>
            <w:r w:rsidRPr="00F378F6">
              <w:rPr>
                <w:rFonts w:ascii="Times New Roman" w:eastAsia="Times New Roman" w:hAnsi="Times New Roman" w:cs="David" w:hint="cs"/>
                <w:color w:val="000000"/>
              </w:rPr>
              <w:t xml:space="preserve"> And thou shalt write them upon the door-posts of thy house, and upon thy gates. </w:t>
            </w:r>
            <w:r w:rsidRPr="00F378F6">
              <w:rPr>
                <w:rFonts w:ascii="Times New Roman" w:eastAsia="Times New Roman" w:hAnsi="Times New Roman" w:cs="David" w:hint="cs"/>
                <w:b/>
                <w:bCs/>
                <w:color w:val="000000"/>
              </w:rPr>
              <w:t>{S}</w:t>
            </w:r>
            <w:r w:rsidRPr="00F378F6">
              <w:rPr>
                <w:rFonts w:ascii="Times New Roman" w:eastAsia="Times New Roman" w:hAnsi="Times New Roman" w:cs="David" w:hint="cs"/>
                <w:color w:val="000000"/>
              </w:rPr>
              <w:t xml:space="preserve">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9" w:name="10"/>
            <w:bookmarkEnd w:id="9"/>
            <w:r w:rsidRPr="00F378F6">
              <w:rPr>
                <w:rFonts w:ascii="Times New Roman" w:eastAsia="Times New Roman" w:hAnsi="Times New Roman" w:cs="David" w:hint="cs"/>
                <w:b/>
                <w:bCs/>
                <w:color w:val="000000"/>
                <w:rtl/>
              </w:rPr>
              <w:t>י</w:t>
            </w:r>
            <w:r w:rsidRPr="00F378F6">
              <w:rPr>
                <w:rFonts w:ascii="Times New Roman" w:eastAsia="Times New Roman" w:hAnsi="Times New Roman" w:cs="David" w:hint="cs"/>
                <w:color w:val="000000"/>
                <w:rtl/>
              </w:rPr>
              <w:t xml:space="preserve">  וְהָיָה כִּי יְבִיאֲךָ יְהוָה אֱלֹהֶיךָ, אֶל-הָאָרֶץ אֲשֶׁר נִשְׁבַּע לַאֲבֹתֶיךָ לְאַבְרָהָם לְיִצְחָק וּלְיַעֲקֹב--לָתֶת לָךְ:  עָרִים גְּדֹלֹת וְטֹבֹת, אֲשֶׁר לֹא-בָנִיתָ.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10</w:t>
            </w:r>
            <w:r w:rsidRPr="00F378F6">
              <w:rPr>
                <w:rFonts w:ascii="Times New Roman" w:eastAsia="Times New Roman" w:hAnsi="Times New Roman" w:cs="David" w:hint="cs"/>
                <w:color w:val="000000"/>
              </w:rPr>
              <w:t xml:space="preserve"> And it shall be, when the LORD thy God shall bring thee into the land which He swore unto thy fathers, to Abraham, to Isaac, and to Jacob, to give thee--great and goodly cities, which thou didst not build,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10" w:name="11"/>
            <w:bookmarkEnd w:id="10"/>
            <w:r w:rsidRPr="00F378F6">
              <w:rPr>
                <w:rFonts w:ascii="Times New Roman" w:eastAsia="Times New Roman" w:hAnsi="Times New Roman" w:cs="David" w:hint="cs"/>
                <w:b/>
                <w:bCs/>
                <w:color w:val="000000"/>
                <w:rtl/>
              </w:rPr>
              <w:t>יא</w:t>
            </w:r>
            <w:r w:rsidRPr="00F378F6">
              <w:rPr>
                <w:rFonts w:ascii="Times New Roman" w:eastAsia="Times New Roman" w:hAnsi="Times New Roman" w:cs="David" w:hint="cs"/>
                <w:color w:val="000000"/>
                <w:rtl/>
              </w:rPr>
              <w:t xml:space="preserve">  וּבָתִּים מְלֵאִים כָּל-טוּב, אֲשֶׁר לֹא-מִלֵּאתָ, וּבֹרֹת חֲצוּבִים אֲשֶׁר לֹא-חָצַבְתָּ, כְּרָמִים וְזֵיתִים אֲשֶׁר לֹא-נָטָעְתָּ; וְאָכַלְתָּ, וְשָׂבָעְתָּ.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11</w:t>
            </w:r>
            <w:r w:rsidRPr="00F378F6">
              <w:rPr>
                <w:rFonts w:ascii="Times New Roman" w:eastAsia="Times New Roman" w:hAnsi="Times New Roman" w:cs="David" w:hint="cs"/>
                <w:color w:val="000000"/>
              </w:rPr>
              <w:t xml:space="preserve"> and houses full of all good things, which thou didst not fill, and cisterns hewn out, which thou didst not hew, vineyards and olive-trees, which thou didst not plant, and thou shalt eat and be satisfied--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11" w:name="12"/>
            <w:bookmarkEnd w:id="11"/>
            <w:r w:rsidRPr="00F378F6">
              <w:rPr>
                <w:rFonts w:ascii="Times New Roman" w:eastAsia="Times New Roman" w:hAnsi="Times New Roman" w:cs="David" w:hint="cs"/>
                <w:b/>
                <w:bCs/>
                <w:color w:val="000000"/>
                <w:rtl/>
              </w:rPr>
              <w:t>יב</w:t>
            </w:r>
            <w:r w:rsidRPr="00F378F6">
              <w:rPr>
                <w:rFonts w:ascii="Times New Roman" w:eastAsia="Times New Roman" w:hAnsi="Times New Roman" w:cs="David" w:hint="cs"/>
                <w:color w:val="000000"/>
                <w:rtl/>
              </w:rPr>
              <w:t xml:space="preserve">  הִשָּׁמֶר לְךָ, פֶּן-תִּשְׁכַּח אֶת-יְהוָה, אֲשֶׁר הוֹצִיאֲךָ מֵאֶרֶץ מִצְרַיִם, מִבֵּית עֲבָדִים.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12</w:t>
            </w:r>
            <w:r w:rsidRPr="00F378F6">
              <w:rPr>
                <w:rFonts w:ascii="Times New Roman" w:eastAsia="Times New Roman" w:hAnsi="Times New Roman" w:cs="David" w:hint="cs"/>
                <w:color w:val="000000"/>
              </w:rPr>
              <w:t xml:space="preserve"> then beware lest thou forget the LORD, who brought thee forth out of the land of Egypt, out of the house of </w:t>
            </w:r>
            <w:r w:rsidRPr="00F378F6">
              <w:rPr>
                <w:rFonts w:ascii="Times New Roman" w:eastAsia="Times New Roman" w:hAnsi="Times New Roman" w:cs="David" w:hint="cs"/>
                <w:color w:val="000000"/>
              </w:rPr>
              <w:lastRenderedPageBreak/>
              <w:t xml:space="preserve">bondage.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12" w:name="13"/>
            <w:bookmarkEnd w:id="12"/>
            <w:r w:rsidRPr="00F378F6">
              <w:rPr>
                <w:rFonts w:ascii="Times New Roman" w:eastAsia="Times New Roman" w:hAnsi="Times New Roman" w:cs="David" w:hint="cs"/>
                <w:b/>
                <w:bCs/>
                <w:color w:val="000000"/>
                <w:rtl/>
              </w:rPr>
              <w:lastRenderedPageBreak/>
              <w:t>יג</w:t>
            </w:r>
            <w:r w:rsidRPr="00F378F6">
              <w:rPr>
                <w:rFonts w:ascii="Times New Roman" w:eastAsia="Times New Roman" w:hAnsi="Times New Roman" w:cs="David" w:hint="cs"/>
                <w:color w:val="000000"/>
                <w:rtl/>
              </w:rPr>
              <w:t xml:space="preserve">  אֶת-יְהוָה אֱלֹהֶיךָ תִּירָא, וְאֹתוֹ תַעֲבֹד; וּבִשְׁמוֹ, תִּשָּׁבֵעַ.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13</w:t>
            </w:r>
            <w:r w:rsidRPr="00F378F6">
              <w:rPr>
                <w:rFonts w:ascii="Times New Roman" w:eastAsia="Times New Roman" w:hAnsi="Times New Roman" w:cs="David" w:hint="cs"/>
                <w:color w:val="000000"/>
              </w:rPr>
              <w:t xml:space="preserve"> Thou shalt fear the LORD thy God; and Him shalt thou serve, and by His name shalt thou swear.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13" w:name="14"/>
            <w:bookmarkEnd w:id="13"/>
            <w:r w:rsidRPr="00F378F6">
              <w:rPr>
                <w:rFonts w:ascii="Times New Roman" w:eastAsia="Times New Roman" w:hAnsi="Times New Roman" w:cs="David" w:hint="cs"/>
                <w:b/>
                <w:bCs/>
                <w:color w:val="000000"/>
                <w:rtl/>
              </w:rPr>
              <w:t>יד</w:t>
            </w:r>
            <w:r w:rsidRPr="00F378F6">
              <w:rPr>
                <w:rFonts w:ascii="Times New Roman" w:eastAsia="Times New Roman" w:hAnsi="Times New Roman" w:cs="David" w:hint="cs"/>
                <w:color w:val="000000"/>
                <w:rtl/>
              </w:rPr>
              <w:t xml:space="preserve">  לֹא תֵלְכוּן, אַחֲרֵי אֱלֹהִים אֲחֵרִים--מֵאֱלֹהֵי, הָעַמִּים, אֲשֶׁר, סְבִיבוֹתֵיכֶם.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14</w:t>
            </w:r>
            <w:r w:rsidRPr="00F378F6">
              <w:rPr>
                <w:rFonts w:ascii="Times New Roman" w:eastAsia="Times New Roman" w:hAnsi="Times New Roman" w:cs="David" w:hint="cs"/>
                <w:color w:val="000000"/>
              </w:rPr>
              <w:t xml:space="preserve"> Ye shall not go after other gods, of the gods of the peoples that are round about you;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14" w:name="15"/>
            <w:bookmarkEnd w:id="14"/>
            <w:r w:rsidRPr="00F378F6">
              <w:rPr>
                <w:rFonts w:ascii="Times New Roman" w:eastAsia="Times New Roman" w:hAnsi="Times New Roman" w:cs="David" w:hint="cs"/>
                <w:b/>
                <w:bCs/>
                <w:color w:val="000000"/>
                <w:rtl/>
              </w:rPr>
              <w:t>טו</w:t>
            </w:r>
            <w:r w:rsidRPr="00F378F6">
              <w:rPr>
                <w:rFonts w:ascii="Times New Roman" w:eastAsia="Times New Roman" w:hAnsi="Times New Roman" w:cs="David" w:hint="cs"/>
                <w:color w:val="000000"/>
                <w:rtl/>
              </w:rPr>
              <w:t xml:space="preserve">  כִּי אֵל קַנָּא יְהוָה אֱלֹהֶיךָ, בְּקִרְבֶּךָ:  פֶּן-יֶחֱרֶה אַף-יְהוָה אֱלֹהֶיךָ, בָּךְ, וְהִשְׁמִידְךָ, מֵעַל פְּנֵי הָאֲדָמָה.  {ס}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15</w:t>
            </w:r>
            <w:r w:rsidRPr="00F378F6">
              <w:rPr>
                <w:rFonts w:ascii="Times New Roman" w:eastAsia="Times New Roman" w:hAnsi="Times New Roman" w:cs="David" w:hint="cs"/>
                <w:color w:val="000000"/>
              </w:rPr>
              <w:t xml:space="preserve"> for a jealous God, even the LORD thy God, is in the midst of thee; lest the anger of the LORD thy God be kindled against thee, and He destroy thee from off the face of the earth. </w:t>
            </w:r>
            <w:r w:rsidRPr="00F378F6">
              <w:rPr>
                <w:rFonts w:ascii="Times New Roman" w:eastAsia="Times New Roman" w:hAnsi="Times New Roman" w:cs="David" w:hint="cs"/>
                <w:b/>
                <w:bCs/>
                <w:color w:val="000000"/>
              </w:rPr>
              <w:t>{S}</w:t>
            </w:r>
            <w:r w:rsidRPr="00F378F6">
              <w:rPr>
                <w:rFonts w:ascii="Times New Roman" w:eastAsia="Times New Roman" w:hAnsi="Times New Roman" w:cs="David" w:hint="cs"/>
                <w:color w:val="000000"/>
              </w:rPr>
              <w:t xml:space="preserve">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15" w:name="16"/>
            <w:bookmarkEnd w:id="15"/>
            <w:r w:rsidRPr="00F378F6">
              <w:rPr>
                <w:rFonts w:ascii="Times New Roman" w:eastAsia="Times New Roman" w:hAnsi="Times New Roman" w:cs="David" w:hint="cs"/>
                <w:b/>
                <w:bCs/>
                <w:color w:val="000000"/>
                <w:rtl/>
              </w:rPr>
              <w:t>טז</w:t>
            </w:r>
            <w:r w:rsidRPr="00F378F6">
              <w:rPr>
                <w:rFonts w:ascii="Times New Roman" w:eastAsia="Times New Roman" w:hAnsi="Times New Roman" w:cs="David" w:hint="cs"/>
                <w:color w:val="000000"/>
                <w:rtl/>
              </w:rPr>
              <w:t xml:space="preserve">  לֹא תְנַסּוּ, אֶת-יְהוָה אֱלֹהֵיכֶם, כַּאֲשֶׁר נִסִּיתֶם, בַּמַּסָּה.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16</w:t>
            </w:r>
            <w:r w:rsidRPr="00F378F6">
              <w:rPr>
                <w:rFonts w:ascii="Times New Roman" w:eastAsia="Times New Roman" w:hAnsi="Times New Roman" w:cs="David" w:hint="cs"/>
                <w:color w:val="000000"/>
              </w:rPr>
              <w:t xml:space="preserve"> Ye shall not try the LORD your God, as ye tried Him in Massah.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16" w:name="17"/>
            <w:bookmarkEnd w:id="16"/>
            <w:r w:rsidRPr="00F378F6">
              <w:rPr>
                <w:rFonts w:ascii="Times New Roman" w:eastAsia="Times New Roman" w:hAnsi="Times New Roman" w:cs="David" w:hint="cs"/>
                <w:b/>
                <w:bCs/>
                <w:color w:val="000000"/>
                <w:rtl/>
              </w:rPr>
              <w:t>יז</w:t>
            </w:r>
            <w:r w:rsidRPr="00F378F6">
              <w:rPr>
                <w:rFonts w:ascii="Times New Roman" w:eastAsia="Times New Roman" w:hAnsi="Times New Roman" w:cs="David" w:hint="cs"/>
                <w:color w:val="000000"/>
                <w:rtl/>
              </w:rPr>
              <w:t>  שָׁמוֹר תִּשְׁמְרוּן, אֶת-מִצְו</w:t>
            </w:r>
            <w:r w:rsidRPr="00F378F6">
              <w:rPr>
                <w:rFonts w:ascii="Arial" w:eastAsia="Times New Roman" w:hAnsi="Arial" w:cs="Arial" w:hint="cs"/>
                <w:color w:val="000000"/>
                <w:rtl/>
              </w:rPr>
              <w:t>‍</w:t>
            </w:r>
            <w:r w:rsidRPr="00F378F6">
              <w:rPr>
                <w:rFonts w:ascii="Times New Roman" w:eastAsia="Times New Roman" w:hAnsi="Times New Roman" w:cs="David" w:hint="cs"/>
                <w:color w:val="000000"/>
                <w:rtl/>
              </w:rPr>
              <w:t xml:space="preserve">ֹת יְהוָה אֱלֹהֵיכֶם, וְעֵדֹתָיו וְחֻקָּיו, אֲשֶׁר צִוָּךְ.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17</w:t>
            </w:r>
            <w:r w:rsidRPr="00F378F6">
              <w:rPr>
                <w:rFonts w:ascii="Times New Roman" w:eastAsia="Times New Roman" w:hAnsi="Times New Roman" w:cs="David" w:hint="cs"/>
                <w:color w:val="000000"/>
              </w:rPr>
              <w:t xml:space="preserve"> Ye shall diligently keep the commandments of the LORD your God, and His testimonies, and His statutes, which He hath commanded thee.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17" w:name="18"/>
            <w:bookmarkEnd w:id="17"/>
            <w:r w:rsidRPr="00F378F6">
              <w:rPr>
                <w:rFonts w:ascii="Times New Roman" w:eastAsia="Times New Roman" w:hAnsi="Times New Roman" w:cs="David" w:hint="cs"/>
                <w:b/>
                <w:bCs/>
                <w:color w:val="000000"/>
                <w:rtl/>
              </w:rPr>
              <w:t>יח</w:t>
            </w:r>
            <w:r w:rsidRPr="00F378F6">
              <w:rPr>
                <w:rFonts w:ascii="Times New Roman" w:eastAsia="Times New Roman" w:hAnsi="Times New Roman" w:cs="David" w:hint="cs"/>
                <w:color w:val="000000"/>
                <w:rtl/>
              </w:rPr>
              <w:t xml:space="preserve">  וְעָשִׂיתָ הַיָּשָׁר וְהַטּוֹב, בְּעֵינֵי יְהוָה--לְמַעַן, יִיטַב לָךְ, וּבָאתָ וְיָרַשְׁתָּ אֶת-הָאָרֶץ הַטֹּבָה, אֲשֶׁר-נִשְׁבַּע יְהוָה לַאֲבֹתֶיךָ.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18</w:t>
            </w:r>
            <w:r w:rsidRPr="00F378F6">
              <w:rPr>
                <w:rFonts w:ascii="Times New Roman" w:eastAsia="Times New Roman" w:hAnsi="Times New Roman" w:cs="David" w:hint="cs"/>
                <w:color w:val="000000"/>
              </w:rPr>
              <w:t xml:space="preserve"> And thou shalt do that which is right and good in the sight of the LORD; that it may be well with thee, and that thou mayest go in and possess the good land which the LORD swore unto thy fathers,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18" w:name="19"/>
            <w:bookmarkEnd w:id="18"/>
            <w:r w:rsidRPr="00F378F6">
              <w:rPr>
                <w:rFonts w:ascii="Times New Roman" w:eastAsia="Times New Roman" w:hAnsi="Times New Roman" w:cs="David" w:hint="cs"/>
                <w:b/>
                <w:bCs/>
                <w:color w:val="000000"/>
                <w:rtl/>
              </w:rPr>
              <w:t>יט</w:t>
            </w:r>
            <w:r w:rsidRPr="00F378F6">
              <w:rPr>
                <w:rFonts w:ascii="Times New Roman" w:eastAsia="Times New Roman" w:hAnsi="Times New Roman" w:cs="David" w:hint="cs"/>
                <w:color w:val="000000"/>
                <w:rtl/>
              </w:rPr>
              <w:t xml:space="preserve">  לַהֲדֹף אֶת-כָּל-אֹיְבֶיךָ, מִפָּנֶיךָ, כַּאֲשֶׁר, דִּבֶּר יְהוָה.  {ס}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19</w:t>
            </w:r>
            <w:r w:rsidRPr="00F378F6">
              <w:rPr>
                <w:rFonts w:ascii="Times New Roman" w:eastAsia="Times New Roman" w:hAnsi="Times New Roman" w:cs="David" w:hint="cs"/>
                <w:color w:val="000000"/>
              </w:rPr>
              <w:t xml:space="preserve"> to thrust out all thine enemies from before thee, as the LORD hath spoken. </w:t>
            </w:r>
            <w:r w:rsidRPr="00F378F6">
              <w:rPr>
                <w:rFonts w:ascii="Times New Roman" w:eastAsia="Times New Roman" w:hAnsi="Times New Roman" w:cs="David" w:hint="cs"/>
                <w:b/>
                <w:bCs/>
                <w:color w:val="000000"/>
              </w:rPr>
              <w:t>{S}</w:t>
            </w:r>
            <w:r w:rsidRPr="00F378F6">
              <w:rPr>
                <w:rFonts w:ascii="Times New Roman" w:eastAsia="Times New Roman" w:hAnsi="Times New Roman" w:cs="David" w:hint="cs"/>
                <w:color w:val="000000"/>
              </w:rPr>
              <w:t xml:space="preserve">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19" w:name="20"/>
            <w:bookmarkEnd w:id="19"/>
            <w:r w:rsidRPr="00F378F6">
              <w:rPr>
                <w:rFonts w:ascii="Times New Roman" w:eastAsia="Times New Roman" w:hAnsi="Times New Roman" w:cs="David" w:hint="cs"/>
                <w:b/>
                <w:bCs/>
                <w:color w:val="000000"/>
                <w:rtl/>
              </w:rPr>
              <w:t>כ</w:t>
            </w:r>
            <w:r w:rsidRPr="00F378F6">
              <w:rPr>
                <w:rFonts w:ascii="Times New Roman" w:eastAsia="Times New Roman" w:hAnsi="Times New Roman" w:cs="David" w:hint="cs"/>
                <w:color w:val="000000"/>
                <w:rtl/>
              </w:rPr>
              <w:t xml:space="preserve">  כִּי-יִשְׁאָלְךָ בִנְךָ מָחָר, לֵאמֹר:  מָה הָעֵדֹת, וְהַחֻקִּים וְהַמִּשְׁפָּטִים, אֲשֶׁר צִוָּה יְהוָה אֱלֹהֵינוּ, אֶתְכֶם.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20</w:t>
            </w:r>
            <w:r w:rsidRPr="00F378F6">
              <w:rPr>
                <w:rFonts w:ascii="Times New Roman" w:eastAsia="Times New Roman" w:hAnsi="Times New Roman" w:cs="David" w:hint="cs"/>
                <w:color w:val="000000"/>
              </w:rPr>
              <w:t xml:space="preserve"> When thy son asketh thee in time to come, saying: 'What mean the testimonies, and the statutes, and the ordinances, which the LORD our God hath commanded you?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20" w:name="21"/>
            <w:bookmarkEnd w:id="20"/>
            <w:r w:rsidRPr="00F378F6">
              <w:rPr>
                <w:rFonts w:ascii="Times New Roman" w:eastAsia="Times New Roman" w:hAnsi="Times New Roman" w:cs="David" w:hint="cs"/>
                <w:b/>
                <w:bCs/>
                <w:color w:val="000000"/>
                <w:rtl/>
              </w:rPr>
              <w:t>כא</w:t>
            </w:r>
            <w:r w:rsidRPr="00F378F6">
              <w:rPr>
                <w:rFonts w:ascii="Times New Roman" w:eastAsia="Times New Roman" w:hAnsi="Times New Roman" w:cs="David" w:hint="cs"/>
                <w:color w:val="000000"/>
                <w:rtl/>
              </w:rPr>
              <w:t xml:space="preserve">  וְאָמַרְתָּ לְבִנְךָ, עֲבָדִים הָיִינוּ לְפַרְעֹה בְּמִצְרָיִם; וַיֹּצִיאֵנוּ יְהוָה מִמִּצְרַיִם, בְּיָד חֲזָקָה.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21</w:t>
            </w:r>
            <w:r w:rsidRPr="00F378F6">
              <w:rPr>
                <w:rFonts w:ascii="Times New Roman" w:eastAsia="Times New Roman" w:hAnsi="Times New Roman" w:cs="David" w:hint="cs"/>
                <w:color w:val="000000"/>
              </w:rPr>
              <w:t xml:space="preserve"> then thou shalt say unto thy son: 'We were Pharaoh's bondmen in Egypt; and the LORD brought us out of Egypt with a mighty hand.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21" w:name="22"/>
            <w:bookmarkEnd w:id="21"/>
            <w:r w:rsidRPr="00F378F6">
              <w:rPr>
                <w:rFonts w:ascii="Times New Roman" w:eastAsia="Times New Roman" w:hAnsi="Times New Roman" w:cs="David" w:hint="cs"/>
                <w:b/>
                <w:bCs/>
                <w:color w:val="000000"/>
                <w:rtl/>
              </w:rPr>
              <w:t>כב</w:t>
            </w:r>
            <w:r w:rsidRPr="00F378F6">
              <w:rPr>
                <w:rFonts w:ascii="Times New Roman" w:eastAsia="Times New Roman" w:hAnsi="Times New Roman" w:cs="David" w:hint="cs"/>
                <w:color w:val="000000"/>
                <w:rtl/>
              </w:rPr>
              <w:t xml:space="preserve">  וַיִּתֵּן יְהוָה אוֹתֹת וּמֹפְתִים גְּדֹלִים וְרָעִים בְּמִצְרַיִם, בְּפַרְעֹה וּבְכָל-בֵּיתוֹ--לְעֵינֵינוּ.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22</w:t>
            </w:r>
            <w:r w:rsidRPr="00F378F6">
              <w:rPr>
                <w:rFonts w:ascii="Times New Roman" w:eastAsia="Times New Roman" w:hAnsi="Times New Roman" w:cs="David" w:hint="cs"/>
                <w:color w:val="000000"/>
              </w:rPr>
              <w:t xml:space="preserve"> And the LORD showed signs and wonders, great and sore, upon Egypt, upon Pharaoh, and upon all his house, before our eyes.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22" w:name="23"/>
            <w:bookmarkEnd w:id="22"/>
            <w:r w:rsidRPr="00F378F6">
              <w:rPr>
                <w:rFonts w:ascii="Times New Roman" w:eastAsia="Times New Roman" w:hAnsi="Times New Roman" w:cs="David" w:hint="cs"/>
                <w:b/>
                <w:bCs/>
                <w:color w:val="000000"/>
                <w:rtl/>
              </w:rPr>
              <w:t>כג</w:t>
            </w:r>
            <w:r w:rsidRPr="00F378F6">
              <w:rPr>
                <w:rFonts w:ascii="Times New Roman" w:eastAsia="Times New Roman" w:hAnsi="Times New Roman" w:cs="David" w:hint="cs"/>
                <w:color w:val="000000"/>
                <w:rtl/>
              </w:rPr>
              <w:t xml:space="preserve">  וְאוֹתָנוּ, הוֹצִיא מִשָּׁם--לְמַעַן, הָבִיא אֹתָנוּ, לָתֶת לָנוּ אֶת-הָאָרֶץ, אֲשֶׁר נִשְׁבַּע לַאֲבֹתֵינוּ.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23</w:t>
            </w:r>
            <w:r w:rsidRPr="00F378F6">
              <w:rPr>
                <w:rFonts w:ascii="Times New Roman" w:eastAsia="Times New Roman" w:hAnsi="Times New Roman" w:cs="David" w:hint="cs"/>
                <w:color w:val="000000"/>
              </w:rPr>
              <w:t xml:space="preserve"> And He brought us out from thence, that He might bring us in, to give us the land which He swore unto our fathers.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23" w:name="24"/>
            <w:bookmarkEnd w:id="23"/>
            <w:r w:rsidRPr="00F378F6">
              <w:rPr>
                <w:rFonts w:ascii="Times New Roman" w:eastAsia="Times New Roman" w:hAnsi="Times New Roman" w:cs="David" w:hint="cs"/>
                <w:b/>
                <w:bCs/>
                <w:color w:val="000000"/>
                <w:rtl/>
              </w:rPr>
              <w:t>כד</w:t>
            </w:r>
            <w:r w:rsidRPr="00F378F6">
              <w:rPr>
                <w:rFonts w:ascii="Times New Roman" w:eastAsia="Times New Roman" w:hAnsi="Times New Roman" w:cs="David" w:hint="cs"/>
                <w:color w:val="000000"/>
                <w:rtl/>
              </w:rPr>
              <w:t xml:space="preserve">  וַיְצַוֵּנוּ יְהוָה, לַעֲשׂוֹת אֶת-כָּל-הַחֻקִּים הָאֵלֶּה, לְיִרְאָה, אֶת-יְהוָה אֱלֹהֵינוּ--לְטוֹב לָנוּ כָּל-הַיָּמִים, לְחַיֹּתֵנוּ כְּהַיּוֹם הַזֶּה. </w:t>
            </w:r>
          </w:p>
        </w:tc>
        <w:tc>
          <w:tcPr>
            <w:tcW w:w="0" w:type="auto"/>
            <w:hideMark/>
          </w:tcPr>
          <w:p w:rsidR="00F378F6" w:rsidRPr="00F378F6" w:rsidRDefault="00F378F6" w:rsidP="00F378F6">
            <w:pPr>
              <w:spacing w:after="0" w:line="240" w:lineRule="auto"/>
              <w:rPr>
                <w:rFonts w:ascii="Times New Roman" w:eastAsia="Times New Roman" w:hAnsi="Times New Roman" w:cs="David"/>
                <w:color w:val="000000"/>
              </w:rPr>
            </w:pPr>
            <w:r w:rsidRPr="00F378F6">
              <w:rPr>
                <w:rFonts w:ascii="Times New Roman" w:eastAsia="Times New Roman" w:hAnsi="Times New Roman" w:cs="David" w:hint="cs"/>
                <w:b/>
                <w:bCs/>
                <w:color w:val="000000"/>
              </w:rPr>
              <w:t>24</w:t>
            </w:r>
            <w:r w:rsidRPr="00F378F6">
              <w:rPr>
                <w:rFonts w:ascii="Times New Roman" w:eastAsia="Times New Roman" w:hAnsi="Times New Roman" w:cs="David" w:hint="cs"/>
                <w:color w:val="000000"/>
              </w:rPr>
              <w:t xml:space="preserve"> And the LORD commanded us to do all these statutes, to fear the LORD our God, for our good always, that He might preserve us alive, as it is at this day. </w:t>
            </w:r>
          </w:p>
        </w:tc>
      </w:tr>
      <w:tr w:rsidR="00F378F6" w:rsidRPr="00F378F6" w:rsidTr="00F378F6">
        <w:trPr>
          <w:tblCellSpacing w:w="30" w:type="dxa"/>
        </w:trPr>
        <w:tc>
          <w:tcPr>
            <w:tcW w:w="0" w:type="auto"/>
            <w:hideMark/>
          </w:tcPr>
          <w:p w:rsidR="00F378F6" w:rsidRPr="00F378F6" w:rsidRDefault="00F378F6" w:rsidP="00F378F6">
            <w:pPr>
              <w:bidi/>
              <w:spacing w:after="0" w:line="240" w:lineRule="auto"/>
              <w:rPr>
                <w:rFonts w:ascii="Times New Roman" w:eastAsia="Times New Roman" w:hAnsi="Times New Roman" w:cs="David"/>
                <w:color w:val="000000"/>
              </w:rPr>
            </w:pPr>
            <w:bookmarkStart w:id="24" w:name="25"/>
            <w:bookmarkEnd w:id="24"/>
            <w:r w:rsidRPr="00F378F6">
              <w:rPr>
                <w:rFonts w:ascii="Times New Roman" w:eastAsia="Times New Roman" w:hAnsi="Times New Roman" w:cs="David" w:hint="cs"/>
                <w:b/>
                <w:bCs/>
                <w:color w:val="000000"/>
                <w:rtl/>
              </w:rPr>
              <w:t>כה</w:t>
            </w:r>
            <w:r w:rsidRPr="00F378F6">
              <w:rPr>
                <w:rFonts w:ascii="Times New Roman" w:eastAsia="Times New Roman" w:hAnsi="Times New Roman" w:cs="David" w:hint="cs"/>
                <w:color w:val="000000"/>
                <w:rtl/>
              </w:rPr>
              <w:t>  וּצְדָקָה, תִּהְיֶה-לָּנוּ:  כִּי-נִשְׁמֹר לַעֲשׂוֹת אֶת-כָּל-הַמִּצְוָה הַזֹּאת, לִפְנֵי יְהוָה אֱלֹהֵינוּ--כַּאֲשֶׁר</w:t>
            </w:r>
          </w:p>
        </w:tc>
        <w:tc>
          <w:tcPr>
            <w:tcW w:w="0" w:type="auto"/>
            <w:vAlign w:val="center"/>
            <w:hideMark/>
          </w:tcPr>
          <w:p w:rsidR="00F378F6" w:rsidRPr="00F378F6" w:rsidRDefault="00F378F6" w:rsidP="00F378F6">
            <w:pPr>
              <w:spacing w:after="0" w:line="240" w:lineRule="auto"/>
              <w:rPr>
                <w:rFonts w:ascii="Times New Roman" w:eastAsia="Times New Roman" w:hAnsi="Times New Roman" w:cs="Times New Roman"/>
              </w:rPr>
            </w:pPr>
          </w:p>
        </w:tc>
      </w:tr>
    </w:tbl>
    <w:p w:rsidR="00ED0B58" w:rsidRDefault="00042B2A"/>
    <w:p w:rsidR="007E7EB8" w:rsidRPr="003E3963" w:rsidRDefault="007E7EB8" w:rsidP="007E7EB8">
      <w:pPr>
        <w:spacing w:before="100" w:beforeAutospacing="1" w:after="100" w:afterAutospacing="1" w:line="240" w:lineRule="auto"/>
        <w:outlineLvl w:val="1"/>
        <w:rPr>
          <w:rFonts w:asciiTheme="majorHAnsi" w:eastAsia="Times New Roman" w:hAnsiTheme="majorHAnsi" w:cs="Times New Roman"/>
          <w:b/>
          <w:bCs/>
          <w:sz w:val="40"/>
          <w:szCs w:val="40"/>
        </w:rPr>
      </w:pPr>
      <w:r w:rsidRPr="003E3963">
        <w:rPr>
          <w:rFonts w:asciiTheme="majorHAnsi" w:eastAsia="Times New Roman" w:hAnsiTheme="majorHAnsi" w:cs="Times New Roman"/>
          <w:b/>
          <w:bCs/>
          <w:sz w:val="40"/>
          <w:szCs w:val="40"/>
        </w:rPr>
        <w:lastRenderedPageBreak/>
        <w:t>From the Kingdom of Judah to the present</w:t>
      </w:r>
    </w:p>
    <w:p w:rsidR="007E7EB8" w:rsidRPr="003E3963" w:rsidRDefault="007E7EB8" w:rsidP="007E7EB8">
      <w:pPr>
        <w:spacing w:before="100" w:beforeAutospacing="1" w:after="100" w:afterAutospacing="1" w:line="240" w:lineRule="auto"/>
        <w:rPr>
          <w:rFonts w:ascii="Times New Roman" w:eastAsia="Times New Roman" w:hAnsi="Times New Roman" w:cs="Times New Roman"/>
          <w:sz w:val="24"/>
          <w:szCs w:val="24"/>
        </w:rPr>
      </w:pPr>
      <w:r w:rsidRPr="003E3963">
        <w:rPr>
          <w:rFonts w:ascii="Times New Roman" w:eastAsia="Times New Roman" w:hAnsi="Times New Roman" w:cs="Times New Roman"/>
          <w:sz w:val="24"/>
          <w:szCs w:val="24"/>
        </w:rPr>
        <w:t xml:space="preserve">After the fall of the ancient </w:t>
      </w:r>
      <w:r w:rsidRPr="003E3963">
        <w:rPr>
          <w:rFonts w:ascii="Times New Roman" w:eastAsia="Times New Roman" w:hAnsi="Times New Roman" w:cs="Times New Roman"/>
          <w:b/>
          <w:sz w:val="24"/>
          <w:szCs w:val="24"/>
        </w:rPr>
        <w:t>Kingdom of Judah</w:t>
      </w:r>
      <w:r w:rsidRPr="003E3963">
        <w:rPr>
          <w:rFonts w:ascii="Times New Roman" w:eastAsia="Times New Roman" w:hAnsi="Times New Roman" w:cs="Times New Roman"/>
          <w:sz w:val="24"/>
          <w:szCs w:val="24"/>
        </w:rPr>
        <w:t xml:space="preserve"> the land passed into foreign rule, apart from brief periods, under the following powers:</w:t>
      </w:r>
      <w:r>
        <w:rPr>
          <w:rFonts w:ascii="Times New Roman" w:eastAsia="Times New Roman" w:hAnsi="Times New Roman" w:cs="Times New Roman"/>
          <w:sz w:val="24"/>
          <w:szCs w:val="24"/>
        </w:rPr>
        <w:t xml:space="preserve"> (According to one account of History)</w:t>
      </w:r>
    </w:p>
    <w:p w:rsidR="007E7EB8" w:rsidRPr="003E3963" w:rsidRDefault="007E7EB8" w:rsidP="007E7EB8">
      <w:pPr>
        <w:numPr>
          <w:ilvl w:val="0"/>
          <w:numId w:val="1"/>
        </w:numPr>
        <w:spacing w:line="240" w:lineRule="auto"/>
        <w:rPr>
          <w:rFonts w:ascii="Times New Roman" w:eastAsia="Times New Roman" w:hAnsi="Times New Roman" w:cs="Times New Roman"/>
          <w:b/>
        </w:rPr>
      </w:pPr>
      <w:r w:rsidRPr="003E3963">
        <w:rPr>
          <w:rFonts w:ascii="Times New Roman" w:eastAsia="Times New Roman" w:hAnsi="Times New Roman" w:cs="Times New Roman"/>
        </w:rPr>
        <w:t>586–539 BC</w:t>
      </w:r>
      <w:r w:rsidRPr="00450A74">
        <w:rPr>
          <w:rFonts w:ascii="Times New Roman" w:eastAsia="Times New Roman" w:hAnsi="Times New Roman" w:cs="Times New Roman"/>
        </w:rPr>
        <w:t>E</w:t>
      </w:r>
      <w:r w:rsidRPr="003E3963">
        <w:rPr>
          <w:rFonts w:ascii="Times New Roman" w:eastAsia="Times New Roman" w:hAnsi="Times New Roman" w:cs="Times New Roman"/>
        </w:rPr>
        <w:t xml:space="preserve">: </w:t>
      </w:r>
      <w:r w:rsidRPr="00450A74">
        <w:rPr>
          <w:rFonts w:ascii="Times New Roman" w:eastAsia="Times New Roman" w:hAnsi="Times New Roman" w:cs="Times New Roman"/>
          <w:b/>
        </w:rPr>
        <w:t>Babylonian Empire</w:t>
      </w:r>
      <w:r w:rsidRPr="003E3963">
        <w:rPr>
          <w:rFonts w:ascii="Times New Roman" w:eastAsia="Times New Roman" w:hAnsi="Times New Roman" w:cs="Times New Roman"/>
          <w:b/>
        </w:rPr>
        <w:t xml:space="preserve"> </w:t>
      </w:r>
    </w:p>
    <w:p w:rsidR="007E7EB8" w:rsidRPr="003E3963" w:rsidRDefault="007E7EB8" w:rsidP="007E7EB8">
      <w:pPr>
        <w:numPr>
          <w:ilvl w:val="0"/>
          <w:numId w:val="2"/>
        </w:numPr>
        <w:spacing w:line="240" w:lineRule="auto"/>
        <w:rPr>
          <w:rFonts w:ascii="Times New Roman" w:eastAsia="Times New Roman" w:hAnsi="Times New Roman" w:cs="Times New Roman"/>
        </w:rPr>
      </w:pPr>
      <w:r w:rsidRPr="003E3963">
        <w:rPr>
          <w:rFonts w:ascii="Times New Roman" w:eastAsia="Times New Roman" w:hAnsi="Times New Roman" w:cs="Times New Roman"/>
        </w:rPr>
        <w:t>539–332 B</w:t>
      </w:r>
      <w:r w:rsidRPr="00450A74">
        <w:rPr>
          <w:rFonts w:ascii="Times New Roman" w:eastAsia="Times New Roman" w:hAnsi="Times New Roman" w:cs="Times New Roman"/>
        </w:rPr>
        <w:t>E</w:t>
      </w:r>
      <w:r w:rsidRPr="003E3963">
        <w:rPr>
          <w:rFonts w:ascii="Times New Roman" w:eastAsia="Times New Roman" w:hAnsi="Times New Roman" w:cs="Times New Roman"/>
        </w:rPr>
        <w:t xml:space="preserve">C: </w:t>
      </w:r>
      <w:r w:rsidRPr="00450A74">
        <w:rPr>
          <w:rFonts w:ascii="Times New Roman" w:eastAsia="Times New Roman" w:hAnsi="Times New Roman" w:cs="Times New Roman"/>
          <w:b/>
        </w:rPr>
        <w:t>Persian Empire</w:t>
      </w:r>
      <w:r w:rsidRPr="003E3963">
        <w:rPr>
          <w:rFonts w:ascii="Times New Roman" w:eastAsia="Times New Roman" w:hAnsi="Times New Roman" w:cs="Times New Roman"/>
        </w:rPr>
        <w:t xml:space="preserve"> </w:t>
      </w:r>
    </w:p>
    <w:p w:rsidR="007E7EB8" w:rsidRPr="003E3963" w:rsidRDefault="007E7EB8" w:rsidP="007E7EB8">
      <w:pPr>
        <w:numPr>
          <w:ilvl w:val="0"/>
          <w:numId w:val="3"/>
        </w:numPr>
        <w:spacing w:line="240" w:lineRule="auto"/>
        <w:rPr>
          <w:rFonts w:ascii="Times New Roman" w:eastAsia="Times New Roman" w:hAnsi="Times New Roman" w:cs="Times New Roman"/>
        </w:rPr>
      </w:pPr>
      <w:r w:rsidRPr="003E3963">
        <w:rPr>
          <w:rFonts w:ascii="Times New Roman" w:eastAsia="Times New Roman" w:hAnsi="Times New Roman" w:cs="Times New Roman"/>
        </w:rPr>
        <w:t>332–305 BC</w:t>
      </w:r>
      <w:r w:rsidRPr="00450A74">
        <w:rPr>
          <w:rFonts w:ascii="Times New Roman" w:eastAsia="Times New Roman" w:hAnsi="Times New Roman" w:cs="Times New Roman"/>
        </w:rPr>
        <w:t>E</w:t>
      </w:r>
      <w:r w:rsidRPr="003E3963">
        <w:rPr>
          <w:rFonts w:ascii="Times New Roman" w:eastAsia="Times New Roman" w:hAnsi="Times New Roman" w:cs="Times New Roman"/>
        </w:rPr>
        <w:t xml:space="preserve">: </w:t>
      </w:r>
      <w:r w:rsidRPr="00450A74">
        <w:rPr>
          <w:rFonts w:ascii="Times New Roman" w:eastAsia="Times New Roman" w:hAnsi="Times New Roman" w:cs="Times New Roman"/>
          <w:b/>
        </w:rPr>
        <w:t>Empire of Alexander the Great</w:t>
      </w:r>
      <w:r w:rsidRPr="003E3963">
        <w:rPr>
          <w:rFonts w:ascii="Times New Roman" w:eastAsia="Times New Roman" w:hAnsi="Times New Roman" w:cs="Times New Roman"/>
        </w:rPr>
        <w:t xml:space="preserve"> </w:t>
      </w:r>
    </w:p>
    <w:p w:rsidR="007E7EB8" w:rsidRPr="003E3963" w:rsidRDefault="007E7EB8" w:rsidP="007E7EB8">
      <w:pPr>
        <w:numPr>
          <w:ilvl w:val="0"/>
          <w:numId w:val="4"/>
        </w:numPr>
        <w:spacing w:line="240" w:lineRule="auto"/>
        <w:rPr>
          <w:rFonts w:ascii="Times New Roman" w:eastAsia="Times New Roman" w:hAnsi="Times New Roman" w:cs="Times New Roman"/>
          <w:b/>
        </w:rPr>
      </w:pPr>
      <w:r w:rsidRPr="003E3963">
        <w:rPr>
          <w:rFonts w:ascii="Times New Roman" w:eastAsia="Times New Roman" w:hAnsi="Times New Roman" w:cs="Times New Roman"/>
        </w:rPr>
        <w:t>305–198 BC</w:t>
      </w:r>
      <w:r w:rsidRPr="00450A74">
        <w:rPr>
          <w:rFonts w:ascii="Times New Roman" w:eastAsia="Times New Roman" w:hAnsi="Times New Roman" w:cs="Times New Roman"/>
        </w:rPr>
        <w:t>E</w:t>
      </w:r>
      <w:r w:rsidRPr="003E3963">
        <w:rPr>
          <w:rFonts w:ascii="Times New Roman" w:eastAsia="Times New Roman" w:hAnsi="Times New Roman" w:cs="Times New Roman"/>
        </w:rPr>
        <w:t xml:space="preserve">: </w:t>
      </w:r>
      <w:r w:rsidRPr="00450A74">
        <w:rPr>
          <w:rFonts w:ascii="Times New Roman" w:eastAsia="Times New Roman" w:hAnsi="Times New Roman" w:cs="Times New Roman"/>
          <w:b/>
        </w:rPr>
        <w:t>Ptolemaics</w:t>
      </w:r>
      <w:r w:rsidRPr="003E3963">
        <w:rPr>
          <w:rFonts w:ascii="Times New Roman" w:eastAsia="Times New Roman" w:hAnsi="Times New Roman" w:cs="Times New Roman"/>
          <w:b/>
        </w:rPr>
        <w:t xml:space="preserve"> </w:t>
      </w:r>
    </w:p>
    <w:p w:rsidR="007E7EB8" w:rsidRPr="003E3963" w:rsidRDefault="007E7EB8" w:rsidP="007E7EB8">
      <w:pPr>
        <w:numPr>
          <w:ilvl w:val="0"/>
          <w:numId w:val="5"/>
        </w:numPr>
        <w:spacing w:line="240" w:lineRule="auto"/>
        <w:rPr>
          <w:rFonts w:ascii="Times New Roman" w:eastAsia="Times New Roman" w:hAnsi="Times New Roman" w:cs="Times New Roman"/>
          <w:b/>
        </w:rPr>
      </w:pPr>
      <w:r w:rsidRPr="003E3963">
        <w:rPr>
          <w:rFonts w:ascii="Times New Roman" w:eastAsia="Times New Roman" w:hAnsi="Times New Roman" w:cs="Times New Roman"/>
        </w:rPr>
        <w:t xml:space="preserve">198–141 BC: </w:t>
      </w:r>
      <w:r w:rsidRPr="00450A74">
        <w:rPr>
          <w:rFonts w:ascii="Times New Roman" w:eastAsia="Times New Roman" w:hAnsi="Times New Roman" w:cs="Times New Roman"/>
          <w:b/>
        </w:rPr>
        <w:t>Seleucids</w:t>
      </w:r>
      <w:r w:rsidRPr="003E3963">
        <w:rPr>
          <w:rFonts w:ascii="Times New Roman" w:eastAsia="Times New Roman" w:hAnsi="Times New Roman" w:cs="Times New Roman"/>
          <w:b/>
        </w:rPr>
        <w:t xml:space="preserve"> </w:t>
      </w:r>
    </w:p>
    <w:p w:rsidR="007E7EB8" w:rsidRPr="003E3963" w:rsidRDefault="007E7EB8" w:rsidP="007E7EB8">
      <w:pPr>
        <w:numPr>
          <w:ilvl w:val="0"/>
          <w:numId w:val="6"/>
        </w:numPr>
        <w:spacing w:line="240" w:lineRule="auto"/>
        <w:rPr>
          <w:rFonts w:ascii="Times New Roman" w:eastAsia="Times New Roman" w:hAnsi="Times New Roman" w:cs="Times New Roman"/>
        </w:rPr>
      </w:pPr>
      <w:r w:rsidRPr="003E3963">
        <w:rPr>
          <w:rFonts w:ascii="Times New Roman" w:eastAsia="Times New Roman" w:hAnsi="Times New Roman" w:cs="Times New Roman"/>
        </w:rPr>
        <w:t xml:space="preserve">141–37 BC: The </w:t>
      </w:r>
      <w:hyperlink r:id="rId7" w:tooltip="Hasmoneans" w:history="1">
        <w:r w:rsidRPr="00450A74">
          <w:rPr>
            <w:rFonts w:ascii="Times New Roman" w:eastAsia="Times New Roman" w:hAnsi="Times New Roman" w:cs="Times New Roman"/>
            <w:b/>
          </w:rPr>
          <w:t>Hasmonean kingdom</w:t>
        </w:r>
      </w:hyperlink>
      <w:r w:rsidRPr="003E3963">
        <w:rPr>
          <w:rFonts w:ascii="Times New Roman" w:eastAsia="Times New Roman" w:hAnsi="Times New Roman" w:cs="Times New Roman"/>
        </w:rPr>
        <w:t xml:space="preserve"> in </w:t>
      </w:r>
      <w:hyperlink r:id="rId8" w:tooltip="Israel (region)" w:history="1">
        <w:r w:rsidRPr="00450A74">
          <w:rPr>
            <w:rFonts w:ascii="Times New Roman" w:eastAsia="Times New Roman" w:hAnsi="Times New Roman" w:cs="Times New Roman"/>
          </w:rPr>
          <w:t>Israel</w:t>
        </w:r>
      </w:hyperlink>
      <w:r w:rsidRPr="003E3963">
        <w:rPr>
          <w:rFonts w:ascii="Times New Roman" w:eastAsia="Times New Roman" w:hAnsi="Times New Roman" w:cs="Times New Roman"/>
        </w:rPr>
        <w:t xml:space="preserve"> established by the Maccabees, after 63 BC</w:t>
      </w:r>
      <w:r w:rsidRPr="00450A74">
        <w:rPr>
          <w:rFonts w:ascii="Times New Roman" w:eastAsia="Times New Roman" w:hAnsi="Times New Roman" w:cs="Times New Roman"/>
        </w:rPr>
        <w:t>E</w:t>
      </w:r>
      <w:r w:rsidRPr="003E3963">
        <w:rPr>
          <w:rFonts w:ascii="Times New Roman" w:eastAsia="Times New Roman" w:hAnsi="Times New Roman" w:cs="Times New Roman"/>
        </w:rPr>
        <w:t xml:space="preserve"> under </w:t>
      </w:r>
      <w:hyperlink r:id="rId9" w:tooltip="Roman Empire" w:history="1">
        <w:r w:rsidRPr="00450A74">
          <w:rPr>
            <w:rFonts w:ascii="Times New Roman" w:eastAsia="Times New Roman" w:hAnsi="Times New Roman" w:cs="Times New Roman"/>
          </w:rPr>
          <w:t>Roman supremacy</w:t>
        </w:r>
      </w:hyperlink>
      <w:r w:rsidRPr="003E3963">
        <w:rPr>
          <w:rFonts w:ascii="Times New Roman" w:eastAsia="Times New Roman" w:hAnsi="Times New Roman" w:cs="Times New Roman"/>
        </w:rPr>
        <w:t xml:space="preserve"> </w:t>
      </w:r>
    </w:p>
    <w:p w:rsidR="007E7EB8" w:rsidRPr="003E3963" w:rsidRDefault="007E7EB8" w:rsidP="007E7EB8">
      <w:pPr>
        <w:numPr>
          <w:ilvl w:val="0"/>
          <w:numId w:val="7"/>
        </w:numPr>
        <w:spacing w:line="240" w:lineRule="auto"/>
        <w:rPr>
          <w:rFonts w:ascii="Times New Roman" w:eastAsia="Times New Roman" w:hAnsi="Times New Roman" w:cs="Times New Roman"/>
        </w:rPr>
      </w:pPr>
      <w:r w:rsidRPr="003E3963">
        <w:rPr>
          <w:rFonts w:ascii="Times New Roman" w:eastAsia="Times New Roman" w:hAnsi="Times New Roman" w:cs="Times New Roman"/>
        </w:rPr>
        <w:t xml:space="preserve">37 BC–70 AD: </w:t>
      </w:r>
      <w:hyperlink r:id="rId10" w:tooltip="Herodian Dynasty" w:history="1">
        <w:r w:rsidRPr="00450A74">
          <w:rPr>
            <w:rFonts w:ascii="Times New Roman" w:eastAsia="Times New Roman" w:hAnsi="Times New Roman" w:cs="Times New Roman"/>
            <w:b/>
          </w:rPr>
          <w:t>Herodian Dynasty</w:t>
        </w:r>
      </w:hyperlink>
      <w:r w:rsidRPr="003E3963">
        <w:rPr>
          <w:rFonts w:ascii="Times New Roman" w:eastAsia="Times New Roman" w:hAnsi="Times New Roman" w:cs="Times New Roman"/>
        </w:rPr>
        <w:t xml:space="preserve"> ruling Judea under </w:t>
      </w:r>
      <w:hyperlink r:id="rId11" w:tooltip="Roman Empire" w:history="1">
        <w:r w:rsidRPr="00450A74">
          <w:rPr>
            <w:rFonts w:ascii="Times New Roman" w:eastAsia="Times New Roman" w:hAnsi="Times New Roman" w:cs="Times New Roman"/>
            <w:b/>
          </w:rPr>
          <w:t>Roman supremacy</w:t>
        </w:r>
      </w:hyperlink>
      <w:r w:rsidRPr="003E3963">
        <w:rPr>
          <w:rFonts w:ascii="Times New Roman" w:eastAsia="Times New Roman" w:hAnsi="Times New Roman" w:cs="Times New Roman"/>
          <w:b/>
        </w:rPr>
        <w:t xml:space="preserve"> </w:t>
      </w:r>
      <w:r w:rsidRPr="003E3963">
        <w:rPr>
          <w:rFonts w:ascii="Times New Roman" w:eastAsia="Times New Roman" w:hAnsi="Times New Roman" w:cs="Times New Roman"/>
        </w:rPr>
        <w:t>(37 BC</w:t>
      </w:r>
      <w:r w:rsidRPr="00450A74">
        <w:rPr>
          <w:rFonts w:ascii="Times New Roman" w:eastAsia="Times New Roman" w:hAnsi="Times New Roman" w:cs="Times New Roman"/>
        </w:rPr>
        <w:t xml:space="preserve">E </w:t>
      </w:r>
      <w:r w:rsidRPr="003E3963">
        <w:rPr>
          <w:rFonts w:ascii="Times New Roman" w:eastAsia="Times New Roman" w:hAnsi="Times New Roman" w:cs="Times New Roman"/>
        </w:rPr>
        <w:t xml:space="preserve">–6 AD and 41–44 AD), interchanging with direct Roman rule (6–41 CE and 44–66 AD). This ended in the first </w:t>
      </w:r>
      <w:hyperlink r:id="rId12" w:tooltip="Jewish Revolt" w:history="1">
        <w:r w:rsidRPr="00450A74">
          <w:rPr>
            <w:rFonts w:ascii="Times New Roman" w:eastAsia="Times New Roman" w:hAnsi="Times New Roman" w:cs="Times New Roman"/>
          </w:rPr>
          <w:t>Jewish Revolt</w:t>
        </w:r>
      </w:hyperlink>
      <w:r w:rsidRPr="003E3963">
        <w:rPr>
          <w:rFonts w:ascii="Times New Roman" w:eastAsia="Times New Roman" w:hAnsi="Times New Roman" w:cs="Times New Roman"/>
        </w:rPr>
        <w:t xml:space="preserve"> of 66–73 AD, which saw the Temple destroyed in 70 AD. </w:t>
      </w:r>
    </w:p>
    <w:p w:rsidR="007E7EB8" w:rsidRPr="003E3963" w:rsidRDefault="007E7EB8" w:rsidP="007E7EB8">
      <w:pPr>
        <w:numPr>
          <w:ilvl w:val="0"/>
          <w:numId w:val="8"/>
        </w:numPr>
        <w:spacing w:line="240" w:lineRule="auto"/>
        <w:rPr>
          <w:rFonts w:ascii="Times New Roman" w:eastAsia="Times New Roman" w:hAnsi="Times New Roman" w:cs="Times New Roman"/>
          <w:b/>
        </w:rPr>
      </w:pPr>
      <w:r w:rsidRPr="003E3963">
        <w:rPr>
          <w:rFonts w:ascii="Times New Roman" w:eastAsia="Times New Roman" w:hAnsi="Times New Roman" w:cs="Times New Roman"/>
        </w:rPr>
        <w:t xml:space="preserve">6 </w:t>
      </w:r>
      <w:r w:rsidRPr="00450A74">
        <w:rPr>
          <w:rFonts w:ascii="Times New Roman" w:eastAsia="Times New Roman" w:hAnsi="Times New Roman" w:cs="Times New Roman"/>
        </w:rPr>
        <w:t>CE</w:t>
      </w:r>
      <w:r w:rsidRPr="003E3963">
        <w:rPr>
          <w:rFonts w:ascii="Times New Roman" w:eastAsia="Times New Roman" w:hAnsi="Times New Roman" w:cs="Times New Roman"/>
        </w:rPr>
        <w:t xml:space="preserve"> </w:t>
      </w:r>
      <w:hyperlink r:id="rId13" w:tooltip="Census of Quirinius" w:history="1">
        <w:r w:rsidRPr="00450A74">
          <w:rPr>
            <w:rFonts w:ascii="Times New Roman" w:eastAsia="Times New Roman" w:hAnsi="Times New Roman" w:cs="Times New Roman"/>
          </w:rPr>
          <w:t>Census of Quirinius</w:t>
        </w:r>
      </w:hyperlink>
      <w:r w:rsidRPr="003E3963">
        <w:rPr>
          <w:rFonts w:ascii="Times New Roman" w:eastAsia="Times New Roman" w:hAnsi="Times New Roman" w:cs="Times New Roman"/>
        </w:rPr>
        <w:t xml:space="preserve"> and establishment of </w:t>
      </w:r>
      <w:r w:rsidRPr="003E3963">
        <w:rPr>
          <w:rFonts w:ascii="Times New Roman" w:eastAsia="Times New Roman" w:hAnsi="Times New Roman" w:cs="Times New Roman"/>
          <w:b/>
        </w:rPr>
        <w:t>Roman</w:t>
      </w:r>
      <w:r w:rsidRPr="003E3963">
        <w:rPr>
          <w:rFonts w:ascii="Times New Roman" w:eastAsia="Times New Roman" w:hAnsi="Times New Roman" w:cs="Times New Roman"/>
        </w:rPr>
        <w:t xml:space="preserve"> </w:t>
      </w:r>
      <w:hyperlink r:id="rId14" w:tooltip="Iudaea Province" w:history="1">
        <w:r w:rsidRPr="00450A74">
          <w:rPr>
            <w:rFonts w:ascii="Times New Roman" w:eastAsia="Times New Roman" w:hAnsi="Times New Roman" w:cs="Times New Roman"/>
            <w:b/>
          </w:rPr>
          <w:t>Iudaea Province</w:t>
        </w:r>
      </w:hyperlink>
      <w:r w:rsidRPr="003E3963">
        <w:rPr>
          <w:rFonts w:ascii="Times New Roman" w:eastAsia="Times New Roman" w:hAnsi="Times New Roman" w:cs="Times New Roman"/>
          <w:b/>
        </w:rPr>
        <w:t xml:space="preserve"> </w:t>
      </w:r>
    </w:p>
    <w:p w:rsidR="007E7EB8" w:rsidRPr="003E3963" w:rsidRDefault="007E7EB8" w:rsidP="007E7EB8">
      <w:pPr>
        <w:numPr>
          <w:ilvl w:val="0"/>
          <w:numId w:val="9"/>
        </w:numPr>
        <w:spacing w:line="240" w:lineRule="auto"/>
        <w:rPr>
          <w:rFonts w:ascii="Times New Roman" w:eastAsia="Times New Roman" w:hAnsi="Times New Roman" w:cs="Times New Roman"/>
        </w:rPr>
      </w:pPr>
      <w:r w:rsidRPr="003E3963">
        <w:rPr>
          <w:rFonts w:ascii="Times New Roman" w:eastAsia="Times New Roman" w:hAnsi="Times New Roman" w:cs="Times New Roman"/>
        </w:rPr>
        <w:t xml:space="preserve">70–395: province of </w:t>
      </w:r>
      <w:hyperlink r:id="rId15" w:tooltip="Roman Empire" w:history="1">
        <w:r w:rsidRPr="00450A74">
          <w:rPr>
            <w:rFonts w:ascii="Times New Roman" w:eastAsia="Times New Roman" w:hAnsi="Times New Roman" w:cs="Times New Roman"/>
          </w:rPr>
          <w:t>Roman Empire</w:t>
        </w:r>
      </w:hyperlink>
      <w:r w:rsidRPr="003E3963">
        <w:rPr>
          <w:rFonts w:ascii="Times New Roman" w:eastAsia="Times New Roman" w:hAnsi="Times New Roman" w:cs="Times New Roman"/>
        </w:rPr>
        <w:t xml:space="preserve"> first called </w:t>
      </w:r>
      <w:hyperlink r:id="rId16" w:tooltip="Judea" w:history="1">
        <w:r w:rsidRPr="00450A74">
          <w:rPr>
            <w:rFonts w:ascii="Times New Roman" w:eastAsia="Times New Roman" w:hAnsi="Times New Roman" w:cs="Times New Roman"/>
          </w:rPr>
          <w:t>Judea</w:t>
        </w:r>
      </w:hyperlink>
      <w:r w:rsidRPr="003E3963">
        <w:rPr>
          <w:rFonts w:ascii="Times New Roman" w:eastAsia="Times New Roman" w:hAnsi="Times New Roman" w:cs="Times New Roman"/>
        </w:rPr>
        <w:t xml:space="preserve">, after 135 called </w:t>
      </w:r>
      <w:hyperlink r:id="rId17" w:tooltip="History of Palestine" w:history="1">
        <w:r w:rsidRPr="00450A74">
          <w:rPr>
            <w:rFonts w:ascii="Times New Roman" w:eastAsia="Times New Roman" w:hAnsi="Times New Roman" w:cs="Times New Roman"/>
          </w:rPr>
          <w:t>Palaestina</w:t>
        </w:r>
      </w:hyperlink>
      <w:r w:rsidRPr="003E3963">
        <w:rPr>
          <w:rFonts w:ascii="Times New Roman" w:eastAsia="Times New Roman" w:hAnsi="Times New Roman" w:cs="Times New Roman"/>
        </w:rPr>
        <w:t xml:space="preserve"> by the Romans to spite the Jews following the </w:t>
      </w:r>
      <w:hyperlink r:id="rId18" w:tooltip="Bar Kokhba revolt" w:history="1">
        <w:r w:rsidRPr="00450A74">
          <w:rPr>
            <w:rFonts w:ascii="Times New Roman" w:eastAsia="Times New Roman" w:hAnsi="Times New Roman" w:cs="Times New Roman"/>
          </w:rPr>
          <w:t>Second Jewish Revolt</w:t>
        </w:r>
      </w:hyperlink>
      <w:r w:rsidRPr="003E3963">
        <w:rPr>
          <w:rFonts w:ascii="Times New Roman" w:eastAsia="Times New Roman" w:hAnsi="Times New Roman" w:cs="Times New Roman"/>
        </w:rPr>
        <w:t xml:space="preserve"> (The </w:t>
      </w:r>
      <w:hyperlink r:id="rId19" w:tooltip="Simon bar Kokhba" w:history="1">
        <w:r w:rsidRPr="00450A74">
          <w:rPr>
            <w:rFonts w:ascii="Times New Roman" w:eastAsia="Times New Roman" w:hAnsi="Times New Roman" w:cs="Times New Roman"/>
          </w:rPr>
          <w:t>Bar Kokhba</w:t>
        </w:r>
      </w:hyperlink>
      <w:r w:rsidRPr="003E3963">
        <w:rPr>
          <w:rFonts w:ascii="Times New Roman" w:eastAsia="Times New Roman" w:hAnsi="Times New Roman" w:cs="Times New Roman"/>
        </w:rPr>
        <w:t xml:space="preserve"> Revolt). In 395 the Roman Empire is split into a Western and an Eastern part. </w:t>
      </w:r>
    </w:p>
    <w:p w:rsidR="007E7EB8" w:rsidRPr="003E3963" w:rsidRDefault="007E7EB8" w:rsidP="007E7EB8">
      <w:pPr>
        <w:numPr>
          <w:ilvl w:val="0"/>
          <w:numId w:val="10"/>
        </w:numPr>
        <w:spacing w:line="240" w:lineRule="auto"/>
        <w:rPr>
          <w:rFonts w:ascii="Times New Roman" w:eastAsia="Times New Roman" w:hAnsi="Times New Roman" w:cs="Times New Roman"/>
        </w:rPr>
      </w:pPr>
      <w:r w:rsidRPr="003E3963">
        <w:rPr>
          <w:rFonts w:ascii="Times New Roman" w:eastAsia="Times New Roman" w:hAnsi="Times New Roman" w:cs="Times New Roman"/>
        </w:rPr>
        <w:t xml:space="preserve">395–638: Eastern Roman or </w:t>
      </w:r>
      <w:hyperlink r:id="rId20" w:tooltip="Byzantine Empire" w:history="1">
        <w:r w:rsidRPr="00450A74">
          <w:rPr>
            <w:rFonts w:ascii="Times New Roman" w:eastAsia="Times New Roman" w:hAnsi="Times New Roman" w:cs="Times New Roman"/>
            <w:b/>
          </w:rPr>
          <w:t>Byzantine Empire</w:t>
        </w:r>
      </w:hyperlink>
      <w:r w:rsidRPr="003E3963">
        <w:rPr>
          <w:rFonts w:ascii="Times New Roman" w:eastAsia="Times New Roman" w:hAnsi="Times New Roman" w:cs="Times New Roman"/>
        </w:rPr>
        <w:t xml:space="preserve"> </w:t>
      </w:r>
    </w:p>
    <w:p w:rsidR="007E7EB8" w:rsidRPr="003E3963" w:rsidRDefault="007E7EB8" w:rsidP="007E7EB8">
      <w:pPr>
        <w:numPr>
          <w:ilvl w:val="0"/>
          <w:numId w:val="11"/>
        </w:numPr>
        <w:spacing w:line="240" w:lineRule="auto"/>
        <w:rPr>
          <w:rFonts w:ascii="Times New Roman" w:eastAsia="Times New Roman" w:hAnsi="Times New Roman" w:cs="Times New Roman"/>
        </w:rPr>
      </w:pPr>
      <w:r w:rsidRPr="003E3963">
        <w:rPr>
          <w:rFonts w:ascii="Times New Roman" w:eastAsia="Times New Roman" w:hAnsi="Times New Roman" w:cs="Times New Roman"/>
        </w:rPr>
        <w:t xml:space="preserve">638–1099: </w:t>
      </w:r>
      <w:r w:rsidRPr="003E3963">
        <w:rPr>
          <w:rFonts w:ascii="Times New Roman" w:eastAsia="Times New Roman" w:hAnsi="Times New Roman" w:cs="Times New Roman"/>
          <w:b/>
        </w:rPr>
        <w:t xml:space="preserve">Arab </w:t>
      </w:r>
      <w:hyperlink r:id="rId21" w:tooltip="Caliphate" w:history="1">
        <w:r w:rsidRPr="00450A74">
          <w:rPr>
            <w:rFonts w:ascii="Times New Roman" w:eastAsia="Times New Roman" w:hAnsi="Times New Roman" w:cs="Times New Roman"/>
            <w:b/>
          </w:rPr>
          <w:t>Caliphates</w:t>
        </w:r>
      </w:hyperlink>
      <w:r w:rsidRPr="003E3963">
        <w:rPr>
          <w:rFonts w:ascii="Times New Roman" w:eastAsia="Times New Roman" w:hAnsi="Times New Roman" w:cs="Times New Roman"/>
        </w:rPr>
        <w:t xml:space="preserve"> and subject rulers </w:t>
      </w:r>
    </w:p>
    <w:p w:rsidR="007E7EB8" w:rsidRPr="003E3963" w:rsidRDefault="007E7EB8" w:rsidP="007E7EB8">
      <w:pPr>
        <w:numPr>
          <w:ilvl w:val="0"/>
          <w:numId w:val="12"/>
        </w:numPr>
        <w:spacing w:line="240" w:lineRule="auto"/>
        <w:rPr>
          <w:rFonts w:ascii="Times New Roman" w:eastAsia="Times New Roman" w:hAnsi="Times New Roman" w:cs="Times New Roman"/>
        </w:rPr>
      </w:pPr>
      <w:r w:rsidRPr="003E3963">
        <w:rPr>
          <w:rFonts w:ascii="Times New Roman" w:eastAsia="Times New Roman" w:hAnsi="Times New Roman" w:cs="Times New Roman"/>
        </w:rPr>
        <w:t xml:space="preserve">1099–1187: </w:t>
      </w:r>
      <w:hyperlink r:id="rId22" w:tooltip="Crusader states" w:history="1">
        <w:r w:rsidRPr="00450A74">
          <w:rPr>
            <w:rFonts w:ascii="Times New Roman" w:eastAsia="Times New Roman" w:hAnsi="Times New Roman" w:cs="Times New Roman"/>
            <w:b/>
          </w:rPr>
          <w:t>Crusader states</w:t>
        </w:r>
      </w:hyperlink>
      <w:r w:rsidRPr="003E3963">
        <w:rPr>
          <w:rFonts w:ascii="Times New Roman" w:eastAsia="Times New Roman" w:hAnsi="Times New Roman" w:cs="Times New Roman"/>
        </w:rPr>
        <w:t xml:space="preserve">, most notably the </w:t>
      </w:r>
      <w:hyperlink r:id="rId23" w:tooltip="Kingdom of Jerusalem" w:history="1">
        <w:r w:rsidRPr="00450A74">
          <w:rPr>
            <w:rFonts w:ascii="Times New Roman" w:eastAsia="Times New Roman" w:hAnsi="Times New Roman" w:cs="Times New Roman"/>
          </w:rPr>
          <w:t>Kingdom of Jerusalem</w:t>
        </w:r>
      </w:hyperlink>
      <w:r w:rsidRPr="003E3963">
        <w:rPr>
          <w:rFonts w:ascii="Times New Roman" w:eastAsia="Times New Roman" w:hAnsi="Times New Roman" w:cs="Times New Roman"/>
        </w:rPr>
        <w:t xml:space="preserve"> </w:t>
      </w:r>
    </w:p>
    <w:p w:rsidR="007E7EB8" w:rsidRPr="003E3963" w:rsidRDefault="007E7EB8" w:rsidP="007E7EB8">
      <w:pPr>
        <w:numPr>
          <w:ilvl w:val="0"/>
          <w:numId w:val="13"/>
        </w:numPr>
        <w:spacing w:line="240" w:lineRule="auto"/>
        <w:rPr>
          <w:rFonts w:ascii="Times New Roman" w:eastAsia="Times New Roman" w:hAnsi="Times New Roman" w:cs="Times New Roman"/>
        </w:rPr>
      </w:pPr>
      <w:r w:rsidRPr="003E3963">
        <w:rPr>
          <w:rFonts w:ascii="Times New Roman" w:eastAsia="Times New Roman" w:hAnsi="Times New Roman" w:cs="Times New Roman"/>
        </w:rPr>
        <w:t xml:space="preserve">1187–1260: dominated by the </w:t>
      </w:r>
      <w:hyperlink r:id="rId24" w:tooltip="Ayyubid dynasty" w:history="1">
        <w:r w:rsidRPr="00450A74">
          <w:rPr>
            <w:rFonts w:ascii="Times New Roman" w:eastAsia="Times New Roman" w:hAnsi="Times New Roman" w:cs="Times New Roman"/>
            <w:b/>
          </w:rPr>
          <w:t>Ayyubids of Egypt and Damascus</w:t>
        </w:r>
      </w:hyperlink>
      <w:r w:rsidRPr="003E3963">
        <w:rPr>
          <w:rFonts w:ascii="Times New Roman" w:eastAsia="Times New Roman" w:hAnsi="Times New Roman" w:cs="Times New Roman"/>
          <w:b/>
        </w:rPr>
        <w:t xml:space="preserve"> </w:t>
      </w:r>
      <w:r w:rsidRPr="00450A74">
        <w:rPr>
          <w:rFonts w:ascii="Times New Roman" w:eastAsia="Times New Roman" w:hAnsi="Times New Roman" w:cs="Times New Roman"/>
        </w:rPr>
        <w:t>(Sunni Muslim)</w:t>
      </w:r>
    </w:p>
    <w:p w:rsidR="007E7EB8" w:rsidRPr="003E3963" w:rsidRDefault="007E7EB8" w:rsidP="007E7EB8">
      <w:pPr>
        <w:numPr>
          <w:ilvl w:val="0"/>
          <w:numId w:val="14"/>
        </w:numPr>
        <w:spacing w:line="240" w:lineRule="auto"/>
        <w:rPr>
          <w:rFonts w:ascii="Times New Roman" w:eastAsia="Times New Roman" w:hAnsi="Times New Roman" w:cs="Times New Roman"/>
        </w:rPr>
      </w:pPr>
      <w:r w:rsidRPr="003E3963">
        <w:rPr>
          <w:rFonts w:ascii="Times New Roman" w:eastAsia="Times New Roman" w:hAnsi="Times New Roman" w:cs="Times New Roman"/>
        </w:rPr>
        <w:t xml:space="preserve">1260–1516: dominated by the </w:t>
      </w:r>
      <w:hyperlink r:id="rId25" w:anchor="In_Egypt" w:tooltip="Mamluks" w:history="1">
        <w:r w:rsidRPr="00450A74">
          <w:rPr>
            <w:rFonts w:ascii="Times New Roman" w:eastAsia="Times New Roman" w:hAnsi="Times New Roman" w:cs="Times New Roman"/>
            <w:b/>
          </w:rPr>
          <w:t>Mamluks of Egypt</w:t>
        </w:r>
      </w:hyperlink>
      <w:r w:rsidRPr="003E3963">
        <w:rPr>
          <w:rFonts w:ascii="Times New Roman" w:eastAsia="Times New Roman" w:hAnsi="Times New Roman" w:cs="Times New Roman"/>
          <w:b/>
        </w:rPr>
        <w:t xml:space="preserve"> </w:t>
      </w:r>
      <w:r w:rsidRPr="00450A74">
        <w:rPr>
          <w:rFonts w:ascii="Times New Roman" w:eastAsia="Times New Roman" w:hAnsi="Times New Roman" w:cs="Times New Roman"/>
        </w:rPr>
        <w:t>(Muslim Converts – Societies)</w:t>
      </w:r>
    </w:p>
    <w:p w:rsidR="007E7EB8" w:rsidRPr="003E3963" w:rsidRDefault="007E7EB8" w:rsidP="007E7EB8">
      <w:pPr>
        <w:numPr>
          <w:ilvl w:val="0"/>
          <w:numId w:val="15"/>
        </w:numPr>
        <w:spacing w:line="240" w:lineRule="auto"/>
        <w:rPr>
          <w:rFonts w:ascii="Times New Roman" w:eastAsia="Times New Roman" w:hAnsi="Times New Roman" w:cs="Times New Roman"/>
        </w:rPr>
      </w:pPr>
      <w:r w:rsidRPr="003E3963">
        <w:rPr>
          <w:rFonts w:ascii="Times New Roman" w:eastAsia="Times New Roman" w:hAnsi="Times New Roman" w:cs="Times New Roman"/>
        </w:rPr>
        <w:t xml:space="preserve">1516–1917: </w:t>
      </w:r>
      <w:hyperlink r:id="rId26" w:tooltip="Ottoman Empire" w:history="1">
        <w:r w:rsidRPr="00450A74">
          <w:rPr>
            <w:rFonts w:ascii="Times New Roman" w:eastAsia="Times New Roman" w:hAnsi="Times New Roman" w:cs="Times New Roman"/>
          </w:rPr>
          <w:t>Ottoman</w:t>
        </w:r>
      </w:hyperlink>
      <w:r w:rsidRPr="003E3963">
        <w:rPr>
          <w:rFonts w:ascii="Times New Roman" w:eastAsia="Times New Roman" w:hAnsi="Times New Roman" w:cs="Times New Roman"/>
        </w:rPr>
        <w:t xml:space="preserve"> </w:t>
      </w:r>
      <w:hyperlink r:id="rId27" w:tooltip="Ottoman Turks" w:history="1">
        <w:r w:rsidRPr="00450A74">
          <w:rPr>
            <w:rFonts w:ascii="Times New Roman" w:eastAsia="Times New Roman" w:hAnsi="Times New Roman" w:cs="Times New Roman"/>
          </w:rPr>
          <w:t>Turks</w:t>
        </w:r>
      </w:hyperlink>
      <w:r w:rsidRPr="003E3963">
        <w:rPr>
          <w:rFonts w:ascii="Times New Roman" w:eastAsia="Times New Roman" w:hAnsi="Times New Roman" w:cs="Times New Roman"/>
        </w:rPr>
        <w:t xml:space="preserve">, having previously conquered the Byzantine Empire in 1453 </w:t>
      </w:r>
    </w:p>
    <w:p w:rsidR="007E7EB8" w:rsidRPr="003E3963" w:rsidRDefault="007E7EB8" w:rsidP="007E7EB8">
      <w:pPr>
        <w:numPr>
          <w:ilvl w:val="0"/>
          <w:numId w:val="16"/>
        </w:numPr>
        <w:spacing w:line="240" w:lineRule="auto"/>
        <w:rPr>
          <w:rFonts w:ascii="Times New Roman" w:eastAsia="Times New Roman" w:hAnsi="Times New Roman" w:cs="Times New Roman"/>
        </w:rPr>
      </w:pPr>
      <w:r w:rsidRPr="003E3963">
        <w:rPr>
          <w:rFonts w:ascii="Times New Roman" w:eastAsia="Times New Roman" w:hAnsi="Times New Roman" w:cs="Times New Roman"/>
        </w:rPr>
        <w:t xml:space="preserve">1918–1948: </w:t>
      </w:r>
      <w:hyperlink r:id="rId28" w:tooltip="British Empire" w:history="1">
        <w:r w:rsidRPr="00450A74">
          <w:rPr>
            <w:rFonts w:ascii="Times New Roman" w:eastAsia="Times New Roman" w:hAnsi="Times New Roman" w:cs="Times New Roman"/>
            <w:b/>
          </w:rPr>
          <w:t>British</w:t>
        </w:r>
      </w:hyperlink>
      <w:r w:rsidRPr="003E3963">
        <w:rPr>
          <w:rFonts w:ascii="Times New Roman" w:eastAsia="Times New Roman" w:hAnsi="Times New Roman" w:cs="Times New Roman"/>
          <w:b/>
        </w:rPr>
        <w:t xml:space="preserve"> </w:t>
      </w:r>
      <w:hyperlink r:id="rId29" w:tooltip="British Mandate of Palestine" w:history="1">
        <w:r w:rsidRPr="00450A74">
          <w:rPr>
            <w:rFonts w:ascii="Times New Roman" w:eastAsia="Times New Roman" w:hAnsi="Times New Roman" w:cs="Times New Roman"/>
            <w:b/>
          </w:rPr>
          <w:t>mandate of Palestine</w:t>
        </w:r>
      </w:hyperlink>
      <w:r w:rsidRPr="003E3963">
        <w:rPr>
          <w:rFonts w:ascii="Times New Roman" w:eastAsia="Times New Roman" w:hAnsi="Times New Roman" w:cs="Times New Roman"/>
        </w:rPr>
        <w:t xml:space="preserve"> under, first, </w:t>
      </w:r>
      <w:hyperlink r:id="rId30" w:tooltip="League of Nations" w:history="1">
        <w:r w:rsidRPr="00450A74">
          <w:rPr>
            <w:rFonts w:ascii="Times New Roman" w:eastAsia="Times New Roman" w:hAnsi="Times New Roman" w:cs="Times New Roman"/>
            <w:b/>
          </w:rPr>
          <w:t>League of Nations</w:t>
        </w:r>
      </w:hyperlink>
      <w:r w:rsidRPr="003E3963">
        <w:rPr>
          <w:rFonts w:ascii="Times New Roman" w:eastAsia="Times New Roman" w:hAnsi="Times New Roman" w:cs="Times New Roman"/>
        </w:rPr>
        <w:t xml:space="preserve">, then, successor </w:t>
      </w:r>
      <w:hyperlink r:id="rId31" w:tooltip="United Nations" w:history="1">
        <w:r w:rsidRPr="00450A74">
          <w:rPr>
            <w:rFonts w:ascii="Times New Roman" w:eastAsia="Times New Roman" w:hAnsi="Times New Roman" w:cs="Times New Roman"/>
          </w:rPr>
          <w:t>United Nations</w:t>
        </w:r>
      </w:hyperlink>
      <w:r w:rsidRPr="003E3963">
        <w:rPr>
          <w:rFonts w:ascii="Times New Roman" w:eastAsia="Times New Roman" w:hAnsi="Times New Roman" w:cs="Times New Roman"/>
        </w:rPr>
        <w:t xml:space="preserve">; the Emirate of Trans-Jordan was separated from the rest of Palestine in 1922, and the Hashemite Kingdom of Jordan became independent upon the expiration of the League of Nations Mandate in 1946. </w:t>
      </w:r>
    </w:p>
    <w:p w:rsidR="007E7EB8" w:rsidRPr="003E3963" w:rsidRDefault="007E7EB8" w:rsidP="007E7EB8">
      <w:pPr>
        <w:numPr>
          <w:ilvl w:val="0"/>
          <w:numId w:val="17"/>
        </w:numPr>
        <w:spacing w:line="240" w:lineRule="auto"/>
        <w:rPr>
          <w:rFonts w:ascii="Times New Roman" w:eastAsia="Times New Roman" w:hAnsi="Times New Roman" w:cs="Times New Roman"/>
        </w:rPr>
      </w:pPr>
      <w:r w:rsidRPr="003E3963">
        <w:rPr>
          <w:rFonts w:ascii="Times New Roman" w:eastAsia="Times New Roman" w:hAnsi="Times New Roman" w:cs="Times New Roman"/>
        </w:rPr>
        <w:t xml:space="preserve">May 1948–June 1967: </w:t>
      </w:r>
      <w:hyperlink r:id="rId32" w:tooltip="Jordan" w:history="1">
        <w:r w:rsidRPr="00450A74">
          <w:rPr>
            <w:rFonts w:ascii="Times New Roman" w:eastAsia="Times New Roman" w:hAnsi="Times New Roman" w:cs="Times New Roman"/>
          </w:rPr>
          <w:t>Hashemite</w:t>
        </w:r>
        <w:r w:rsidRPr="00450A74">
          <w:rPr>
            <w:rFonts w:ascii="Times New Roman" w:eastAsia="Times New Roman" w:hAnsi="Times New Roman" w:cs="Times New Roman"/>
            <w:b/>
          </w:rPr>
          <w:t xml:space="preserve"> Kingdom of Jordan</w:t>
        </w:r>
      </w:hyperlink>
      <w:r w:rsidRPr="003E3963">
        <w:rPr>
          <w:rFonts w:ascii="Times New Roman" w:eastAsia="Times New Roman" w:hAnsi="Times New Roman" w:cs="Times New Roman"/>
        </w:rPr>
        <w:t xml:space="preserve">, for the Old City of Jerusalem and the larger part of the area; </w:t>
      </w:r>
      <w:hyperlink r:id="rId33" w:tooltip="State of Israel" w:history="1">
        <w:r w:rsidRPr="00450A74">
          <w:rPr>
            <w:rFonts w:ascii="Times New Roman" w:eastAsia="Times New Roman" w:hAnsi="Times New Roman" w:cs="Times New Roman"/>
            <w:b/>
          </w:rPr>
          <w:t>State of Israel</w:t>
        </w:r>
      </w:hyperlink>
      <w:r w:rsidRPr="003E3963">
        <w:rPr>
          <w:rFonts w:ascii="Times New Roman" w:eastAsia="Times New Roman" w:hAnsi="Times New Roman" w:cs="Times New Roman"/>
        </w:rPr>
        <w:t xml:space="preserve"> for a smaller strip of land in the west </w:t>
      </w:r>
    </w:p>
    <w:p w:rsidR="007E7EB8" w:rsidRPr="004B7345" w:rsidRDefault="007E7EB8" w:rsidP="007E7EB8">
      <w:pPr>
        <w:numPr>
          <w:ilvl w:val="0"/>
          <w:numId w:val="18"/>
        </w:numPr>
        <w:spacing w:line="240" w:lineRule="auto"/>
      </w:pPr>
      <w:r w:rsidRPr="007776A8">
        <w:rPr>
          <w:rFonts w:ascii="Times New Roman" w:eastAsia="Times New Roman" w:hAnsi="Times New Roman" w:cs="Times New Roman"/>
        </w:rPr>
        <w:t xml:space="preserve">June 1967 to present: </w:t>
      </w:r>
      <w:r>
        <w:rPr>
          <w:rFonts w:ascii="Times New Roman" w:eastAsia="Times New Roman" w:hAnsi="Times New Roman" w:cs="Times New Roman"/>
        </w:rPr>
        <w:t>Land/</w:t>
      </w:r>
      <w:hyperlink r:id="rId34" w:tooltip="State of Israel" w:history="1">
        <w:r w:rsidRPr="007776A8">
          <w:rPr>
            <w:rFonts w:ascii="Times New Roman" w:eastAsia="Times New Roman" w:hAnsi="Times New Roman" w:cs="Times New Roman"/>
            <w:b/>
          </w:rPr>
          <w:t>State of Israel</w:t>
        </w:r>
      </w:hyperlink>
      <w:r w:rsidRPr="007776A8">
        <w:rPr>
          <w:rFonts w:ascii="Times New Roman" w:eastAsia="Times New Roman" w:hAnsi="Times New Roman" w:cs="Times New Roman"/>
          <w:b/>
        </w:rPr>
        <w:t xml:space="preserve"> – </w:t>
      </w:r>
      <w:r w:rsidRPr="007776A8">
        <w:rPr>
          <w:rFonts w:ascii="Times New Roman" w:eastAsia="Times New Roman" w:hAnsi="Times New Roman" w:cs="Times New Roman"/>
        </w:rPr>
        <w:t>Some-what back to where it all began – but not quite.</w:t>
      </w:r>
    </w:p>
    <w:p w:rsidR="007E7EB8" w:rsidRDefault="007E7EB8" w:rsidP="007E7EB8">
      <w:pPr>
        <w:spacing w:before="100" w:beforeAutospacing="1" w:after="100" w:afterAutospacing="1" w:line="240" w:lineRule="auto"/>
        <w:rPr>
          <w:rFonts w:ascii="Times New Roman" w:eastAsia="Times New Roman" w:hAnsi="Times New Roman" w:cs="Times New Roman"/>
          <w:sz w:val="24"/>
          <w:szCs w:val="24"/>
        </w:rPr>
      </w:pPr>
    </w:p>
    <w:p w:rsidR="007E7EB8" w:rsidRDefault="007E7EB8" w:rsidP="007E7EB8">
      <w:pPr>
        <w:spacing w:before="100" w:beforeAutospacing="1" w:after="100" w:afterAutospacing="1" w:line="240" w:lineRule="auto"/>
        <w:rPr>
          <w:rFonts w:ascii="Times New Roman" w:eastAsia="Times New Roman" w:hAnsi="Times New Roman" w:cs="Times New Roman"/>
          <w:sz w:val="24"/>
          <w:szCs w:val="24"/>
        </w:rPr>
      </w:pPr>
    </w:p>
    <w:p w:rsidR="007E7EB8" w:rsidRPr="00A617CA" w:rsidRDefault="007E7EB8" w:rsidP="007E7EB8">
      <w:pPr>
        <w:spacing w:before="100" w:beforeAutospacing="1" w:after="100" w:afterAutospacing="1" w:line="240" w:lineRule="auto"/>
        <w:rPr>
          <w:rFonts w:ascii="Times New Roman" w:eastAsia="Times New Roman" w:hAnsi="Times New Roman" w:cs="Times New Roman"/>
          <w:sz w:val="24"/>
          <w:szCs w:val="24"/>
        </w:rPr>
      </w:pPr>
      <w:r w:rsidRPr="00A617CA">
        <w:rPr>
          <w:rFonts w:ascii="Times New Roman" w:eastAsia="Times New Roman" w:hAnsi="Times New Roman" w:cs="Times New Roman"/>
          <w:sz w:val="24"/>
          <w:szCs w:val="24"/>
        </w:rPr>
        <w:t xml:space="preserve">The </w:t>
      </w:r>
      <w:r w:rsidRPr="00A617CA">
        <w:rPr>
          <w:rFonts w:ascii="Times New Roman" w:eastAsia="Times New Roman" w:hAnsi="Times New Roman" w:cs="Times New Roman"/>
          <w:b/>
          <w:bCs/>
          <w:sz w:val="32"/>
          <w:szCs w:val="32"/>
        </w:rPr>
        <w:t>Seventeenth of Tammuz</w:t>
      </w:r>
      <w:r w:rsidRPr="00A617CA">
        <w:rPr>
          <w:rFonts w:ascii="Times New Roman" w:eastAsia="Times New Roman" w:hAnsi="Times New Roman" w:cs="Times New Roman"/>
          <w:sz w:val="24"/>
          <w:szCs w:val="24"/>
        </w:rPr>
        <w:t xml:space="preserve"> (</w:t>
      </w:r>
      <w:hyperlink r:id="rId35" w:tooltip="Hebrew language" w:history="1">
        <w:r w:rsidRPr="00A617CA">
          <w:rPr>
            <w:rFonts w:ascii="Times New Roman" w:eastAsia="Times New Roman" w:hAnsi="Times New Roman" w:cs="Times New Roman"/>
            <w:sz w:val="24"/>
            <w:szCs w:val="24"/>
          </w:rPr>
          <w:t>Hebrew</w:t>
        </w:r>
      </w:hyperlink>
      <w:r w:rsidRPr="00A617CA">
        <w:rPr>
          <w:rFonts w:ascii="Times New Roman" w:eastAsia="Times New Roman" w:hAnsi="Times New Roman" w:cs="Times New Roman"/>
          <w:sz w:val="24"/>
          <w:szCs w:val="24"/>
        </w:rPr>
        <w:t xml:space="preserve">: </w:t>
      </w:r>
      <w:r w:rsidRPr="00A617CA">
        <w:rPr>
          <w:rFonts w:ascii="Times New Roman" w:eastAsia="Times New Roman" w:hAnsi="Times New Roman" w:cs="Times New Roman" w:hint="cs"/>
          <w:sz w:val="24"/>
          <w:szCs w:val="24"/>
          <w:rtl/>
          <w:lang w:bidi="he-IL"/>
        </w:rPr>
        <w:t>שבעה עשר בתמוז</w:t>
      </w:r>
      <w:r w:rsidRPr="00A617CA">
        <w:rPr>
          <w:rFonts w:ascii="Times New Roman" w:eastAsia="Times New Roman" w:hAnsi="Times New Roman" w:cs="Times New Roman"/>
          <w:sz w:val="24"/>
          <w:szCs w:val="24"/>
        </w:rPr>
        <w:t xml:space="preserve">‎, </w:t>
      </w:r>
      <w:r w:rsidRPr="00A617CA">
        <w:rPr>
          <w:rFonts w:ascii="Times New Roman" w:eastAsia="Times New Roman" w:hAnsi="Times New Roman" w:cs="Times New Roman" w:hint="cs"/>
          <w:i/>
          <w:iCs/>
          <w:sz w:val="24"/>
          <w:szCs w:val="24"/>
          <w:lang w:bidi="he-IL"/>
        </w:rPr>
        <w:t>Shiv'ah Asar b'Tammuz</w:t>
      </w:r>
      <w:r w:rsidRPr="00A617CA">
        <w:rPr>
          <w:rFonts w:ascii="Times New Roman" w:eastAsia="Times New Roman" w:hAnsi="Times New Roman" w:cs="Times New Roman"/>
          <w:sz w:val="24"/>
          <w:szCs w:val="24"/>
        </w:rPr>
        <w:t xml:space="preserve">) is a </w:t>
      </w:r>
      <w:hyperlink r:id="rId36" w:tooltip="Ta'anit" w:history="1">
        <w:r w:rsidRPr="00A617CA">
          <w:rPr>
            <w:rFonts w:ascii="Times New Roman" w:eastAsia="Times New Roman" w:hAnsi="Times New Roman" w:cs="Times New Roman"/>
            <w:sz w:val="24"/>
            <w:szCs w:val="24"/>
          </w:rPr>
          <w:t>Jewish fast day</w:t>
        </w:r>
      </w:hyperlink>
      <w:r w:rsidRPr="00A617CA">
        <w:rPr>
          <w:rFonts w:ascii="Times New Roman" w:eastAsia="Times New Roman" w:hAnsi="Times New Roman" w:cs="Times New Roman"/>
          <w:sz w:val="24"/>
          <w:szCs w:val="24"/>
        </w:rPr>
        <w:t xml:space="preserve"> commemorating the breach of the walls of </w:t>
      </w:r>
      <w:hyperlink r:id="rId37" w:tooltip="Jerusalem" w:history="1">
        <w:r w:rsidRPr="00A617CA">
          <w:rPr>
            <w:rFonts w:ascii="Times New Roman" w:eastAsia="Times New Roman" w:hAnsi="Times New Roman" w:cs="Times New Roman"/>
            <w:sz w:val="24"/>
            <w:szCs w:val="24"/>
          </w:rPr>
          <w:t>Jerusalem</w:t>
        </w:r>
      </w:hyperlink>
      <w:r w:rsidRPr="00A617CA">
        <w:rPr>
          <w:rFonts w:ascii="Times New Roman" w:eastAsia="Times New Roman" w:hAnsi="Times New Roman" w:cs="Times New Roman"/>
          <w:sz w:val="24"/>
          <w:szCs w:val="24"/>
        </w:rPr>
        <w:t xml:space="preserve"> before the destruction of the </w:t>
      </w:r>
      <w:hyperlink r:id="rId38" w:tooltip="Second Temple" w:history="1">
        <w:r w:rsidRPr="00A617CA">
          <w:rPr>
            <w:rFonts w:ascii="Times New Roman" w:eastAsia="Times New Roman" w:hAnsi="Times New Roman" w:cs="Times New Roman"/>
            <w:sz w:val="24"/>
            <w:szCs w:val="24"/>
          </w:rPr>
          <w:t>Second Temple</w:t>
        </w:r>
      </w:hyperlink>
      <w:r w:rsidRPr="00A617CA">
        <w:rPr>
          <w:rFonts w:ascii="Times New Roman" w:eastAsia="Times New Roman" w:hAnsi="Times New Roman" w:cs="Times New Roman"/>
          <w:sz w:val="24"/>
          <w:szCs w:val="24"/>
        </w:rPr>
        <w:t xml:space="preserve">. It falls on the seventeenth day of the </w:t>
      </w:r>
      <w:hyperlink r:id="rId39" w:tooltip="Hebrew calendar" w:history="1">
        <w:r w:rsidRPr="00A617CA">
          <w:rPr>
            <w:rFonts w:ascii="Times New Roman" w:eastAsia="Times New Roman" w:hAnsi="Times New Roman" w:cs="Times New Roman"/>
            <w:sz w:val="24"/>
            <w:szCs w:val="24"/>
          </w:rPr>
          <w:t>Hebrew month</w:t>
        </w:r>
      </w:hyperlink>
      <w:r w:rsidRPr="00A617CA">
        <w:rPr>
          <w:rFonts w:ascii="Times New Roman" w:eastAsia="Times New Roman" w:hAnsi="Times New Roman" w:cs="Times New Roman"/>
          <w:sz w:val="24"/>
          <w:szCs w:val="24"/>
        </w:rPr>
        <w:t xml:space="preserve"> of </w:t>
      </w:r>
      <w:hyperlink r:id="rId40" w:tooltip="Tammuz (Hebrew month)" w:history="1">
        <w:r w:rsidRPr="00A617CA">
          <w:rPr>
            <w:rFonts w:ascii="Times New Roman" w:eastAsia="Times New Roman" w:hAnsi="Times New Roman" w:cs="Times New Roman"/>
            <w:sz w:val="24"/>
            <w:szCs w:val="24"/>
          </w:rPr>
          <w:t>Tammuz</w:t>
        </w:r>
      </w:hyperlink>
      <w:r w:rsidRPr="00A617CA">
        <w:rPr>
          <w:rFonts w:ascii="Times New Roman" w:eastAsia="Times New Roman" w:hAnsi="Times New Roman" w:cs="Times New Roman"/>
          <w:sz w:val="24"/>
          <w:szCs w:val="24"/>
        </w:rPr>
        <w:t xml:space="preserve"> and marks the beginning of the </w:t>
      </w:r>
      <w:hyperlink r:id="rId41" w:tooltip="Three Weeks" w:history="1">
        <w:r w:rsidRPr="00A617CA">
          <w:rPr>
            <w:rFonts w:ascii="Times New Roman" w:eastAsia="Times New Roman" w:hAnsi="Times New Roman" w:cs="Times New Roman"/>
            <w:sz w:val="24"/>
            <w:szCs w:val="24"/>
          </w:rPr>
          <w:t>three-week</w:t>
        </w:r>
      </w:hyperlink>
      <w:r w:rsidRPr="00A617CA">
        <w:rPr>
          <w:rFonts w:ascii="Times New Roman" w:eastAsia="Times New Roman" w:hAnsi="Times New Roman" w:cs="Times New Roman"/>
          <w:sz w:val="24"/>
          <w:szCs w:val="24"/>
        </w:rPr>
        <w:t xml:space="preserve"> mourning period leading up to </w:t>
      </w:r>
      <w:hyperlink r:id="rId42" w:tooltip="Tisha B'Av" w:history="1">
        <w:r w:rsidRPr="00A617CA">
          <w:rPr>
            <w:rFonts w:ascii="Times New Roman" w:eastAsia="Times New Roman" w:hAnsi="Times New Roman" w:cs="Times New Roman"/>
            <w:sz w:val="24"/>
            <w:szCs w:val="24"/>
          </w:rPr>
          <w:t>Tisha B'Av</w:t>
        </w:r>
      </w:hyperlink>
      <w:r w:rsidRPr="00A617CA">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tblPr>
      <w:tblGrid>
        <w:gridCol w:w="10890"/>
      </w:tblGrid>
      <w:tr w:rsidR="007E7EB8" w:rsidRPr="00A617CA" w:rsidTr="008A0CEA">
        <w:trPr>
          <w:tblCellSpacing w:w="15" w:type="dxa"/>
        </w:trPr>
        <w:tc>
          <w:tcPr>
            <w:tcW w:w="0" w:type="auto"/>
            <w:vAlign w:val="center"/>
            <w:hideMark/>
          </w:tcPr>
          <w:p w:rsidR="007E7EB8" w:rsidRPr="00A617CA" w:rsidRDefault="007E7EB8" w:rsidP="007E7EB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17CA">
              <w:rPr>
                <w:rFonts w:ascii="Times New Roman" w:eastAsia="Times New Roman" w:hAnsi="Times New Roman" w:cs="Times New Roman"/>
                <w:sz w:val="24"/>
                <w:szCs w:val="24"/>
              </w:rPr>
              <w:t xml:space="preserve">The day also commemorates the destruction of the Twin Tablets of the </w:t>
            </w:r>
            <w:hyperlink r:id="rId43" w:tooltip="Ten Commandments" w:history="1">
              <w:r w:rsidRPr="00A617CA">
                <w:rPr>
                  <w:rFonts w:ascii="Times New Roman" w:eastAsia="Times New Roman" w:hAnsi="Times New Roman" w:cs="Times New Roman"/>
                  <w:sz w:val="24"/>
                  <w:szCs w:val="24"/>
                </w:rPr>
                <w:t>Ten Commandments</w:t>
              </w:r>
            </w:hyperlink>
            <w:r w:rsidRPr="00A617CA">
              <w:rPr>
                <w:rFonts w:ascii="Times New Roman" w:eastAsia="Times New Roman" w:hAnsi="Times New Roman" w:cs="Times New Roman"/>
                <w:sz w:val="24"/>
                <w:szCs w:val="24"/>
              </w:rPr>
              <w:t xml:space="preserve">. The Seventeenth of Tammuz occurs forty days following the holiday of Shavuot. Moses ascended Mount Sinai and remained up there those forty days. The Children of Israel built the </w:t>
            </w:r>
            <w:hyperlink r:id="rId44" w:tooltip="Golden Calf" w:history="1">
              <w:r w:rsidRPr="00A617CA">
                <w:rPr>
                  <w:rFonts w:ascii="Times New Roman" w:eastAsia="Times New Roman" w:hAnsi="Times New Roman" w:cs="Times New Roman"/>
                  <w:sz w:val="24"/>
                  <w:szCs w:val="24"/>
                </w:rPr>
                <w:t>Golden Calf</w:t>
              </w:r>
            </w:hyperlink>
            <w:r w:rsidRPr="00A617CA">
              <w:rPr>
                <w:rFonts w:ascii="Times New Roman" w:eastAsia="Times New Roman" w:hAnsi="Times New Roman" w:cs="Times New Roman"/>
                <w:sz w:val="24"/>
                <w:szCs w:val="24"/>
              </w:rPr>
              <w:t xml:space="preserve"> on the afternoon of the sixteenth of Tammuz when it seemed that Moses was not coming down when promised. Moses descended the next day (forty days by his count), saw that the Israelites were violating many of the laws he had received, and smashed the tablets.</w:t>
            </w:r>
          </w:p>
        </w:tc>
      </w:tr>
    </w:tbl>
    <w:p w:rsidR="007E7EB8" w:rsidRDefault="007E7EB8" w:rsidP="007E7EB8">
      <w:pPr>
        <w:spacing w:before="100" w:beforeAutospacing="1" w:after="100" w:afterAutospacing="1" w:line="240" w:lineRule="auto"/>
        <w:rPr>
          <w:rFonts w:ascii="Times New Roman" w:eastAsia="Times New Roman" w:hAnsi="Times New Roman" w:cs="Times New Roman"/>
          <w:sz w:val="24"/>
          <w:szCs w:val="24"/>
        </w:rPr>
      </w:pPr>
      <w:r w:rsidRPr="00A617CA">
        <w:rPr>
          <w:rFonts w:ascii="Times New Roman" w:eastAsia="Times New Roman" w:hAnsi="Times New Roman" w:cs="Times New Roman"/>
          <w:sz w:val="24"/>
          <w:szCs w:val="24"/>
        </w:rPr>
        <w:t xml:space="preserve">The 17th of Tammuz is mentioned in the </w:t>
      </w:r>
      <w:hyperlink r:id="rId45" w:tooltip="Book of Zechariah" w:history="1">
        <w:r w:rsidRPr="00A617CA">
          <w:rPr>
            <w:rFonts w:ascii="Times New Roman" w:eastAsia="Times New Roman" w:hAnsi="Times New Roman" w:cs="Times New Roman"/>
            <w:sz w:val="24"/>
            <w:szCs w:val="24"/>
          </w:rPr>
          <w:t>Book of Zechariah</w:t>
        </w:r>
      </w:hyperlink>
      <w:r w:rsidRPr="00A617CA">
        <w:rPr>
          <w:rFonts w:ascii="Times New Roman" w:eastAsia="Times New Roman" w:hAnsi="Times New Roman" w:cs="Times New Roman"/>
          <w:sz w:val="24"/>
          <w:szCs w:val="24"/>
        </w:rPr>
        <w:t xml:space="preserve"> as "the fast of the fourth month." </w:t>
      </w:r>
    </w:p>
    <w:p w:rsidR="007E7EB8" w:rsidRPr="00A617CA" w:rsidRDefault="007E7EB8" w:rsidP="007E7EB8">
      <w:pPr>
        <w:spacing w:before="100" w:beforeAutospacing="1" w:after="100" w:afterAutospacing="1" w:line="240" w:lineRule="auto"/>
        <w:rPr>
          <w:rFonts w:ascii="Times New Roman" w:eastAsia="Times New Roman" w:hAnsi="Times New Roman" w:cs="Times New Roman"/>
          <w:sz w:val="24"/>
          <w:szCs w:val="24"/>
        </w:rPr>
      </w:pPr>
      <w:r w:rsidRPr="00A617CA">
        <w:rPr>
          <w:rFonts w:ascii="Times New Roman" w:eastAsia="Times New Roman" w:hAnsi="Times New Roman" w:cs="Times New Roman"/>
          <w:sz w:val="24"/>
          <w:szCs w:val="24"/>
        </w:rPr>
        <w:t xml:space="preserve">According to the </w:t>
      </w:r>
      <w:hyperlink r:id="rId46" w:tooltip="Mishnah" w:history="1">
        <w:r w:rsidRPr="00A617CA">
          <w:rPr>
            <w:rFonts w:ascii="Times New Roman" w:eastAsia="Times New Roman" w:hAnsi="Times New Roman" w:cs="Times New Roman"/>
            <w:sz w:val="24"/>
            <w:szCs w:val="24"/>
          </w:rPr>
          <w:t>Mishnah</w:t>
        </w:r>
      </w:hyperlink>
      <w:r w:rsidRPr="00A617CA">
        <w:rPr>
          <w:rFonts w:ascii="Times New Roman" w:eastAsia="Times New Roman" w:hAnsi="Times New Roman" w:cs="Times New Roman"/>
          <w:sz w:val="24"/>
          <w:szCs w:val="24"/>
        </w:rPr>
        <w:t xml:space="preserve"> (</w:t>
      </w:r>
      <w:hyperlink r:id="rId47" w:tooltip="Ta'anit (Talmud)" w:history="1">
        <w:r w:rsidRPr="00A617CA">
          <w:rPr>
            <w:rFonts w:ascii="Times New Roman" w:eastAsia="Times New Roman" w:hAnsi="Times New Roman" w:cs="Times New Roman"/>
            <w:i/>
            <w:iCs/>
            <w:sz w:val="24"/>
            <w:szCs w:val="24"/>
          </w:rPr>
          <w:t>Taanit</w:t>
        </w:r>
      </w:hyperlink>
      <w:r w:rsidRPr="00A617CA">
        <w:rPr>
          <w:rFonts w:ascii="Times New Roman" w:eastAsia="Times New Roman" w:hAnsi="Times New Roman" w:cs="Times New Roman"/>
          <w:sz w:val="24"/>
          <w:szCs w:val="24"/>
        </w:rPr>
        <w:t xml:space="preserve"> </w:t>
      </w:r>
      <w:hyperlink r:id="rId48" w:history="1">
        <w:r w:rsidRPr="00A617CA">
          <w:rPr>
            <w:rFonts w:ascii="Times New Roman" w:eastAsia="Times New Roman" w:hAnsi="Times New Roman" w:cs="Times New Roman"/>
            <w:sz w:val="24"/>
            <w:szCs w:val="24"/>
          </w:rPr>
          <w:t>4:6</w:t>
        </w:r>
      </w:hyperlink>
      <w:r w:rsidRPr="00A617CA">
        <w:rPr>
          <w:rFonts w:ascii="Times New Roman" w:eastAsia="Times New Roman" w:hAnsi="Times New Roman" w:cs="Times New Roman"/>
          <w:sz w:val="24"/>
          <w:szCs w:val="24"/>
        </w:rPr>
        <w:t xml:space="preserve"> ) five calamities befell the Jewish people on this day:</w:t>
      </w:r>
    </w:p>
    <w:p w:rsidR="007E7EB8" w:rsidRPr="00A617CA" w:rsidRDefault="007E7EB8" w:rsidP="007E7EB8">
      <w:pPr>
        <w:numPr>
          <w:ilvl w:val="0"/>
          <w:numId w:val="20"/>
        </w:numPr>
        <w:spacing w:before="100" w:beforeAutospacing="1" w:after="100" w:afterAutospacing="1" w:line="240" w:lineRule="auto"/>
        <w:rPr>
          <w:rFonts w:ascii="Times New Roman" w:eastAsia="Times New Roman" w:hAnsi="Times New Roman" w:cs="Times New Roman"/>
          <w:sz w:val="24"/>
          <w:szCs w:val="24"/>
        </w:rPr>
      </w:pPr>
      <w:hyperlink r:id="rId49" w:tooltip="Moses" w:history="1">
        <w:r w:rsidRPr="00A617CA">
          <w:rPr>
            <w:rFonts w:ascii="Times New Roman" w:eastAsia="Times New Roman" w:hAnsi="Times New Roman" w:cs="Times New Roman"/>
            <w:sz w:val="24"/>
            <w:szCs w:val="24"/>
          </w:rPr>
          <w:t>Mos</w:t>
        </w:r>
      </w:hyperlink>
      <w:r>
        <w:rPr>
          <w:rFonts w:ascii="Times New Roman" w:eastAsia="Times New Roman" w:hAnsi="Times New Roman" w:cs="Times New Roman"/>
          <w:sz w:val="24"/>
          <w:szCs w:val="24"/>
        </w:rPr>
        <w:t>he</w:t>
      </w:r>
      <w:r w:rsidRPr="00A617CA">
        <w:rPr>
          <w:rFonts w:ascii="Times New Roman" w:eastAsia="Times New Roman" w:hAnsi="Times New Roman" w:cs="Times New Roman"/>
          <w:sz w:val="24"/>
          <w:szCs w:val="24"/>
        </w:rPr>
        <w:t xml:space="preserve"> broke the two </w:t>
      </w:r>
      <w:hyperlink r:id="rId50" w:tooltip="Tablets of stone" w:history="1">
        <w:r w:rsidRPr="00A617CA">
          <w:rPr>
            <w:rFonts w:ascii="Times New Roman" w:eastAsia="Times New Roman" w:hAnsi="Times New Roman" w:cs="Times New Roman"/>
            <w:sz w:val="24"/>
            <w:szCs w:val="24"/>
          </w:rPr>
          <w:t>tablets of stone</w:t>
        </w:r>
      </w:hyperlink>
      <w:r w:rsidRPr="00A617CA">
        <w:rPr>
          <w:rFonts w:ascii="Times New Roman" w:eastAsia="Times New Roman" w:hAnsi="Times New Roman" w:cs="Times New Roman"/>
          <w:sz w:val="24"/>
          <w:szCs w:val="24"/>
        </w:rPr>
        <w:t xml:space="preserve"> on </w:t>
      </w:r>
      <w:hyperlink r:id="rId51" w:tooltip="Mount Sinai" w:history="1">
        <w:r w:rsidRPr="00A617CA">
          <w:rPr>
            <w:rFonts w:ascii="Times New Roman" w:eastAsia="Times New Roman" w:hAnsi="Times New Roman" w:cs="Times New Roman"/>
            <w:sz w:val="24"/>
            <w:szCs w:val="24"/>
          </w:rPr>
          <w:t>Mount Sinai</w:t>
        </w:r>
      </w:hyperlink>
      <w:r w:rsidRPr="00A617CA">
        <w:rPr>
          <w:rFonts w:ascii="Times New Roman" w:eastAsia="Times New Roman" w:hAnsi="Times New Roman" w:cs="Times New Roman"/>
          <w:sz w:val="24"/>
          <w:szCs w:val="24"/>
        </w:rPr>
        <w:t xml:space="preserve">; </w:t>
      </w:r>
    </w:p>
    <w:p w:rsidR="007E7EB8" w:rsidRPr="00A617CA" w:rsidRDefault="007E7EB8" w:rsidP="007E7EB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17CA">
        <w:rPr>
          <w:rFonts w:ascii="Times New Roman" w:eastAsia="Times New Roman" w:hAnsi="Times New Roman" w:cs="Times New Roman"/>
          <w:sz w:val="24"/>
          <w:szCs w:val="24"/>
        </w:rPr>
        <w:t xml:space="preserve">The daily </w:t>
      </w:r>
      <w:hyperlink r:id="rId52" w:tooltip="Korban" w:history="1">
        <w:r w:rsidRPr="00A617CA">
          <w:rPr>
            <w:rFonts w:ascii="Times New Roman" w:eastAsia="Times New Roman" w:hAnsi="Times New Roman" w:cs="Times New Roman"/>
            <w:i/>
            <w:iCs/>
            <w:sz w:val="24"/>
            <w:szCs w:val="24"/>
          </w:rPr>
          <w:t>tamid</w:t>
        </w:r>
        <w:r w:rsidRPr="00A617CA">
          <w:rPr>
            <w:rFonts w:ascii="Times New Roman" w:eastAsia="Times New Roman" w:hAnsi="Times New Roman" w:cs="Times New Roman"/>
            <w:sz w:val="24"/>
            <w:szCs w:val="24"/>
          </w:rPr>
          <w:t xml:space="preserve"> offering</w:t>
        </w:r>
      </w:hyperlink>
      <w:r w:rsidRPr="00A617CA">
        <w:rPr>
          <w:rFonts w:ascii="Times New Roman" w:eastAsia="Times New Roman" w:hAnsi="Times New Roman" w:cs="Times New Roman"/>
          <w:sz w:val="24"/>
          <w:szCs w:val="24"/>
        </w:rPr>
        <w:t xml:space="preserve"> ceased to be brought; </w:t>
      </w:r>
    </w:p>
    <w:p w:rsidR="007E7EB8" w:rsidRPr="00A617CA" w:rsidRDefault="007E7EB8" w:rsidP="007E7EB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17CA">
        <w:rPr>
          <w:rFonts w:ascii="Times New Roman" w:eastAsia="Times New Roman" w:hAnsi="Times New Roman" w:cs="Times New Roman"/>
          <w:sz w:val="24"/>
          <w:szCs w:val="24"/>
        </w:rPr>
        <w:t xml:space="preserve">The walls of </w:t>
      </w:r>
      <w:hyperlink r:id="rId53" w:tooltip="Jerusalem" w:history="1">
        <w:r w:rsidRPr="00A617CA">
          <w:rPr>
            <w:rFonts w:ascii="Times New Roman" w:eastAsia="Times New Roman" w:hAnsi="Times New Roman" w:cs="Times New Roman"/>
            <w:sz w:val="24"/>
            <w:szCs w:val="24"/>
          </w:rPr>
          <w:t>Jerusalem</w:t>
        </w:r>
      </w:hyperlink>
      <w:r w:rsidRPr="00A617CA">
        <w:rPr>
          <w:rFonts w:ascii="Times New Roman" w:eastAsia="Times New Roman" w:hAnsi="Times New Roman" w:cs="Times New Roman"/>
          <w:sz w:val="24"/>
          <w:szCs w:val="24"/>
        </w:rPr>
        <w:t xml:space="preserve"> were breached (proceeding to the destruction of the </w:t>
      </w:r>
      <w:hyperlink r:id="rId54" w:tooltip="Second Temple" w:history="1">
        <w:r w:rsidRPr="00A617CA">
          <w:rPr>
            <w:rFonts w:ascii="Times New Roman" w:eastAsia="Times New Roman" w:hAnsi="Times New Roman" w:cs="Times New Roman"/>
            <w:sz w:val="24"/>
            <w:szCs w:val="24"/>
          </w:rPr>
          <w:t>Temple</w:t>
        </w:r>
      </w:hyperlink>
      <w:r w:rsidRPr="00A617CA">
        <w:rPr>
          <w:rFonts w:ascii="Times New Roman" w:eastAsia="Times New Roman" w:hAnsi="Times New Roman" w:cs="Times New Roman"/>
          <w:sz w:val="24"/>
          <w:szCs w:val="24"/>
        </w:rPr>
        <w:t xml:space="preserve">); </w:t>
      </w:r>
    </w:p>
    <w:p w:rsidR="007E7EB8" w:rsidRPr="00A617CA" w:rsidRDefault="007E7EB8" w:rsidP="007E7EB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17CA">
        <w:rPr>
          <w:rFonts w:ascii="Times New Roman" w:eastAsia="Times New Roman" w:hAnsi="Times New Roman" w:cs="Times New Roman"/>
          <w:sz w:val="24"/>
          <w:szCs w:val="24"/>
        </w:rPr>
        <w:t xml:space="preserve">Prior to </w:t>
      </w:r>
      <w:hyperlink r:id="rId55" w:tooltip="Bar Kokhba's revolt" w:history="1">
        <w:r w:rsidRPr="00A617CA">
          <w:rPr>
            <w:rFonts w:ascii="Times New Roman" w:eastAsia="Times New Roman" w:hAnsi="Times New Roman" w:cs="Times New Roman"/>
            <w:sz w:val="24"/>
            <w:szCs w:val="24"/>
          </w:rPr>
          <w:t>Bar Kokhba's revolt</w:t>
        </w:r>
      </w:hyperlink>
      <w:r w:rsidRPr="00A617CA">
        <w:rPr>
          <w:rFonts w:ascii="Times New Roman" w:eastAsia="Times New Roman" w:hAnsi="Times New Roman" w:cs="Times New Roman"/>
          <w:sz w:val="24"/>
          <w:szCs w:val="24"/>
        </w:rPr>
        <w:t xml:space="preserve">, Roman military leader </w:t>
      </w:r>
      <w:hyperlink r:id="rId56" w:tooltip="Apostomus" w:history="1">
        <w:r w:rsidRPr="00A617CA">
          <w:rPr>
            <w:rFonts w:ascii="Times New Roman" w:eastAsia="Times New Roman" w:hAnsi="Times New Roman" w:cs="Times New Roman"/>
            <w:sz w:val="24"/>
            <w:szCs w:val="24"/>
          </w:rPr>
          <w:t>Apostomus</w:t>
        </w:r>
      </w:hyperlink>
      <w:r w:rsidRPr="00A617CA">
        <w:rPr>
          <w:rFonts w:ascii="Times New Roman" w:eastAsia="Times New Roman" w:hAnsi="Times New Roman" w:cs="Times New Roman"/>
          <w:sz w:val="24"/>
          <w:szCs w:val="24"/>
        </w:rPr>
        <w:t xml:space="preserve"> burned a </w:t>
      </w:r>
      <w:hyperlink r:id="rId57" w:tooltip="Torah" w:history="1">
        <w:r w:rsidRPr="00A617CA">
          <w:rPr>
            <w:rFonts w:ascii="Times New Roman" w:eastAsia="Times New Roman" w:hAnsi="Times New Roman" w:cs="Times New Roman"/>
            <w:sz w:val="24"/>
            <w:szCs w:val="24"/>
          </w:rPr>
          <w:t>Torah</w:t>
        </w:r>
      </w:hyperlink>
      <w:r w:rsidRPr="00A617CA">
        <w:rPr>
          <w:rFonts w:ascii="Times New Roman" w:eastAsia="Times New Roman" w:hAnsi="Times New Roman" w:cs="Times New Roman"/>
          <w:sz w:val="24"/>
          <w:szCs w:val="24"/>
        </w:rPr>
        <w:t xml:space="preserve"> scroll; </w:t>
      </w:r>
    </w:p>
    <w:p w:rsidR="007E7EB8" w:rsidRPr="00A617CA" w:rsidRDefault="007E7EB8" w:rsidP="007E7EB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17CA">
        <w:rPr>
          <w:rFonts w:ascii="Times New Roman" w:eastAsia="Times New Roman" w:hAnsi="Times New Roman" w:cs="Times New Roman"/>
          <w:sz w:val="24"/>
          <w:szCs w:val="24"/>
        </w:rPr>
        <w:t xml:space="preserve">An idol was erected in the Temple. </w:t>
      </w:r>
    </w:p>
    <w:p w:rsidR="007E7EB8" w:rsidRPr="00A617CA" w:rsidRDefault="007E7EB8" w:rsidP="007E7EB8">
      <w:pPr>
        <w:spacing w:before="100" w:beforeAutospacing="1" w:after="100" w:afterAutospacing="1" w:line="240" w:lineRule="auto"/>
        <w:rPr>
          <w:rFonts w:ascii="Times New Roman" w:eastAsia="Times New Roman" w:hAnsi="Times New Roman" w:cs="Times New Roman"/>
          <w:sz w:val="24"/>
          <w:szCs w:val="24"/>
        </w:rPr>
      </w:pPr>
      <w:r w:rsidRPr="00A617CA">
        <w:rPr>
          <w:rFonts w:ascii="Times New Roman" w:eastAsia="Times New Roman" w:hAnsi="Times New Roman" w:cs="Times New Roman"/>
          <w:sz w:val="24"/>
          <w:szCs w:val="24"/>
        </w:rPr>
        <w:t xml:space="preserve">The </w:t>
      </w:r>
      <w:hyperlink r:id="rId58" w:tooltip="Talmud" w:history="1">
        <w:r w:rsidRPr="00A617CA">
          <w:rPr>
            <w:rFonts w:ascii="Times New Roman" w:eastAsia="Times New Roman" w:hAnsi="Times New Roman" w:cs="Times New Roman"/>
            <w:sz w:val="24"/>
            <w:szCs w:val="24"/>
          </w:rPr>
          <w:t>Babylonian Talmud</w:t>
        </w:r>
      </w:hyperlink>
      <w:r w:rsidRPr="00A617CA">
        <w:rPr>
          <w:rFonts w:ascii="Times New Roman" w:eastAsia="Times New Roman" w:hAnsi="Times New Roman" w:cs="Times New Roman"/>
          <w:sz w:val="24"/>
          <w:szCs w:val="24"/>
        </w:rPr>
        <w:t xml:space="preserve"> (</w:t>
      </w:r>
      <w:hyperlink r:id="rId59" w:tooltip="Ta'anit (Talmud)" w:history="1">
        <w:r w:rsidRPr="00A617CA">
          <w:rPr>
            <w:rFonts w:ascii="Times New Roman" w:eastAsia="Times New Roman" w:hAnsi="Times New Roman" w:cs="Times New Roman"/>
            <w:i/>
            <w:iCs/>
            <w:sz w:val="24"/>
            <w:szCs w:val="24"/>
          </w:rPr>
          <w:t>Taanit</w:t>
        </w:r>
      </w:hyperlink>
      <w:r w:rsidRPr="00A617CA">
        <w:rPr>
          <w:rFonts w:ascii="Times New Roman" w:eastAsia="Times New Roman" w:hAnsi="Times New Roman" w:cs="Times New Roman"/>
          <w:sz w:val="24"/>
          <w:szCs w:val="24"/>
        </w:rPr>
        <w:t xml:space="preserve"> 28b) places the second and fifth tragedies in the </w:t>
      </w:r>
      <w:hyperlink r:id="rId60" w:tooltip="First Temple" w:history="1">
        <w:r w:rsidRPr="00A617CA">
          <w:rPr>
            <w:rFonts w:ascii="Times New Roman" w:eastAsia="Times New Roman" w:hAnsi="Times New Roman" w:cs="Times New Roman"/>
            <w:sz w:val="24"/>
            <w:szCs w:val="24"/>
          </w:rPr>
          <w:t>First Temple</w:t>
        </w:r>
      </w:hyperlink>
      <w:r w:rsidRPr="00A617CA">
        <w:rPr>
          <w:rFonts w:ascii="Times New Roman" w:eastAsia="Times New Roman" w:hAnsi="Times New Roman" w:cs="Times New Roman"/>
          <w:sz w:val="24"/>
          <w:szCs w:val="24"/>
        </w:rPr>
        <w:t xml:space="preserve">, while dating the third tragedy (breach of Jerusalem) to the </w:t>
      </w:r>
      <w:hyperlink r:id="rId61" w:tooltip="Second Temple" w:history="1">
        <w:r w:rsidRPr="00A617CA">
          <w:rPr>
            <w:rFonts w:ascii="Times New Roman" w:eastAsia="Times New Roman" w:hAnsi="Times New Roman" w:cs="Times New Roman"/>
            <w:sz w:val="24"/>
            <w:szCs w:val="24"/>
          </w:rPr>
          <w:t>Second Temple</w:t>
        </w:r>
      </w:hyperlink>
      <w:r w:rsidRPr="00A617CA">
        <w:rPr>
          <w:rFonts w:ascii="Times New Roman" w:eastAsia="Times New Roman" w:hAnsi="Times New Roman" w:cs="Times New Roman"/>
          <w:sz w:val="24"/>
          <w:szCs w:val="24"/>
        </w:rPr>
        <w:t xml:space="preserve"> period.</w:t>
      </w:r>
    </w:p>
    <w:p w:rsidR="007E7EB8" w:rsidRPr="00A617CA" w:rsidRDefault="007E7EB8" w:rsidP="007E7EB8">
      <w:pPr>
        <w:spacing w:before="100" w:beforeAutospacing="1" w:after="100" w:afterAutospacing="1" w:line="240" w:lineRule="auto"/>
        <w:rPr>
          <w:rFonts w:ascii="Times New Roman" w:eastAsia="Times New Roman" w:hAnsi="Times New Roman" w:cs="Times New Roman"/>
          <w:sz w:val="24"/>
          <w:szCs w:val="24"/>
        </w:rPr>
      </w:pPr>
      <w:r w:rsidRPr="00A617CA">
        <w:rPr>
          <w:rFonts w:ascii="Times New Roman" w:eastAsia="Times New Roman" w:hAnsi="Times New Roman" w:cs="Times New Roman"/>
          <w:sz w:val="24"/>
          <w:szCs w:val="24"/>
        </w:rPr>
        <w:t xml:space="preserve">Jerusalem of the First Temple, on the other hand, was breached on the 9th of Tammuz (cf. </w:t>
      </w:r>
      <w:hyperlink r:id="rId62" w:tooltip="Book of Jeremiah" w:history="1">
        <w:r w:rsidRPr="00A617CA">
          <w:rPr>
            <w:rFonts w:ascii="Times New Roman" w:eastAsia="Times New Roman" w:hAnsi="Times New Roman" w:cs="Times New Roman"/>
            <w:sz w:val="24"/>
            <w:szCs w:val="24"/>
          </w:rPr>
          <w:t>Jeremiah</w:t>
        </w:r>
      </w:hyperlink>
      <w:r w:rsidRPr="00A617CA">
        <w:rPr>
          <w:rFonts w:ascii="Times New Roman" w:eastAsia="Times New Roman" w:hAnsi="Times New Roman" w:cs="Times New Roman"/>
          <w:sz w:val="24"/>
          <w:szCs w:val="24"/>
        </w:rPr>
        <w:t xml:space="preserve"> 52.6-7). However, the </w:t>
      </w:r>
      <w:hyperlink r:id="rId63" w:tooltip="Jerusalem Talmud" w:history="1">
        <w:r w:rsidRPr="00A617CA">
          <w:rPr>
            <w:rFonts w:ascii="Times New Roman" w:eastAsia="Times New Roman" w:hAnsi="Times New Roman" w:cs="Times New Roman"/>
            <w:sz w:val="24"/>
            <w:szCs w:val="24"/>
          </w:rPr>
          <w:t>Jerusalem Talmud</w:t>
        </w:r>
      </w:hyperlink>
      <w:r w:rsidRPr="00A617CA">
        <w:rPr>
          <w:rFonts w:ascii="Times New Roman" w:eastAsia="Times New Roman" w:hAnsi="Times New Roman" w:cs="Times New Roman"/>
          <w:sz w:val="24"/>
          <w:szCs w:val="24"/>
        </w:rPr>
        <w:t xml:space="preserve"> (</w:t>
      </w:r>
      <w:hyperlink r:id="rId64" w:tooltip="Ta'anit (Talmud)" w:history="1">
        <w:r w:rsidRPr="00A617CA">
          <w:rPr>
            <w:rFonts w:ascii="Times New Roman" w:eastAsia="Times New Roman" w:hAnsi="Times New Roman" w:cs="Times New Roman"/>
            <w:i/>
            <w:iCs/>
            <w:sz w:val="24"/>
            <w:szCs w:val="24"/>
          </w:rPr>
          <w:t>Taanit</w:t>
        </w:r>
      </w:hyperlink>
      <w:r w:rsidRPr="00A617CA">
        <w:rPr>
          <w:rFonts w:ascii="Times New Roman" w:eastAsia="Times New Roman" w:hAnsi="Times New Roman" w:cs="Times New Roman"/>
          <w:sz w:val="24"/>
          <w:szCs w:val="24"/>
        </w:rPr>
        <w:t xml:space="preserve"> IV,4) says that the breach of Jerusalem in the First Temple occurred on the 17th Tammuz as well; the text in Jeremiah 52 is explained by stating that the Biblical record was "distorted", apparently due to the troubled times. </w:t>
      </w:r>
    </w:p>
    <w:p w:rsidR="007E7EB8" w:rsidRDefault="007E7EB8"/>
    <w:p w:rsidR="007E7EB8" w:rsidRDefault="007E7EB8"/>
    <w:p w:rsidR="007E7EB8" w:rsidRDefault="007E7EB8"/>
    <w:p w:rsidR="007E7EB8" w:rsidRDefault="007E7EB8"/>
    <w:p w:rsidR="007E7EB8" w:rsidRDefault="007E7EB8" w:rsidP="007E7EB8">
      <w:pPr>
        <w:rPr>
          <w:rFonts w:asciiTheme="majorHAnsi" w:hAnsiTheme="majorHAnsi"/>
          <w:b/>
          <w:bCs/>
          <w:sz w:val="56"/>
          <w:szCs w:val="56"/>
        </w:rPr>
      </w:pPr>
      <w:r w:rsidRPr="00DB6BED">
        <w:rPr>
          <w:rFonts w:asciiTheme="majorHAnsi" w:hAnsiTheme="majorHAnsi"/>
          <w:b/>
          <w:noProof/>
          <w:sz w:val="56"/>
          <w:szCs w:val="56"/>
        </w:rPr>
        <w:lastRenderedPageBreak/>
        <w:drawing>
          <wp:anchor distT="0" distB="0" distL="114300" distR="114300" simplePos="0" relativeHeight="251659264" behindDoc="0" locked="0" layoutInCell="1" allowOverlap="1">
            <wp:simplePos x="0" y="0"/>
            <wp:positionH relativeFrom="column">
              <wp:posOffset>3124200</wp:posOffset>
            </wp:positionH>
            <wp:positionV relativeFrom="paragraph">
              <wp:posOffset>-57150</wp:posOffset>
            </wp:positionV>
            <wp:extent cx="2857500" cy="3362325"/>
            <wp:effectExtent l="19050" t="0" r="0" b="0"/>
            <wp:wrapThrough wrapText="bothSides">
              <wp:wrapPolygon edited="0">
                <wp:start x="-144" y="0"/>
                <wp:lineTo x="-144" y="21539"/>
                <wp:lineTo x="21600" y="21539"/>
                <wp:lineTo x="21600" y="0"/>
                <wp:lineTo x="-144" y="0"/>
              </wp:wrapPolygon>
            </wp:wrapThrough>
            <wp:docPr id="4" name="Picture 1" descr="http://upload.wikimedia.org/wikipedia/commons/thumb/b/b9/Early-Historical-Israel-Dan-Beersheba-Judea-Corrected.png/300px-Early-Historical-Israel-Dan-Beersheba-Judea-Corrected.png">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b/b9/Early-Historical-Israel-Dan-Beersheba-Judea-Corrected.png/300px-Early-Historical-Israel-Dan-Beersheba-Judea-Corrected.png">
                      <a:hlinkClick r:id="rId65"/>
                    </pic:cNvPr>
                    <pic:cNvPicPr>
                      <a:picLocks noChangeAspect="1" noChangeArrowheads="1"/>
                    </pic:cNvPicPr>
                  </pic:nvPicPr>
                  <pic:blipFill>
                    <a:blip r:embed="rId66" cstate="print"/>
                    <a:srcRect/>
                    <a:stretch>
                      <a:fillRect/>
                    </a:stretch>
                  </pic:blipFill>
                  <pic:spPr bwMode="auto">
                    <a:xfrm>
                      <a:off x="0" y="0"/>
                      <a:ext cx="2857500" cy="3362325"/>
                    </a:xfrm>
                    <a:prstGeom prst="rect">
                      <a:avLst/>
                    </a:prstGeom>
                    <a:noFill/>
                    <a:ln w="9525">
                      <a:noFill/>
                      <a:miter lim="800000"/>
                      <a:headEnd/>
                      <a:tailEnd/>
                    </a:ln>
                  </pic:spPr>
                </pic:pic>
              </a:graphicData>
            </a:graphic>
          </wp:anchor>
        </w:drawing>
      </w:r>
      <w:r w:rsidRPr="00DB6BED">
        <w:rPr>
          <w:rFonts w:asciiTheme="majorHAnsi" w:hAnsiTheme="majorHAnsi"/>
          <w:b/>
          <w:sz w:val="56"/>
          <w:szCs w:val="56"/>
        </w:rPr>
        <w:t xml:space="preserve">The </w:t>
      </w:r>
      <w:r>
        <w:rPr>
          <w:rFonts w:asciiTheme="majorHAnsi" w:hAnsiTheme="majorHAnsi"/>
          <w:b/>
          <w:sz w:val="56"/>
          <w:szCs w:val="56"/>
        </w:rPr>
        <w:t xml:space="preserve">Geographical History  of the </w:t>
      </w:r>
      <w:r w:rsidRPr="00DB6BED">
        <w:rPr>
          <w:rFonts w:asciiTheme="majorHAnsi" w:hAnsiTheme="majorHAnsi"/>
          <w:b/>
          <w:bCs/>
          <w:sz w:val="56"/>
          <w:szCs w:val="56"/>
        </w:rPr>
        <w:t>Land of Israel</w:t>
      </w:r>
    </w:p>
    <w:p w:rsidR="007E7EB8" w:rsidRDefault="007E7EB8" w:rsidP="007E7EB8">
      <w:r w:rsidRPr="00DB6BED">
        <w:t xml:space="preserve"> (Hebrew: </w:t>
      </w:r>
      <w:r w:rsidRPr="00DB6BED">
        <w:rPr>
          <w:rFonts w:cs="David" w:hint="cs"/>
          <w:sz w:val="30"/>
          <w:szCs w:val="30"/>
          <w:rtl/>
          <w:lang w:bidi="he-IL"/>
        </w:rPr>
        <w:t>אֶרֶץ יִשְׂרָאֵל</w:t>
      </w:r>
      <w:r w:rsidRPr="00DB6BED">
        <w:rPr>
          <w:rFonts w:ascii="Arial" w:hAnsi="Arial" w:cs="Arial"/>
        </w:rPr>
        <w:t>‎</w:t>
      </w:r>
      <w:r w:rsidRPr="00DB6BED">
        <w:rPr>
          <w:rFonts w:ascii="Calibri" w:hAnsi="Calibri" w:cs="Calibri"/>
        </w:rPr>
        <w:t xml:space="preserve"> </w:t>
      </w:r>
      <w:r w:rsidRPr="00DB6BED">
        <w:rPr>
          <w:i/>
          <w:iCs/>
        </w:rPr>
        <w:t>Eretz Yisrael</w:t>
      </w:r>
      <w:r w:rsidRPr="00DB6BED">
        <w:t>) refers to the land in the southern Levant which the Jewish people have since Biblical times regarded as their God-given homeland. Over 3,500 years ago, according to the Bible, the land was promised by God to the descendants of Abraham through his son Isaac</w:t>
      </w:r>
      <w:hyperlink r:id="rId67" w:anchor="cite_note-0" w:history="1">
        <w:r w:rsidRPr="00DB6BED">
          <w:rPr>
            <w:color w:val="0000FF"/>
            <w:vertAlign w:val="superscript"/>
          </w:rPr>
          <w:t>[</w:t>
        </w:r>
      </w:hyperlink>
      <w:r w:rsidRPr="00DB6BED">
        <w:t xml:space="preserve"> and to the Israelites, descendants of Jacob, Abraham's grandson. This land forms part of the Biblical covenant between God and the Jewish people. The most precise geographical borders of the promised land are given in </w:t>
      </w:r>
      <w:r w:rsidRPr="00DB6BED">
        <w:rPr>
          <w:b/>
        </w:rPr>
        <w:t>Exodus 23:31</w:t>
      </w:r>
      <w:r w:rsidRPr="00DB6BED">
        <w:t>, which describes the borders as the Red Sea, the "Sea of the Philistines" i.e the Mediterranean, and the "River" (the Euphrates).</w:t>
      </w:r>
    </w:p>
    <w:p w:rsidR="007E7EB8" w:rsidRDefault="007E7EB8" w:rsidP="007E7EB8">
      <w:pPr>
        <w:pStyle w:val="NormalWeb"/>
      </w:pPr>
      <w:r>
        <w:t xml:space="preserve">According to </w:t>
      </w:r>
      <w:r w:rsidRPr="00DB6BED">
        <w:rPr>
          <w:rFonts w:asciiTheme="majorHAnsi" w:hAnsiTheme="majorHAnsi"/>
          <w:b/>
          <w:sz w:val="40"/>
          <w:szCs w:val="40"/>
        </w:rPr>
        <w:t>Jewish law</w:t>
      </w:r>
      <w:r>
        <w:t xml:space="preserve"> (</w:t>
      </w:r>
      <w:r w:rsidRPr="00DB6BED">
        <w:t>halakha</w:t>
      </w:r>
      <w:r>
        <w:t xml:space="preserve">), some religious laws only apply to Jews living in the Land of Israel and some areas in </w:t>
      </w:r>
      <w:r w:rsidRPr="00DB6BED">
        <w:t>Jordan</w:t>
      </w:r>
      <w:r>
        <w:t xml:space="preserve">, </w:t>
      </w:r>
      <w:r w:rsidRPr="00DB6BED">
        <w:t>Lebanon</w:t>
      </w:r>
      <w:r>
        <w:t xml:space="preserve">, and </w:t>
      </w:r>
      <w:r w:rsidRPr="00DB6BED">
        <w:t>Syria</w:t>
      </w:r>
      <w:r>
        <w:t xml:space="preserve"> (which are thought to be part of Biblical Israel). These include agricultural laws such as the </w:t>
      </w:r>
      <w:r w:rsidRPr="00DB6BED">
        <w:t>Shmita</w:t>
      </w:r>
      <w:r>
        <w:t xml:space="preserve"> (Sabbatical year); tithing laws such as the </w:t>
      </w:r>
      <w:r w:rsidRPr="00DB6BED">
        <w:t>Maaser Rishon</w:t>
      </w:r>
      <w:r>
        <w:t xml:space="preserve"> (</w:t>
      </w:r>
      <w:r w:rsidRPr="00DB6BED">
        <w:t>Levite Tithe</w:t>
      </w:r>
      <w:r>
        <w:t xml:space="preserve">), </w:t>
      </w:r>
      <w:r w:rsidRPr="00DB6BED">
        <w:t>Maaser sheni</w:t>
      </w:r>
      <w:r>
        <w:t xml:space="preserve">, and </w:t>
      </w:r>
      <w:r w:rsidRPr="00DB6BED">
        <w:t>Maaser ani</w:t>
      </w:r>
      <w:r>
        <w:t xml:space="preserve"> (poor tithe); charitable practices during farming, such as </w:t>
      </w:r>
      <w:r w:rsidRPr="00DB6BED">
        <w:t>pe'ah</w:t>
      </w:r>
      <w:r>
        <w:t xml:space="preserve">; and laws regarding taxation. One popular source lists 26 of the 613 </w:t>
      </w:r>
      <w:r w:rsidRPr="00DB6BED">
        <w:t>mitzvot</w:t>
      </w:r>
      <w:r>
        <w:t xml:space="preserve"> as contingent upon the Land of Israel. </w:t>
      </w:r>
    </w:p>
    <w:p w:rsidR="007E7EB8" w:rsidRPr="00DB6BED" w:rsidRDefault="007E7EB8" w:rsidP="007E7EB8">
      <w:pPr>
        <w:pStyle w:val="NormalWeb"/>
      </w:pPr>
      <w:r>
        <w:t xml:space="preserve">Many of the laws which applied in ancient times are applied in the modern State of Israel; others have not been revived, since the State of Israel does not adhere to </w:t>
      </w:r>
      <w:r w:rsidRPr="00DB6BED">
        <w:t>traditional Jewish law</w:t>
      </w:r>
      <w:r>
        <w:t xml:space="preserve"> and there is no Temple. However, certain parts of the current territory of the State of Israel, such as the </w:t>
      </w:r>
      <w:hyperlink r:id="rId68" w:tooltip="Arabah" w:history="1">
        <w:r w:rsidRPr="00DB6BED">
          <w:rPr>
            <w:rStyle w:val="Hyperlink"/>
            <w:i/>
          </w:rPr>
          <w:t>Arabah</w:t>
        </w:r>
      </w:hyperlink>
      <w:r w:rsidRPr="00DB6BED">
        <w:t xml:space="preserve">, are considered by some authorities to be outside the Land of Israel for purposes of Jewish law. According to these authorities, the religious laws do not apply there. </w:t>
      </w:r>
    </w:p>
    <w:p w:rsidR="007E7EB8" w:rsidRPr="00DB6BED" w:rsidRDefault="007E7EB8" w:rsidP="007E7EB8">
      <w:pPr>
        <w:pStyle w:val="NormalWeb"/>
      </w:pPr>
      <w:r w:rsidRPr="00DB6BED">
        <w:t xml:space="preserve">According to some </w:t>
      </w:r>
      <w:hyperlink r:id="rId69" w:tooltip="Posek" w:history="1">
        <w:r w:rsidRPr="00DB6BED">
          <w:rPr>
            <w:rStyle w:val="Hyperlink"/>
          </w:rPr>
          <w:t>Jewish religious authorities</w:t>
        </w:r>
      </w:hyperlink>
      <w:r w:rsidRPr="00DB6BED">
        <w:t>, every Jew has an obligation to dwell in the Land of Israel and may not leave except for specifically permitted reasons (e.g., to get married</w:t>
      </w:r>
      <w:r>
        <w:t>, work etc.</w:t>
      </w:r>
      <w:r w:rsidRPr="00DB6BED">
        <w:t xml:space="preserve">). There are also many laws dealing with how to treat the land. The laws apply to all Jews, and the giving of the land itself in the covenant, applies to all Jews, including converts. </w:t>
      </w:r>
    </w:p>
    <w:p w:rsidR="007E7EB8" w:rsidRPr="00F378F6" w:rsidRDefault="007E7EB8"/>
    <w:sectPr w:rsidR="007E7EB8" w:rsidRPr="00F378F6" w:rsidSect="00DC6CA9">
      <w:headerReference w:type="even" r:id="rId70"/>
      <w:headerReference w:type="default" r:id="rId71"/>
      <w:footerReference w:type="even" r:id="rId72"/>
      <w:footerReference w:type="default" r:id="rId73"/>
      <w:headerReference w:type="first" r:id="rId74"/>
      <w:footerReference w:type="first" r:id="rId75"/>
      <w:pgSz w:w="12240" w:h="15840"/>
      <w:pgMar w:top="1440" w:right="630" w:bottom="1440" w:left="810" w:header="36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42B2A" w:rsidRDefault="00042B2A" w:rsidP="00F378F6">
      <w:pPr>
        <w:spacing w:after="0" w:line="240" w:lineRule="auto"/>
      </w:pPr>
      <w:r>
        <w:separator/>
      </w:r>
    </w:p>
  </w:endnote>
  <w:endnote w:type="continuationSeparator" w:id="0">
    <w:p w:rsidR="00042B2A" w:rsidRDefault="00042B2A" w:rsidP="00F378F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David">
    <w:panose1 w:val="020E0502060401010101"/>
    <w:charset w:val="B1"/>
    <w:family w:val="swiss"/>
    <w:pitch w:val="variable"/>
    <w:sig w:usb0="00000801" w:usb1="00000000" w:usb2="00000000" w:usb3="00000000" w:csb0="0000002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6CA9" w:rsidRDefault="00DC6CA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6CA9" w:rsidRDefault="00DC6CA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6CA9" w:rsidRDefault="00DC6CA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42B2A" w:rsidRDefault="00042B2A" w:rsidP="00F378F6">
      <w:pPr>
        <w:spacing w:after="0" w:line="240" w:lineRule="auto"/>
      </w:pPr>
      <w:r>
        <w:separator/>
      </w:r>
    </w:p>
  </w:footnote>
  <w:footnote w:type="continuationSeparator" w:id="0">
    <w:p w:rsidR="00042B2A" w:rsidRDefault="00042B2A" w:rsidP="00F378F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6CA9" w:rsidRDefault="00DC6CA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78F6" w:rsidRPr="00DC6CA9" w:rsidRDefault="00DC6CA9">
    <w:pPr>
      <w:pStyle w:val="Header"/>
      <w:rPr>
        <w:b/>
        <w:sz w:val="32"/>
        <w:szCs w:val="32"/>
      </w:rPr>
    </w:pPr>
    <w:r>
      <w:rPr>
        <w:b/>
        <w:noProof/>
      </w:rPr>
      <w:drawing>
        <wp:inline distT="0" distB="0" distL="0" distR="0">
          <wp:extent cx="1036819" cy="1149790"/>
          <wp:effectExtent l="19050" t="0" r="0" b="0"/>
          <wp:docPr id="1" name="Picture 0" descr="Chabad-JCC-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bad-JCC-logo.jpg"/>
                  <pic:cNvPicPr/>
                </pic:nvPicPr>
                <pic:blipFill>
                  <a:blip r:embed="rId1"/>
                  <a:stretch>
                    <a:fillRect/>
                  </a:stretch>
                </pic:blipFill>
                <pic:spPr>
                  <a:xfrm>
                    <a:off x="0" y="0"/>
                    <a:ext cx="1036505" cy="1149442"/>
                  </a:xfrm>
                  <a:prstGeom prst="rect">
                    <a:avLst/>
                  </a:prstGeom>
                </pic:spPr>
              </pic:pic>
            </a:graphicData>
          </a:graphic>
        </wp:inline>
      </w:drawing>
    </w:r>
    <w:r w:rsidRPr="00DC6CA9">
      <w:rPr>
        <w:b/>
      </w:rPr>
      <w:t>_________</w:t>
    </w:r>
    <w:r w:rsidR="00F378F6" w:rsidRPr="00DC6CA9">
      <w:rPr>
        <w:b/>
      </w:rPr>
      <w:t>_________________________</w:t>
    </w:r>
    <w:r>
      <w:rPr>
        <w:b/>
      </w:rPr>
      <w:t xml:space="preserve"> </w:t>
    </w:r>
    <w:r w:rsidRPr="00DC6CA9">
      <w:rPr>
        <w:b/>
      </w:rPr>
      <w:t xml:space="preserve"> </w:t>
    </w:r>
    <w:r w:rsidR="00F378F6" w:rsidRPr="00DC6CA9">
      <w:rPr>
        <w:b/>
        <w:sz w:val="32"/>
        <w:szCs w:val="32"/>
      </w:rPr>
      <w:t xml:space="preserve">Israel </w:t>
    </w:r>
    <w:r>
      <w:rPr>
        <w:b/>
        <w:sz w:val="32"/>
        <w:szCs w:val="32"/>
      </w:rPr>
      <w:t>the</w:t>
    </w:r>
    <w:r w:rsidR="00F378F6" w:rsidRPr="00DC6CA9">
      <w:rPr>
        <w:b/>
        <w:sz w:val="32"/>
        <w:szCs w:val="32"/>
      </w:rPr>
      <w:t xml:space="preserve"> History. </w:t>
    </w:r>
    <w:r>
      <w:rPr>
        <w:b/>
        <w:sz w:val="32"/>
        <w:szCs w:val="32"/>
      </w:rPr>
      <w:t>The</w:t>
    </w:r>
    <w:r w:rsidR="00F378F6" w:rsidRPr="00DC6CA9">
      <w:rPr>
        <w:b/>
        <w:sz w:val="32"/>
        <w:szCs w:val="32"/>
      </w:rPr>
      <w:t xml:space="preserve"> Wars. </w:t>
    </w:r>
    <w:r>
      <w:rPr>
        <w:b/>
        <w:sz w:val="32"/>
        <w:szCs w:val="32"/>
      </w:rPr>
      <w:t>The</w:t>
    </w:r>
    <w:r w:rsidR="00F378F6" w:rsidRPr="00DC6CA9">
      <w:rPr>
        <w:b/>
        <w:sz w:val="32"/>
        <w:szCs w:val="32"/>
      </w:rPr>
      <w:t xml:space="preserve"> Laws.  </w:t>
    </w:r>
  </w:p>
  <w:p w:rsidR="00DC6CA9" w:rsidRPr="00DC6CA9" w:rsidRDefault="00DC6CA9">
    <w:pPr>
      <w:pStyle w:val="Header"/>
      <w:rPr>
        <w:b/>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6CA9" w:rsidRDefault="00DC6CA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382942"/>
    <w:multiLevelType w:val="multilevel"/>
    <w:tmpl w:val="217E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F751A0"/>
    <w:multiLevelType w:val="multilevel"/>
    <w:tmpl w:val="6668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E3389C"/>
    <w:multiLevelType w:val="multilevel"/>
    <w:tmpl w:val="EC4E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A9347F"/>
    <w:multiLevelType w:val="multilevel"/>
    <w:tmpl w:val="5574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CC563D"/>
    <w:multiLevelType w:val="multilevel"/>
    <w:tmpl w:val="6C54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1D3ACC"/>
    <w:multiLevelType w:val="multilevel"/>
    <w:tmpl w:val="C24E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D12A1A"/>
    <w:multiLevelType w:val="multilevel"/>
    <w:tmpl w:val="B4FE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6038C9"/>
    <w:multiLevelType w:val="multilevel"/>
    <w:tmpl w:val="8EA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5D688F"/>
    <w:multiLevelType w:val="multilevel"/>
    <w:tmpl w:val="FAF6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5049C5"/>
    <w:multiLevelType w:val="multilevel"/>
    <w:tmpl w:val="A7EA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BA2DEE"/>
    <w:multiLevelType w:val="multilevel"/>
    <w:tmpl w:val="A0C0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9D81E25"/>
    <w:multiLevelType w:val="multilevel"/>
    <w:tmpl w:val="577C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FEE19C2"/>
    <w:multiLevelType w:val="multilevel"/>
    <w:tmpl w:val="E11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1AC6952"/>
    <w:multiLevelType w:val="multilevel"/>
    <w:tmpl w:val="86E0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7D240E"/>
    <w:multiLevelType w:val="multilevel"/>
    <w:tmpl w:val="A960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7265A7"/>
    <w:multiLevelType w:val="multilevel"/>
    <w:tmpl w:val="26D4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A3E449F"/>
    <w:multiLevelType w:val="multilevel"/>
    <w:tmpl w:val="8254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414257F"/>
    <w:multiLevelType w:val="multilevel"/>
    <w:tmpl w:val="5498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167D73"/>
    <w:multiLevelType w:val="multilevel"/>
    <w:tmpl w:val="FDEA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8194B8D"/>
    <w:multiLevelType w:val="multilevel"/>
    <w:tmpl w:val="64CC7D02"/>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7"/>
  </w:num>
  <w:num w:numId="3">
    <w:abstractNumId w:val="7"/>
  </w:num>
  <w:num w:numId="4">
    <w:abstractNumId w:val="14"/>
  </w:num>
  <w:num w:numId="5">
    <w:abstractNumId w:val="15"/>
  </w:num>
  <w:num w:numId="6">
    <w:abstractNumId w:val="4"/>
  </w:num>
  <w:num w:numId="7">
    <w:abstractNumId w:val="13"/>
  </w:num>
  <w:num w:numId="8">
    <w:abstractNumId w:val="16"/>
  </w:num>
  <w:num w:numId="9">
    <w:abstractNumId w:val="2"/>
  </w:num>
  <w:num w:numId="10">
    <w:abstractNumId w:val="9"/>
  </w:num>
  <w:num w:numId="11">
    <w:abstractNumId w:val="8"/>
  </w:num>
  <w:num w:numId="12">
    <w:abstractNumId w:val="18"/>
  </w:num>
  <w:num w:numId="13">
    <w:abstractNumId w:val="1"/>
  </w:num>
  <w:num w:numId="14">
    <w:abstractNumId w:val="0"/>
  </w:num>
  <w:num w:numId="15">
    <w:abstractNumId w:val="5"/>
  </w:num>
  <w:num w:numId="16">
    <w:abstractNumId w:val="11"/>
  </w:num>
  <w:num w:numId="17">
    <w:abstractNumId w:val="6"/>
  </w:num>
  <w:num w:numId="18">
    <w:abstractNumId w:val="3"/>
  </w:num>
  <w:num w:numId="19">
    <w:abstractNumId w:val="10"/>
  </w:num>
  <w:num w:numId="2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efaultTabStop w:val="720"/>
  <w:characterSpacingControl w:val="doNotCompress"/>
  <w:hdrShapeDefaults>
    <o:shapedefaults v:ext="edit" spidmax="4098"/>
  </w:hdrShapeDefaults>
  <w:footnotePr>
    <w:footnote w:id="-1"/>
    <w:footnote w:id="0"/>
  </w:footnotePr>
  <w:endnotePr>
    <w:endnote w:id="-1"/>
    <w:endnote w:id="0"/>
  </w:endnotePr>
  <w:compat/>
  <w:rsids>
    <w:rsidRoot w:val="00F378F6"/>
    <w:rsid w:val="00042B2A"/>
    <w:rsid w:val="00262AE7"/>
    <w:rsid w:val="003341CE"/>
    <w:rsid w:val="003E6106"/>
    <w:rsid w:val="0042099D"/>
    <w:rsid w:val="005B7517"/>
    <w:rsid w:val="006561D9"/>
    <w:rsid w:val="007E7EB8"/>
    <w:rsid w:val="00D16AB9"/>
    <w:rsid w:val="00DC6CA9"/>
    <w:rsid w:val="00E91E9C"/>
    <w:rsid w:val="00F378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3"/>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099D"/>
  </w:style>
  <w:style w:type="paragraph" w:styleId="Heading1">
    <w:name w:val="heading 1"/>
    <w:basedOn w:val="Normal"/>
    <w:link w:val="Heading1Char"/>
    <w:uiPriority w:val="9"/>
    <w:qFormat/>
    <w:rsid w:val="00F378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8F6"/>
    <w:rPr>
      <w:rFonts w:ascii="Times New Roman" w:eastAsia="Times New Roman" w:hAnsi="Times New Roman" w:cs="Times New Roman"/>
      <w:b/>
      <w:bCs/>
      <w:kern w:val="36"/>
      <w:sz w:val="48"/>
      <w:szCs w:val="48"/>
    </w:rPr>
  </w:style>
  <w:style w:type="character" w:customStyle="1" w:styleId="h">
    <w:name w:val="h"/>
    <w:basedOn w:val="DefaultParagraphFont"/>
    <w:rsid w:val="00F378F6"/>
    <w:rPr>
      <w:rFonts w:cs="David" w:hint="cs"/>
      <w:sz w:val="30"/>
      <w:szCs w:val="30"/>
    </w:rPr>
  </w:style>
  <w:style w:type="paragraph" w:styleId="Header">
    <w:name w:val="header"/>
    <w:basedOn w:val="Normal"/>
    <w:link w:val="HeaderChar"/>
    <w:uiPriority w:val="99"/>
    <w:semiHidden/>
    <w:unhideWhenUsed/>
    <w:rsid w:val="00F378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78F6"/>
  </w:style>
  <w:style w:type="paragraph" w:styleId="Footer">
    <w:name w:val="footer"/>
    <w:basedOn w:val="Normal"/>
    <w:link w:val="FooterChar"/>
    <w:uiPriority w:val="99"/>
    <w:semiHidden/>
    <w:unhideWhenUsed/>
    <w:rsid w:val="00F378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78F6"/>
  </w:style>
  <w:style w:type="paragraph" w:styleId="BalloonText">
    <w:name w:val="Balloon Text"/>
    <w:basedOn w:val="Normal"/>
    <w:link w:val="BalloonTextChar"/>
    <w:uiPriority w:val="99"/>
    <w:semiHidden/>
    <w:unhideWhenUsed/>
    <w:rsid w:val="00DC6C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6CA9"/>
    <w:rPr>
      <w:rFonts w:ascii="Tahoma" w:hAnsi="Tahoma" w:cs="Tahoma"/>
      <w:sz w:val="16"/>
      <w:szCs w:val="16"/>
    </w:rPr>
  </w:style>
  <w:style w:type="character" w:styleId="Hyperlink">
    <w:name w:val="Hyperlink"/>
    <w:basedOn w:val="DefaultParagraphFont"/>
    <w:uiPriority w:val="99"/>
    <w:semiHidden/>
    <w:unhideWhenUsed/>
    <w:rsid w:val="007E7EB8"/>
    <w:rPr>
      <w:color w:val="0000FF"/>
      <w:u w:val="single"/>
    </w:rPr>
  </w:style>
  <w:style w:type="paragraph" w:styleId="NormalWeb">
    <w:name w:val="Normal (Web)"/>
    <w:basedOn w:val="Normal"/>
    <w:uiPriority w:val="99"/>
    <w:semiHidden/>
    <w:unhideWhenUsed/>
    <w:rsid w:val="007E7E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73246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Census_of_Quirinius" TargetMode="External"/><Relationship Id="rId18" Type="http://schemas.openxmlformats.org/officeDocument/2006/relationships/hyperlink" Target="http://en.wikipedia.org/wiki/Bar_Kokhba_revolt" TargetMode="External"/><Relationship Id="rId26" Type="http://schemas.openxmlformats.org/officeDocument/2006/relationships/hyperlink" Target="http://en.wikipedia.org/wiki/Ottoman_Empire" TargetMode="External"/><Relationship Id="rId39" Type="http://schemas.openxmlformats.org/officeDocument/2006/relationships/hyperlink" Target="http://en.wikipedia.org/wiki/Hebrew_calendar" TargetMode="External"/><Relationship Id="rId21" Type="http://schemas.openxmlformats.org/officeDocument/2006/relationships/hyperlink" Target="http://en.wikipedia.org/wiki/Caliphate" TargetMode="External"/><Relationship Id="rId34" Type="http://schemas.openxmlformats.org/officeDocument/2006/relationships/hyperlink" Target="http://en.wikipedia.org/wiki/State_of_Israel" TargetMode="External"/><Relationship Id="rId42" Type="http://schemas.openxmlformats.org/officeDocument/2006/relationships/hyperlink" Target="http://en.wikipedia.org/wiki/Tisha_B%27Av" TargetMode="External"/><Relationship Id="rId47" Type="http://schemas.openxmlformats.org/officeDocument/2006/relationships/hyperlink" Target="http://en.wikipedia.org/wiki/Ta%27anit_(Talmud)" TargetMode="External"/><Relationship Id="rId50" Type="http://schemas.openxmlformats.org/officeDocument/2006/relationships/hyperlink" Target="http://en.wikipedia.org/wiki/Tablets_of_stone" TargetMode="External"/><Relationship Id="rId55" Type="http://schemas.openxmlformats.org/officeDocument/2006/relationships/hyperlink" Target="http://en.wikipedia.org/wiki/Bar_Kokhba%27s_revolt" TargetMode="External"/><Relationship Id="rId63" Type="http://schemas.openxmlformats.org/officeDocument/2006/relationships/hyperlink" Target="http://en.wikipedia.org/wiki/Jerusalem_Talmud" TargetMode="External"/><Relationship Id="rId68" Type="http://schemas.openxmlformats.org/officeDocument/2006/relationships/hyperlink" Target="http://en.wikipedia.org/wiki/Arabah" TargetMode="External"/><Relationship Id="rId76" Type="http://schemas.openxmlformats.org/officeDocument/2006/relationships/fontTable" Target="fontTable.xml"/><Relationship Id="rId7" Type="http://schemas.openxmlformats.org/officeDocument/2006/relationships/hyperlink" Target="http://en.wikipedia.org/wiki/Hasmoneans" TargetMode="External"/><Relationship Id="rId71"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en.wikipedia.org/wiki/Judea" TargetMode="External"/><Relationship Id="rId29" Type="http://schemas.openxmlformats.org/officeDocument/2006/relationships/hyperlink" Target="http://en.wikipedia.org/wiki/British_Mandate_of_Palestine" TargetMode="External"/><Relationship Id="rId11" Type="http://schemas.openxmlformats.org/officeDocument/2006/relationships/hyperlink" Target="http://en.wikipedia.org/wiki/Roman_Empire" TargetMode="External"/><Relationship Id="rId24" Type="http://schemas.openxmlformats.org/officeDocument/2006/relationships/hyperlink" Target="http://en.wikipedia.org/wiki/Ayyubid_dynasty" TargetMode="External"/><Relationship Id="rId32" Type="http://schemas.openxmlformats.org/officeDocument/2006/relationships/hyperlink" Target="http://en.wikipedia.org/wiki/Jordan" TargetMode="External"/><Relationship Id="rId37" Type="http://schemas.openxmlformats.org/officeDocument/2006/relationships/hyperlink" Target="http://en.wikipedia.org/wiki/Jerusalem" TargetMode="External"/><Relationship Id="rId40" Type="http://schemas.openxmlformats.org/officeDocument/2006/relationships/hyperlink" Target="http://en.wikipedia.org/wiki/Tammuz_(Hebrew_month)" TargetMode="External"/><Relationship Id="rId45" Type="http://schemas.openxmlformats.org/officeDocument/2006/relationships/hyperlink" Target="http://en.wikipedia.org/wiki/Book_of_Zechariah" TargetMode="External"/><Relationship Id="rId53" Type="http://schemas.openxmlformats.org/officeDocument/2006/relationships/hyperlink" Target="http://en.wikipedia.org/wiki/Jerusalem" TargetMode="External"/><Relationship Id="rId58" Type="http://schemas.openxmlformats.org/officeDocument/2006/relationships/hyperlink" Target="http://en.wikipedia.org/wiki/Talmud" TargetMode="External"/><Relationship Id="rId66" Type="http://schemas.openxmlformats.org/officeDocument/2006/relationships/image" Target="media/image1.png"/><Relationship Id="rId7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en.wikipedia.org/wiki/Roman_Empire" TargetMode="External"/><Relationship Id="rId23" Type="http://schemas.openxmlformats.org/officeDocument/2006/relationships/hyperlink" Target="http://en.wikipedia.org/wiki/Kingdom_of_Jerusalem" TargetMode="External"/><Relationship Id="rId28" Type="http://schemas.openxmlformats.org/officeDocument/2006/relationships/hyperlink" Target="http://en.wikipedia.org/wiki/British_Empire" TargetMode="External"/><Relationship Id="rId36" Type="http://schemas.openxmlformats.org/officeDocument/2006/relationships/hyperlink" Target="http://en.wikipedia.org/wiki/Ta%27anit" TargetMode="External"/><Relationship Id="rId49" Type="http://schemas.openxmlformats.org/officeDocument/2006/relationships/hyperlink" Target="http://en.wikipedia.org/wiki/Moses" TargetMode="External"/><Relationship Id="rId57" Type="http://schemas.openxmlformats.org/officeDocument/2006/relationships/hyperlink" Target="http://en.wikipedia.org/wiki/Torah" TargetMode="External"/><Relationship Id="rId61" Type="http://schemas.openxmlformats.org/officeDocument/2006/relationships/hyperlink" Target="http://en.wikipedia.org/wiki/Second_Temple" TargetMode="External"/><Relationship Id="rId10" Type="http://schemas.openxmlformats.org/officeDocument/2006/relationships/hyperlink" Target="http://en.wikipedia.org/wiki/Herodian_Dynasty" TargetMode="External"/><Relationship Id="rId19" Type="http://schemas.openxmlformats.org/officeDocument/2006/relationships/hyperlink" Target="http://en.wikipedia.org/wiki/Simon_bar_Kokhba" TargetMode="External"/><Relationship Id="rId31" Type="http://schemas.openxmlformats.org/officeDocument/2006/relationships/hyperlink" Target="http://en.wikipedia.org/wiki/United_Nations" TargetMode="External"/><Relationship Id="rId44" Type="http://schemas.openxmlformats.org/officeDocument/2006/relationships/hyperlink" Target="http://en.wikipedia.org/wiki/Golden_Calf" TargetMode="External"/><Relationship Id="rId52" Type="http://schemas.openxmlformats.org/officeDocument/2006/relationships/hyperlink" Target="http://en.wikipedia.org/wiki/Korban" TargetMode="External"/><Relationship Id="rId60" Type="http://schemas.openxmlformats.org/officeDocument/2006/relationships/hyperlink" Target="http://en.wikipedia.org/wiki/First_Temple" TargetMode="External"/><Relationship Id="rId65" Type="http://schemas.openxmlformats.org/officeDocument/2006/relationships/hyperlink" Target="http://en.wikipedia.org/wiki/File:Early-Historical-Israel-Dan-Beersheba-Judea-Corrected.png" TargetMode="External"/><Relationship Id="rId73"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en.wikipedia.org/wiki/Roman_Empire" TargetMode="External"/><Relationship Id="rId14" Type="http://schemas.openxmlformats.org/officeDocument/2006/relationships/hyperlink" Target="http://en.wikipedia.org/wiki/Iudaea_Province" TargetMode="External"/><Relationship Id="rId22" Type="http://schemas.openxmlformats.org/officeDocument/2006/relationships/hyperlink" Target="http://en.wikipedia.org/wiki/Crusader_states" TargetMode="External"/><Relationship Id="rId27" Type="http://schemas.openxmlformats.org/officeDocument/2006/relationships/hyperlink" Target="http://en.wikipedia.org/wiki/Ottoman_Turks" TargetMode="External"/><Relationship Id="rId30" Type="http://schemas.openxmlformats.org/officeDocument/2006/relationships/hyperlink" Target="http://en.wikipedia.org/wiki/League_of_Nations" TargetMode="External"/><Relationship Id="rId35" Type="http://schemas.openxmlformats.org/officeDocument/2006/relationships/hyperlink" Target="http://en.wikipedia.org/wiki/Hebrew_language" TargetMode="External"/><Relationship Id="rId43" Type="http://schemas.openxmlformats.org/officeDocument/2006/relationships/hyperlink" Target="http://en.wikipedia.org/wiki/Ten_Commandments" TargetMode="External"/><Relationship Id="rId48" Type="http://schemas.openxmlformats.org/officeDocument/2006/relationships/hyperlink" Target="http://www.moreshet.net/oldsite/mishna/24-9-00/thursday.htm" TargetMode="External"/><Relationship Id="rId56" Type="http://schemas.openxmlformats.org/officeDocument/2006/relationships/hyperlink" Target="http://en.wikipedia.org/wiki/Apostomus" TargetMode="External"/><Relationship Id="rId64" Type="http://schemas.openxmlformats.org/officeDocument/2006/relationships/hyperlink" Target="http://en.wikipedia.org/wiki/Ta%27anit_(Talmud)" TargetMode="External"/><Relationship Id="rId69" Type="http://schemas.openxmlformats.org/officeDocument/2006/relationships/hyperlink" Target="http://en.wikipedia.org/wiki/Posek" TargetMode="External"/><Relationship Id="rId77" Type="http://schemas.openxmlformats.org/officeDocument/2006/relationships/theme" Target="theme/theme1.xml"/><Relationship Id="rId8" Type="http://schemas.openxmlformats.org/officeDocument/2006/relationships/hyperlink" Target="http://en.wikipedia.org/wiki/Israel_(region)" TargetMode="External"/><Relationship Id="rId51" Type="http://schemas.openxmlformats.org/officeDocument/2006/relationships/hyperlink" Target="http://en.wikipedia.org/wiki/Mount_Sinai" TargetMode="External"/><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en.wikipedia.org/wiki/Jewish_Revolt" TargetMode="External"/><Relationship Id="rId17" Type="http://schemas.openxmlformats.org/officeDocument/2006/relationships/hyperlink" Target="http://en.wikipedia.org/wiki/History_of_Palestine" TargetMode="External"/><Relationship Id="rId25" Type="http://schemas.openxmlformats.org/officeDocument/2006/relationships/hyperlink" Target="http://en.wikipedia.org/wiki/Mamluks" TargetMode="External"/><Relationship Id="rId33" Type="http://schemas.openxmlformats.org/officeDocument/2006/relationships/hyperlink" Target="http://en.wikipedia.org/wiki/State_of_Israel" TargetMode="External"/><Relationship Id="rId38" Type="http://schemas.openxmlformats.org/officeDocument/2006/relationships/hyperlink" Target="http://en.wikipedia.org/wiki/Second_Temple" TargetMode="External"/><Relationship Id="rId46" Type="http://schemas.openxmlformats.org/officeDocument/2006/relationships/hyperlink" Target="http://en.wikipedia.org/wiki/Mishnah" TargetMode="External"/><Relationship Id="rId59" Type="http://schemas.openxmlformats.org/officeDocument/2006/relationships/hyperlink" Target="http://en.wikipedia.org/wiki/Ta%27anit_(Talmud)" TargetMode="External"/><Relationship Id="rId67" Type="http://schemas.openxmlformats.org/officeDocument/2006/relationships/hyperlink" Target="http://en.wikipedia.org/wiki/Land_of_Israel" TargetMode="External"/><Relationship Id="rId20" Type="http://schemas.openxmlformats.org/officeDocument/2006/relationships/hyperlink" Target="http://en.wikipedia.org/wiki/Byzantine_Empire" TargetMode="External"/><Relationship Id="rId41" Type="http://schemas.openxmlformats.org/officeDocument/2006/relationships/hyperlink" Target="http://en.wikipedia.org/wiki/Three_Weeks" TargetMode="External"/><Relationship Id="rId54" Type="http://schemas.openxmlformats.org/officeDocument/2006/relationships/hyperlink" Target="http://en.wikipedia.org/wiki/Second_Temple" TargetMode="External"/><Relationship Id="rId62" Type="http://schemas.openxmlformats.org/officeDocument/2006/relationships/hyperlink" Target="http://en.wikipedia.org/wiki/Book_of_Jeremiah" TargetMode="External"/><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2545</Words>
  <Characters>14513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17024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mzh</dc:creator>
  <cp:lastModifiedBy>mzh</cp:lastModifiedBy>
  <cp:revision>2</cp:revision>
  <cp:lastPrinted>2010-07-01T23:12:00Z</cp:lastPrinted>
  <dcterms:created xsi:type="dcterms:W3CDTF">2010-10-19T15:30:00Z</dcterms:created>
  <dcterms:modified xsi:type="dcterms:W3CDTF">2010-10-19T15:30:00Z</dcterms:modified>
</cp:coreProperties>
</file>