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According to many local ordinances, one must obtain a permit before a parade. If possible, instead of trying to get around this requirement, </w:t>
      </w:r>
      <w:r w:rsidDel="00000000" w:rsidR="00000000" w:rsidRPr="00000000">
        <w:rPr>
          <w:rtl w:val="0"/>
        </w:rPr>
        <w:t xml:space="preserve">we </w:t>
      </w:r>
      <w:r w:rsidDel="00000000" w:rsidR="00000000" w:rsidRPr="00000000">
        <w:rPr>
          <w:rtl w:val="0"/>
        </w:rPr>
        <w:t xml:space="preserve">recommend you get a permit. This will help with the safety of the parade, may make it easier to obtain a police escort, and makes the parade much more “official” and helps it run smoother.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If for whatever reason, getting a permit is not feasible, you can call it a police-escorted motorcade / procession similar to a funeral and get around some requirements that way. Transit police may have the authority to escort a procession without a permit.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