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7 (Term 2)</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2</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demonstrate the knowledge and practical skills taught in sequencing, algorithms, matching plans to Scratch programs, choosing sprites and saving work. The two lessons provide independent school assessment tasks and opportunities to show a practical skill and explain a choice.</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Assess the prepared knowledge and practical tasks against the taught outcomes. Record correct responses, independent actions, explanations and any access support provided. Use the results to identify specific skills for follow-up.</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15 February 2027</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demonstrate the taught knowledge and safe routines in a school assessment covering sequencing, algorithms, matching plans to Scratch programs, choosing sprites and saving work.</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pupils calmly and check that equipment and prepared papers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picture, oral or written task format and the expectation to work independently; apply agreed access arrangements.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an answer using an unrelated example. Do not rehearse assessed answers.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the prepared knowledge and scenario tasks. Record assistance and collect work without teaching new content.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work is complete and note gaps for later feedback; keep the assessment conditions consistent.</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answers and record any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independent explanation task after core questions; do not introduce new content during assessment.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18 February 2027</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apply the taught skills independently in a practical assessment of sequencing, algorithms, matching plans to Scratch programs, choosing sprites and saving work.</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Set out the prepared practical stations or saved starter files and review the task routine.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practical criteria and how pupils should request technical help without receiving content answers.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Show how to open the prepared task and save the completed file using an unrelated example.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the practical task and explain one choice. For programming, demonstrate a familiar game; for technology or safety, use a device or scenario task.</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Save or collect evidence, record independence against the criteria and identify skills requiring follow-up.</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answers and record any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independent explanation task after core questions; do not introduce new content during assessment.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2 printed pages 36-55</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Scratch 3, school-managed access or offline editor, and a class save folder</w:t>
      </w:r>
    </w:p>
    <w:p w14:paraId="1A2C51E3" w14:textId="77777777" w:rsidR="002A39D9" w:rsidRDefault="002A39D9" w:rsidP="00A458BA">
      <w:pPr>
        <w:pStyle w:val="ListParagraph"/>
        <w:numPr>
          <w:ilvl w:val="0"/>
          <w:numId w:val="3"/>
        </w:numPr>
      </w:pPr>
      <w:r>
        <w:rPr>
          <w:b w:val="0"/>
          <w:sz w:val="20"/>
        </w:rPr>
        <w:t>Prepared school assessment tasks covering the stated outcomes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colouring materials</w:t>
      </w:r>
    </w:p>
    <w:p w14:paraId="7D03406C" w14:textId="607EC56E" w:rsidR="002A39D9" w:rsidRDefault="002A39D9" w:rsidP="00A458BA">
      <w:pPr>
        <w:pStyle w:val="ListParagraph"/>
        <w:numPr>
          <w:ilvl w:val="0"/>
          <w:numId w:val="3"/>
        </w:numPr>
      </w:pPr>
      <w:r>
        <w:rPr>
          <w:b w:val="0"/>
          <w:sz w:val="20"/>
        </w:rPr>
        <w:t>Teacher observation checklist and school access arrangements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2 Computing Term 2 Week 7 Lesson Plan</dc:title>
  <dc:subject>SIAMIS Computing academic year 2026-2027</dc:subject>
</cp:coreProperties>
</file>