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2 (Term 3)</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control a sprite with arrow keys to follow a simple treasure route. They will also learn to add a clear finish response and test a treasure-route game.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that the chosen controls move in the intended direction and the green flag resets the player. Check the start, movement and finish response and ask pupils to explain how they tested the game.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26 April 2027</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control a sprite with arrow keys to follow a simple treasure route.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treasure map and ask how a player could guide a character to the goal.</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each arrow key can trigger a short movement; use a wide route with few turns.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Set a starting position with the green flag. Model when right arrow key pressed change x by 10 and corresponding left, up and down commands; provide a prepared reset script if walls are used.</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create a short route, add movement controls and test reaching the treasure from the starting point.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the chosen controls move in the intended direction and the green flag resets the player.</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the named starter and a short picture checklist. Keep one working interaction as the goal and pair pupils for reading and testing.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instructions or add one small feature only after the core game works and has been tested.</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29 April 2027</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add a clear finish response and test a treasure-route game.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how a player knows that the treasure has been found.</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one simple finish check with teacher support; use a prepared sensing script so the focus stays on a working route.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a forever check that says Treasure found when the player touches the treasure sprite, then stops the game.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connect or complete the prepared finish check, ask a partner to test the route and improve one difficult turn.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start, movement and finish response and ask pupils to explain how they tested the game.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the named starter and a short picture checklist. Keep one working interaction as the goal and pair pupils for reading and testing.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improve instructions or add one small feature only after the core game works and has been tested.</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Teacher-designed Scratch game; related skills in Student Book 2 Units 3-4</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Scratch 3, school-managed access or offline editor, and a class save folder</w:t>
      </w:r>
    </w:p>
    <w:p w14:paraId="1A2C51E3" w14:textId="77777777" w:rsidR="002A39D9" w:rsidRDefault="002A39D9" w:rsidP="00A458BA">
      <w:pPr>
        <w:pStyle w:val="ListParagraph"/>
        <w:numPr>
          <w:ilvl w:val="0"/>
          <w:numId w:val="3"/>
        </w:numPr>
      </w:pPr>
      <w:r>
        <w:rPr>
          <w:b w:val="0"/>
          <w:sz w:val="20"/>
        </w:rPr>
        <w:t>Movement cards, block cards and the named starter project where required</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3 Week 2 Lesson Plan</dc:title>
  <dc:subject>SIAMIS Computing academic year 2026-2027</dc:subject>
</cp:coreProperties>
</file>