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4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7</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distinguish numeric values from digit characters and encode simple text using a supplied character table. They will also learn to describe how bitmap images and sampled sound can be represented as digital data.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accurate codes and an explanation of why a digit character differs from its numeric value; do not teach ASCII as 256 characters. Check the pixel order and colour key, then ask what each sound sample measures at a particular time. Note pupils who need further guided practice.</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14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distinguish numeric values from digit characters and encode simple text using a supplied character table.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the number 12 used in a calculation with the characters in a fictional code 12.</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character encoding. Clarify standard ASCII has 128 codes; this class displays them in eight-bit form with a leading zero. Unicode supports more scripts.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Compare numeric 5 as 00000101 with character '5' as 00110101, then encode 'a' as 01100001.</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encode and decode a short non-personal word, spaces and digit characters using the provided table.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accurate codes and an explanation of why a digit character differs from its numeric value; do not teach ASCII as 256 characters.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place-value grids, carry rows, a character-code table and labelled diagrams. Model one step at a time and allow spoken reasoning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method, identify a deliberate error or test an eight-bit boundary, then verify the result using another representation.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15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describe how bitmap images and sampled sound can be represented as digital data.</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Zoom into a small bitmap and display a simple sound-wave diagram.</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pixels, a colour key and regular measurements of sound; distinguish an image grid from an audio sample sequence.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Encode a four-by-four two-colour image, then record five readings at equal intervals on a prepared wave graph.</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decode a small bitmap and annotate a sound-sampling diagram, explaining what the stored numbers represent.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pixel order and colour key, then ask what each sound sample measures at a particular time.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place-value grids, carry rows, a character-code table and labelled diagrams. Model one step at a time and allow spoken reasoning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method, identify a deliberate error or test an eight-bit boundary, then verify the result using another representation.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7 printed pages 22-29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Binary place-value grids, carry rows, character-code tables and pixel or sampling sheets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task sheets</w:t>
      </w:r>
    </w:p>
    <w:p w14:paraId="7D03406C" w14:textId="607EC56E" w:rsidR="002A39D9" w:rsidRDefault="002A39D9" w:rsidP="00A458BA">
      <w:pPr>
        <w:pStyle w:val="ListParagraph"/>
        <w:numPr>
          <w:ilvl w:val="0"/>
          <w:numId w:val="3"/>
        </w:numPr>
      </w:pPr>
      <w:r>
        <w:rPr>
          <w:b w:val="0"/>
          <w:sz w:val="20"/>
        </w:rPr>
        <w:t>Teacher reference: Unicode Consortium glossary, https://unicode.org/glossary/</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7 Computing Term 1 Week 4 Lesson Plan</dc:title>
  <dc:subject>SIAMIS Computing academic year 2026-2027</dc:subject>
</cp:coreProperties>
</file>